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91" w:rsidRPr="00C754FC" w:rsidRDefault="00C754FC">
      <w:pPr>
        <w:rPr>
          <w:b/>
          <w:sz w:val="28"/>
          <w:szCs w:val="28"/>
        </w:rPr>
      </w:pPr>
      <w:r w:rsidRPr="00C754FC">
        <w:rPr>
          <w:b/>
          <w:sz w:val="28"/>
          <w:szCs w:val="28"/>
        </w:rPr>
        <w:t>RECTF</w:t>
      </w:r>
    </w:p>
    <w:p w:rsidR="00C754FC" w:rsidRPr="00C754FC" w:rsidRDefault="00C754FC">
      <w:pPr>
        <w:rPr>
          <w:b/>
          <w:sz w:val="28"/>
          <w:szCs w:val="28"/>
        </w:rPr>
      </w:pPr>
      <w:r w:rsidRPr="00C754FC">
        <w:rPr>
          <w:b/>
          <w:sz w:val="28"/>
          <w:szCs w:val="28"/>
        </w:rPr>
        <w:t>May 18</w:t>
      </w:r>
      <w:r w:rsidRPr="00C754FC">
        <w:rPr>
          <w:b/>
          <w:sz w:val="28"/>
          <w:szCs w:val="28"/>
          <w:vertAlign w:val="superscript"/>
        </w:rPr>
        <w:t>th</w:t>
      </w:r>
      <w:r w:rsidRPr="00C754FC">
        <w:rPr>
          <w:b/>
          <w:sz w:val="28"/>
          <w:szCs w:val="28"/>
        </w:rPr>
        <w:t>, 2021</w:t>
      </w:r>
    </w:p>
    <w:p w:rsidR="00C754FC" w:rsidRDefault="00C754FC">
      <w:pPr>
        <w:rPr>
          <w:b/>
          <w:sz w:val="28"/>
          <w:szCs w:val="28"/>
        </w:rPr>
      </w:pPr>
      <w:r w:rsidRPr="00C754FC">
        <w:rPr>
          <w:b/>
          <w:sz w:val="28"/>
          <w:szCs w:val="28"/>
        </w:rPr>
        <w:t>WebEx only</w:t>
      </w:r>
    </w:p>
    <w:tbl>
      <w:tblPr>
        <w:tblStyle w:val="GridTable4-Accent5"/>
        <w:tblW w:w="10710" w:type="dxa"/>
        <w:tblInd w:w="-522" w:type="dxa"/>
        <w:tblLook w:val="04A0" w:firstRow="1" w:lastRow="0" w:firstColumn="1" w:lastColumn="0" w:noHBand="0" w:noVBand="1"/>
      </w:tblPr>
      <w:tblGrid>
        <w:gridCol w:w="2093"/>
        <w:gridCol w:w="1302"/>
        <w:gridCol w:w="2046"/>
        <w:gridCol w:w="87"/>
        <w:gridCol w:w="1292"/>
        <w:gridCol w:w="2105"/>
        <w:gridCol w:w="1785"/>
      </w:tblGrid>
      <w:tr w:rsidR="00C754FC" w:rsidTr="00A74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rsidR="00C754FC" w:rsidRDefault="00C754FC">
            <w:pPr>
              <w:rPr>
                <w:b w:val="0"/>
                <w:sz w:val="28"/>
                <w:szCs w:val="28"/>
              </w:rPr>
            </w:pPr>
            <w:r>
              <w:rPr>
                <w:b w:val="0"/>
                <w:sz w:val="28"/>
                <w:szCs w:val="28"/>
              </w:rPr>
              <w:t>Attendee</w:t>
            </w:r>
          </w:p>
        </w:tc>
        <w:tc>
          <w:tcPr>
            <w:tcW w:w="1302"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c>
          <w:tcPr>
            <w:tcW w:w="2160" w:type="dxa"/>
            <w:gridSpan w:val="2"/>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Attendee</w:t>
            </w:r>
          </w:p>
        </w:tc>
        <w:tc>
          <w:tcPr>
            <w:tcW w:w="1199"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c>
          <w:tcPr>
            <w:tcW w:w="2131"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Attendee</w:t>
            </w:r>
          </w:p>
        </w:tc>
        <w:tc>
          <w:tcPr>
            <w:tcW w:w="1800" w:type="dxa"/>
          </w:tcPr>
          <w:p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r>
      <w:tr w:rsidR="00C754FC" w:rsidTr="00A74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rsidR="00C754FC" w:rsidRPr="00C754FC" w:rsidRDefault="00C754FC">
            <w:pPr>
              <w:rPr>
                <w:b w:val="0"/>
              </w:rPr>
            </w:pPr>
            <w:r w:rsidRPr="00C754FC">
              <w:rPr>
                <w:b w:val="0"/>
              </w:rPr>
              <w:t>Jim Lee</w:t>
            </w:r>
          </w:p>
        </w:tc>
        <w:tc>
          <w:tcPr>
            <w:tcW w:w="1302" w:type="dxa"/>
          </w:tcPr>
          <w:p w:rsidR="00C754FC" w:rsidRPr="00C754FC" w:rsidRDefault="00C754FC">
            <w:pPr>
              <w:cnfStyle w:val="000000100000" w:firstRow="0" w:lastRow="0" w:firstColumn="0" w:lastColumn="0" w:oddVBand="0" w:evenVBand="0" w:oddHBand="1" w:evenHBand="0" w:firstRowFirstColumn="0" w:firstRowLastColumn="0" w:lastRowFirstColumn="0" w:lastRowLastColumn="0"/>
            </w:pPr>
            <w:r w:rsidRPr="00C754FC">
              <w:t>AEP</w:t>
            </w:r>
          </w:p>
        </w:tc>
        <w:tc>
          <w:tcPr>
            <w:tcW w:w="2070" w:type="dxa"/>
          </w:tcPr>
          <w:p w:rsidR="00C754FC" w:rsidRPr="00C754FC" w:rsidRDefault="00C754FC">
            <w:pPr>
              <w:cnfStyle w:val="000000100000" w:firstRow="0" w:lastRow="0" w:firstColumn="0" w:lastColumn="0" w:oddVBand="0" w:evenVBand="0" w:oddHBand="1" w:evenHBand="0" w:firstRowFirstColumn="0" w:firstRowLastColumn="0" w:lastRowFirstColumn="0" w:lastRowLastColumn="0"/>
            </w:pPr>
            <w:r>
              <w:t>Norm Levine</w:t>
            </w:r>
          </w:p>
        </w:tc>
        <w:tc>
          <w:tcPr>
            <w:tcW w:w="1289" w:type="dxa"/>
            <w:gridSpan w:val="2"/>
          </w:tcPr>
          <w:p w:rsidR="00C754FC" w:rsidRPr="00C754FC" w:rsidRDefault="00C754FC">
            <w:pPr>
              <w:cnfStyle w:val="000000100000" w:firstRow="0" w:lastRow="0" w:firstColumn="0" w:lastColumn="0" w:oddVBand="0" w:evenVBand="0" w:oddHBand="1" w:evenHBand="0" w:firstRowFirstColumn="0" w:firstRowLastColumn="0" w:lastRowFirstColumn="0" w:lastRowLastColumn="0"/>
            </w:pPr>
            <w:r>
              <w:t>Direct</w:t>
            </w:r>
          </w:p>
        </w:tc>
        <w:tc>
          <w:tcPr>
            <w:tcW w:w="2131"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Sandy Morris</w:t>
            </w:r>
          </w:p>
        </w:tc>
        <w:tc>
          <w:tcPr>
            <w:tcW w:w="180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CES</w:t>
            </w:r>
          </w:p>
        </w:tc>
      </w:tr>
      <w:tr w:rsidR="00C754FC" w:rsidTr="00A74D4D">
        <w:tc>
          <w:tcPr>
            <w:cnfStyle w:val="001000000000" w:firstRow="0" w:lastRow="0" w:firstColumn="1" w:lastColumn="0" w:oddVBand="0" w:evenVBand="0" w:oddHBand="0" w:evenHBand="0" w:firstRowFirstColumn="0" w:firstRowLastColumn="0" w:lastRowFirstColumn="0" w:lastRowLastColumn="0"/>
            <w:tcW w:w="2118" w:type="dxa"/>
          </w:tcPr>
          <w:p w:rsidR="00C754FC" w:rsidRPr="00C754FC" w:rsidRDefault="00C754FC">
            <w:pPr>
              <w:rPr>
                <w:b w:val="0"/>
              </w:rPr>
            </w:pPr>
            <w:r w:rsidRPr="00C754FC">
              <w:rPr>
                <w:b w:val="0"/>
              </w:rPr>
              <w:t>Jordan Troublefield</w:t>
            </w:r>
          </w:p>
        </w:tc>
        <w:tc>
          <w:tcPr>
            <w:tcW w:w="1302" w:type="dxa"/>
          </w:tcPr>
          <w:p w:rsidR="00C754FC" w:rsidRPr="00C754FC" w:rsidRDefault="00C754FC">
            <w:pPr>
              <w:cnfStyle w:val="000000000000" w:firstRow="0" w:lastRow="0" w:firstColumn="0" w:lastColumn="0" w:oddVBand="0" w:evenVBand="0" w:oddHBand="0" w:evenHBand="0" w:firstRowFirstColumn="0" w:firstRowLastColumn="0" w:lastRowFirstColumn="0" w:lastRowLastColumn="0"/>
            </w:pPr>
            <w:r w:rsidRPr="00C754FC">
              <w:t>ERCOT</w:t>
            </w:r>
          </w:p>
        </w:tc>
        <w:tc>
          <w:tcPr>
            <w:tcW w:w="2070" w:type="dxa"/>
          </w:tcPr>
          <w:p w:rsidR="00C754FC" w:rsidRPr="00C754FC" w:rsidRDefault="00C754FC">
            <w:pPr>
              <w:cnfStyle w:val="000000000000" w:firstRow="0" w:lastRow="0" w:firstColumn="0" w:lastColumn="0" w:oddVBand="0" w:evenVBand="0" w:oddHBand="0" w:evenHBand="0" w:firstRowFirstColumn="0" w:firstRowLastColumn="0" w:lastRowFirstColumn="0" w:lastRowLastColumn="0"/>
            </w:pPr>
            <w:r>
              <w:t>Candace Cox</w:t>
            </w:r>
          </w:p>
        </w:tc>
        <w:tc>
          <w:tcPr>
            <w:tcW w:w="1289" w:type="dxa"/>
            <w:gridSpan w:val="2"/>
          </w:tcPr>
          <w:p w:rsidR="00C754FC" w:rsidRPr="00C754FC" w:rsidRDefault="00C754FC">
            <w:pPr>
              <w:cnfStyle w:val="000000000000" w:firstRow="0" w:lastRow="0" w:firstColumn="0" w:lastColumn="0" w:oddVBand="0" w:evenVBand="0" w:oddHBand="0" w:evenHBand="0" w:firstRowFirstColumn="0" w:firstRowLastColumn="0" w:lastRowFirstColumn="0" w:lastRowLastColumn="0"/>
            </w:pPr>
            <w:r>
              <w:t>Direct</w:t>
            </w:r>
          </w:p>
        </w:tc>
        <w:tc>
          <w:tcPr>
            <w:tcW w:w="2131"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Shawnee Claiborne</w:t>
            </w:r>
          </w:p>
        </w:tc>
        <w:tc>
          <w:tcPr>
            <w:tcW w:w="180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OPUC</w:t>
            </w:r>
          </w:p>
        </w:tc>
      </w:tr>
      <w:tr w:rsidR="00C754FC" w:rsidTr="00A74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rsidR="00C754FC" w:rsidRPr="00C754FC" w:rsidRDefault="00C754FC">
            <w:pPr>
              <w:rPr>
                <w:b w:val="0"/>
              </w:rPr>
            </w:pPr>
            <w:r>
              <w:rPr>
                <w:b w:val="0"/>
              </w:rPr>
              <w:t>Dave Michelson</w:t>
            </w:r>
          </w:p>
        </w:tc>
        <w:tc>
          <w:tcPr>
            <w:tcW w:w="1302" w:type="dxa"/>
          </w:tcPr>
          <w:p w:rsidR="00C754FC" w:rsidRPr="00C754FC" w:rsidRDefault="00C754FC">
            <w:pPr>
              <w:cnfStyle w:val="000000100000" w:firstRow="0" w:lastRow="0" w:firstColumn="0" w:lastColumn="0" w:oddVBand="0" w:evenVBand="0" w:oddHBand="1" w:evenHBand="0" w:firstRowFirstColumn="0" w:firstRowLastColumn="0" w:lastRowFirstColumn="0" w:lastRowLastColumn="0"/>
            </w:pPr>
            <w:r>
              <w:t>ERCOT</w:t>
            </w:r>
          </w:p>
        </w:tc>
        <w:tc>
          <w:tcPr>
            <w:tcW w:w="2070" w:type="dxa"/>
          </w:tcPr>
          <w:p w:rsidR="00C754FC" w:rsidRPr="00C754FC" w:rsidRDefault="00C754FC">
            <w:pPr>
              <w:cnfStyle w:val="000000100000" w:firstRow="0" w:lastRow="0" w:firstColumn="0" w:lastColumn="0" w:oddVBand="0" w:evenVBand="0" w:oddHBand="1" w:evenHBand="0" w:firstRowFirstColumn="0" w:firstRowLastColumn="0" w:lastRowFirstColumn="0" w:lastRowLastColumn="0"/>
            </w:pPr>
            <w:r>
              <w:t>Jennifer Schmitt</w:t>
            </w:r>
          </w:p>
        </w:tc>
        <w:tc>
          <w:tcPr>
            <w:tcW w:w="1289" w:type="dxa"/>
            <w:gridSpan w:val="2"/>
          </w:tcPr>
          <w:p w:rsidR="00C754FC" w:rsidRPr="00C754FC" w:rsidRDefault="00C754FC">
            <w:pPr>
              <w:cnfStyle w:val="000000100000" w:firstRow="0" w:lastRow="0" w:firstColumn="0" w:lastColumn="0" w:oddVBand="0" w:evenVBand="0" w:oddHBand="1" w:evenHBand="0" w:firstRowFirstColumn="0" w:firstRowLastColumn="0" w:lastRowFirstColumn="0" w:lastRowLastColumn="0"/>
            </w:pPr>
            <w:r>
              <w:t>Rhythm</w:t>
            </w:r>
          </w:p>
        </w:tc>
        <w:tc>
          <w:tcPr>
            <w:tcW w:w="2131"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Emily Black Huynh</w:t>
            </w:r>
          </w:p>
        </w:tc>
        <w:tc>
          <w:tcPr>
            <w:tcW w:w="180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EDF</w:t>
            </w:r>
          </w:p>
        </w:tc>
      </w:tr>
      <w:tr w:rsidR="00C754FC" w:rsidTr="00A74D4D">
        <w:tc>
          <w:tcPr>
            <w:cnfStyle w:val="001000000000" w:firstRow="0" w:lastRow="0" w:firstColumn="1" w:lastColumn="0" w:oddVBand="0" w:evenVBand="0" w:oddHBand="0" w:evenHBand="0" w:firstRowFirstColumn="0" w:firstRowLastColumn="0" w:lastRowFirstColumn="0" w:lastRowLastColumn="0"/>
            <w:tcW w:w="2118" w:type="dxa"/>
          </w:tcPr>
          <w:p w:rsidR="00C754FC" w:rsidRPr="00C754FC" w:rsidRDefault="00C754FC">
            <w:pPr>
              <w:rPr>
                <w:b w:val="0"/>
              </w:rPr>
            </w:pPr>
            <w:r>
              <w:rPr>
                <w:b w:val="0"/>
              </w:rPr>
              <w:t>Mark Ruane</w:t>
            </w:r>
          </w:p>
        </w:tc>
        <w:tc>
          <w:tcPr>
            <w:tcW w:w="1302" w:type="dxa"/>
          </w:tcPr>
          <w:p w:rsidR="00C754FC" w:rsidRPr="00C754FC" w:rsidRDefault="00C754FC">
            <w:pPr>
              <w:cnfStyle w:val="000000000000" w:firstRow="0" w:lastRow="0" w:firstColumn="0" w:lastColumn="0" w:oddVBand="0" w:evenVBand="0" w:oddHBand="0" w:evenHBand="0" w:firstRowFirstColumn="0" w:firstRowLastColumn="0" w:lastRowFirstColumn="0" w:lastRowLastColumn="0"/>
            </w:pPr>
            <w:r>
              <w:t>ERCOT</w:t>
            </w:r>
          </w:p>
        </w:tc>
        <w:tc>
          <w:tcPr>
            <w:tcW w:w="2070" w:type="dxa"/>
          </w:tcPr>
          <w:p w:rsidR="00C754FC" w:rsidRPr="00C754FC" w:rsidRDefault="00C754FC">
            <w:pPr>
              <w:cnfStyle w:val="000000000000" w:firstRow="0" w:lastRow="0" w:firstColumn="0" w:lastColumn="0" w:oddVBand="0" w:evenVBand="0" w:oddHBand="0" w:evenHBand="0" w:firstRowFirstColumn="0" w:firstRowLastColumn="0" w:lastRowFirstColumn="0" w:lastRowLastColumn="0"/>
            </w:pPr>
            <w:r>
              <w:t>Sherrie Huang</w:t>
            </w:r>
          </w:p>
        </w:tc>
        <w:tc>
          <w:tcPr>
            <w:tcW w:w="1289" w:type="dxa"/>
            <w:gridSpan w:val="2"/>
          </w:tcPr>
          <w:p w:rsidR="00C754FC" w:rsidRPr="00C754FC" w:rsidRDefault="00C754FC">
            <w:pPr>
              <w:cnfStyle w:val="000000000000" w:firstRow="0" w:lastRow="0" w:firstColumn="0" w:lastColumn="0" w:oddVBand="0" w:evenVBand="0" w:oddHBand="0" w:evenHBand="0" w:firstRowFirstColumn="0" w:firstRowLastColumn="0" w:lastRowFirstColumn="0" w:lastRowLastColumn="0"/>
            </w:pPr>
            <w:r>
              <w:t>Rhythm</w:t>
            </w:r>
          </w:p>
        </w:tc>
        <w:tc>
          <w:tcPr>
            <w:tcW w:w="2131"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proofErr w:type="spellStart"/>
            <w:r>
              <w:t>Sangbum</w:t>
            </w:r>
            <w:proofErr w:type="spellEnd"/>
            <w:r>
              <w:t xml:space="preserve"> Lee</w:t>
            </w:r>
          </w:p>
        </w:tc>
        <w:tc>
          <w:tcPr>
            <w:tcW w:w="180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proofErr w:type="spellStart"/>
            <w:r>
              <w:t>Texpo</w:t>
            </w:r>
            <w:proofErr w:type="spellEnd"/>
          </w:p>
        </w:tc>
      </w:tr>
      <w:tr w:rsidR="00C754FC" w:rsidTr="00A74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rsidR="00C754FC" w:rsidRPr="00C754FC" w:rsidRDefault="00C754FC">
            <w:pPr>
              <w:rPr>
                <w:b w:val="0"/>
              </w:rPr>
            </w:pPr>
            <w:r>
              <w:rPr>
                <w:b w:val="0"/>
              </w:rPr>
              <w:t>Randy Roberts</w:t>
            </w:r>
          </w:p>
        </w:tc>
        <w:tc>
          <w:tcPr>
            <w:tcW w:w="1302" w:type="dxa"/>
          </w:tcPr>
          <w:p w:rsidR="00C754FC" w:rsidRPr="00C754FC" w:rsidRDefault="00C754FC">
            <w:pPr>
              <w:cnfStyle w:val="000000100000" w:firstRow="0" w:lastRow="0" w:firstColumn="0" w:lastColumn="0" w:oddVBand="0" w:evenVBand="0" w:oddHBand="1" w:evenHBand="0" w:firstRowFirstColumn="0" w:firstRowLastColumn="0" w:lastRowFirstColumn="0" w:lastRowLastColumn="0"/>
            </w:pPr>
            <w:r>
              <w:t>ERCOT</w:t>
            </w:r>
          </w:p>
        </w:tc>
        <w:tc>
          <w:tcPr>
            <w:tcW w:w="2070" w:type="dxa"/>
          </w:tcPr>
          <w:p w:rsidR="00C754FC" w:rsidRPr="00C754FC" w:rsidRDefault="00C754FC">
            <w:pPr>
              <w:cnfStyle w:val="000000100000" w:firstRow="0" w:lastRow="0" w:firstColumn="0" w:lastColumn="0" w:oddVBand="0" w:evenVBand="0" w:oddHBand="1" w:evenHBand="0" w:firstRowFirstColumn="0" w:firstRowLastColumn="0" w:lastRowFirstColumn="0" w:lastRowLastColumn="0"/>
            </w:pPr>
            <w:r>
              <w:t xml:space="preserve">Randy </w:t>
            </w:r>
            <w:proofErr w:type="spellStart"/>
            <w:r>
              <w:t>Gongora</w:t>
            </w:r>
            <w:proofErr w:type="spellEnd"/>
          </w:p>
        </w:tc>
        <w:tc>
          <w:tcPr>
            <w:tcW w:w="1289" w:type="dxa"/>
            <w:gridSpan w:val="2"/>
          </w:tcPr>
          <w:p w:rsidR="00C754FC" w:rsidRPr="00C754FC" w:rsidRDefault="00C754FC">
            <w:pPr>
              <w:cnfStyle w:val="000000100000" w:firstRow="0" w:lastRow="0" w:firstColumn="0" w:lastColumn="0" w:oddVBand="0" w:evenVBand="0" w:oddHBand="1" w:evenHBand="0" w:firstRowFirstColumn="0" w:firstRowLastColumn="0" w:lastRowFirstColumn="0" w:lastRowLastColumn="0"/>
            </w:pPr>
            <w:r>
              <w:t>Rhythm</w:t>
            </w:r>
          </w:p>
        </w:tc>
        <w:tc>
          <w:tcPr>
            <w:tcW w:w="2131"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Chris Hendrix</w:t>
            </w:r>
          </w:p>
        </w:tc>
        <w:tc>
          <w:tcPr>
            <w:tcW w:w="180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Demand Control</w:t>
            </w:r>
          </w:p>
        </w:tc>
      </w:tr>
      <w:tr w:rsidR="00C754FC" w:rsidTr="00A74D4D">
        <w:tc>
          <w:tcPr>
            <w:cnfStyle w:val="001000000000" w:firstRow="0" w:lastRow="0" w:firstColumn="1" w:lastColumn="0" w:oddVBand="0" w:evenVBand="0" w:oddHBand="0" w:evenHBand="0" w:firstRowFirstColumn="0" w:firstRowLastColumn="0" w:lastRowFirstColumn="0" w:lastRowLastColumn="0"/>
            <w:tcW w:w="2118" w:type="dxa"/>
          </w:tcPr>
          <w:p w:rsidR="00C754FC" w:rsidRDefault="00C754FC">
            <w:pPr>
              <w:rPr>
                <w:b w:val="0"/>
              </w:rPr>
            </w:pPr>
            <w:r>
              <w:rPr>
                <w:b w:val="0"/>
              </w:rPr>
              <w:t>Catherine Meiners</w:t>
            </w:r>
          </w:p>
        </w:tc>
        <w:tc>
          <w:tcPr>
            <w:tcW w:w="1302" w:type="dxa"/>
          </w:tcPr>
          <w:p w:rsidR="00C754FC" w:rsidRDefault="00C754FC">
            <w:pPr>
              <w:cnfStyle w:val="000000000000" w:firstRow="0" w:lastRow="0" w:firstColumn="0" w:lastColumn="0" w:oddVBand="0" w:evenVBand="0" w:oddHBand="0" w:evenHBand="0" w:firstRowFirstColumn="0" w:firstRowLastColumn="0" w:lastRowFirstColumn="0" w:lastRowLastColumn="0"/>
            </w:pPr>
            <w:r>
              <w:t>ERCOT</w:t>
            </w:r>
          </w:p>
        </w:tc>
        <w:tc>
          <w:tcPr>
            <w:tcW w:w="207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Marilyn Hudson</w:t>
            </w:r>
          </w:p>
        </w:tc>
        <w:tc>
          <w:tcPr>
            <w:tcW w:w="1289" w:type="dxa"/>
            <w:gridSpan w:val="2"/>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CNP</w:t>
            </w:r>
          </w:p>
        </w:tc>
        <w:tc>
          <w:tcPr>
            <w:tcW w:w="2131"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Scott Smith</w:t>
            </w:r>
          </w:p>
        </w:tc>
        <w:tc>
          <w:tcPr>
            <w:tcW w:w="180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Tenaska</w:t>
            </w:r>
          </w:p>
        </w:tc>
      </w:tr>
      <w:tr w:rsidR="00C754FC" w:rsidTr="00A74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rsidR="00C754FC" w:rsidRDefault="00C754FC">
            <w:pPr>
              <w:rPr>
                <w:b w:val="0"/>
              </w:rPr>
            </w:pPr>
            <w:r>
              <w:rPr>
                <w:b w:val="0"/>
              </w:rPr>
              <w:t>Debbie McKeever</w:t>
            </w:r>
          </w:p>
        </w:tc>
        <w:tc>
          <w:tcPr>
            <w:tcW w:w="1302" w:type="dxa"/>
          </w:tcPr>
          <w:p w:rsidR="00C754FC" w:rsidRDefault="00C754FC">
            <w:pPr>
              <w:cnfStyle w:val="000000100000" w:firstRow="0" w:lastRow="0" w:firstColumn="0" w:lastColumn="0" w:oddVBand="0" w:evenVBand="0" w:oddHBand="1" w:evenHBand="0" w:firstRowFirstColumn="0" w:firstRowLastColumn="0" w:lastRowFirstColumn="0" w:lastRowLastColumn="0"/>
            </w:pPr>
            <w:r>
              <w:t>Oncor</w:t>
            </w:r>
          </w:p>
        </w:tc>
        <w:tc>
          <w:tcPr>
            <w:tcW w:w="207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John Hudson</w:t>
            </w:r>
          </w:p>
        </w:tc>
        <w:tc>
          <w:tcPr>
            <w:tcW w:w="1289" w:type="dxa"/>
            <w:gridSpan w:val="2"/>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CNP</w:t>
            </w:r>
          </w:p>
        </w:tc>
        <w:tc>
          <w:tcPr>
            <w:tcW w:w="2131"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 xml:space="preserve">David </w:t>
            </w:r>
            <w:proofErr w:type="spellStart"/>
            <w:r>
              <w:t>Kee</w:t>
            </w:r>
            <w:proofErr w:type="spellEnd"/>
          </w:p>
        </w:tc>
        <w:tc>
          <w:tcPr>
            <w:tcW w:w="180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CPS</w:t>
            </w:r>
          </w:p>
        </w:tc>
      </w:tr>
      <w:tr w:rsidR="00A74D4D" w:rsidTr="00A74D4D">
        <w:tc>
          <w:tcPr>
            <w:cnfStyle w:val="001000000000" w:firstRow="0" w:lastRow="0" w:firstColumn="1" w:lastColumn="0" w:oddVBand="0" w:evenVBand="0" w:oddHBand="0" w:evenHBand="0" w:firstRowFirstColumn="0" w:firstRowLastColumn="0" w:lastRowFirstColumn="0" w:lastRowLastColumn="0"/>
            <w:tcW w:w="2118" w:type="dxa"/>
          </w:tcPr>
          <w:p w:rsidR="00C754FC" w:rsidRPr="00C754FC" w:rsidRDefault="00C754FC">
            <w:pPr>
              <w:rPr>
                <w:b w:val="0"/>
              </w:rPr>
            </w:pPr>
            <w:r>
              <w:rPr>
                <w:b w:val="0"/>
              </w:rPr>
              <w:t>Chris Rowley</w:t>
            </w:r>
          </w:p>
        </w:tc>
        <w:tc>
          <w:tcPr>
            <w:tcW w:w="1302" w:type="dxa"/>
          </w:tcPr>
          <w:p w:rsidR="00C754FC" w:rsidRPr="00C754FC" w:rsidRDefault="00C754FC">
            <w:pPr>
              <w:cnfStyle w:val="000000000000" w:firstRow="0" w:lastRow="0" w:firstColumn="0" w:lastColumn="0" w:oddVBand="0" w:evenVBand="0" w:oddHBand="0" w:evenHBand="0" w:firstRowFirstColumn="0" w:firstRowLastColumn="0" w:lastRowFirstColumn="0" w:lastRowLastColumn="0"/>
            </w:pPr>
            <w:r>
              <w:t>Oncor</w:t>
            </w:r>
          </w:p>
        </w:tc>
        <w:tc>
          <w:tcPr>
            <w:tcW w:w="207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Anthony Johnson</w:t>
            </w:r>
          </w:p>
        </w:tc>
        <w:tc>
          <w:tcPr>
            <w:tcW w:w="1289" w:type="dxa"/>
            <w:gridSpan w:val="2"/>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CNP</w:t>
            </w:r>
          </w:p>
        </w:tc>
        <w:tc>
          <w:tcPr>
            <w:tcW w:w="2131"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Diane Coleman</w:t>
            </w:r>
          </w:p>
        </w:tc>
        <w:tc>
          <w:tcPr>
            <w:tcW w:w="180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CPS</w:t>
            </w:r>
          </w:p>
        </w:tc>
      </w:tr>
      <w:tr w:rsidR="00C754FC" w:rsidTr="00A74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rsidR="00C754FC" w:rsidRDefault="00C754FC">
            <w:pPr>
              <w:rPr>
                <w:b w:val="0"/>
              </w:rPr>
            </w:pPr>
            <w:r>
              <w:rPr>
                <w:b w:val="0"/>
              </w:rPr>
              <w:t>Sam Pak</w:t>
            </w:r>
          </w:p>
        </w:tc>
        <w:tc>
          <w:tcPr>
            <w:tcW w:w="1302" w:type="dxa"/>
          </w:tcPr>
          <w:p w:rsidR="00C754FC" w:rsidRDefault="00C754FC">
            <w:pPr>
              <w:cnfStyle w:val="000000100000" w:firstRow="0" w:lastRow="0" w:firstColumn="0" w:lastColumn="0" w:oddVBand="0" w:evenVBand="0" w:oddHBand="1" w:evenHBand="0" w:firstRowFirstColumn="0" w:firstRowLastColumn="0" w:lastRowFirstColumn="0" w:lastRowLastColumn="0"/>
            </w:pPr>
            <w:r>
              <w:t>Oncor</w:t>
            </w:r>
          </w:p>
        </w:tc>
        <w:tc>
          <w:tcPr>
            <w:tcW w:w="207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Alberto Lopez</w:t>
            </w:r>
          </w:p>
        </w:tc>
        <w:tc>
          <w:tcPr>
            <w:tcW w:w="1289" w:type="dxa"/>
            <w:gridSpan w:val="2"/>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CNP</w:t>
            </w:r>
          </w:p>
        </w:tc>
        <w:tc>
          <w:tcPr>
            <w:tcW w:w="2131"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Deb Belin</w:t>
            </w:r>
          </w:p>
        </w:tc>
        <w:tc>
          <w:tcPr>
            <w:tcW w:w="180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Marketwise</w:t>
            </w:r>
          </w:p>
        </w:tc>
      </w:tr>
      <w:tr w:rsidR="00C754FC" w:rsidTr="00A74D4D">
        <w:tc>
          <w:tcPr>
            <w:cnfStyle w:val="001000000000" w:firstRow="0" w:lastRow="0" w:firstColumn="1" w:lastColumn="0" w:oddVBand="0" w:evenVBand="0" w:oddHBand="0" w:evenHBand="0" w:firstRowFirstColumn="0" w:firstRowLastColumn="0" w:lastRowFirstColumn="0" w:lastRowLastColumn="0"/>
            <w:tcW w:w="2118" w:type="dxa"/>
          </w:tcPr>
          <w:p w:rsidR="00C754FC" w:rsidRDefault="00C754FC">
            <w:pPr>
              <w:rPr>
                <w:b w:val="0"/>
              </w:rPr>
            </w:pPr>
            <w:r>
              <w:rPr>
                <w:b w:val="0"/>
              </w:rPr>
              <w:t>Heather Fails</w:t>
            </w:r>
          </w:p>
        </w:tc>
        <w:tc>
          <w:tcPr>
            <w:tcW w:w="1302" w:type="dxa"/>
          </w:tcPr>
          <w:p w:rsidR="00C754FC" w:rsidRDefault="00C754FC">
            <w:pPr>
              <w:cnfStyle w:val="000000000000" w:firstRow="0" w:lastRow="0" w:firstColumn="0" w:lastColumn="0" w:oddVBand="0" w:evenVBand="0" w:oddHBand="0" w:evenHBand="0" w:firstRowFirstColumn="0" w:firstRowLastColumn="0" w:lastRowFirstColumn="0" w:lastRowLastColumn="0"/>
            </w:pPr>
            <w:r>
              <w:t>Oncor</w:t>
            </w:r>
          </w:p>
        </w:tc>
        <w:tc>
          <w:tcPr>
            <w:tcW w:w="207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Chris Dominguez</w:t>
            </w:r>
          </w:p>
        </w:tc>
        <w:tc>
          <w:tcPr>
            <w:tcW w:w="1289" w:type="dxa"/>
            <w:gridSpan w:val="2"/>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CNP</w:t>
            </w:r>
          </w:p>
        </w:tc>
        <w:tc>
          <w:tcPr>
            <w:tcW w:w="2131"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 xml:space="preserve">Malcolm </w:t>
            </w:r>
            <w:proofErr w:type="spellStart"/>
            <w:r>
              <w:t>Ainspan</w:t>
            </w:r>
            <w:proofErr w:type="spellEnd"/>
          </w:p>
        </w:tc>
        <w:tc>
          <w:tcPr>
            <w:tcW w:w="180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w:t>
            </w:r>
          </w:p>
        </w:tc>
      </w:tr>
      <w:tr w:rsidR="00C754FC" w:rsidTr="00A74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rsidR="00C754FC" w:rsidRDefault="00C754FC">
            <w:pPr>
              <w:rPr>
                <w:b w:val="0"/>
              </w:rPr>
            </w:pPr>
            <w:r>
              <w:rPr>
                <w:b w:val="0"/>
              </w:rPr>
              <w:t>Sheri Wiegand</w:t>
            </w:r>
          </w:p>
        </w:tc>
        <w:tc>
          <w:tcPr>
            <w:tcW w:w="1302" w:type="dxa"/>
          </w:tcPr>
          <w:p w:rsidR="00C754FC" w:rsidRDefault="00C754FC">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c>
          <w:tcPr>
            <w:tcW w:w="207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Kathy Scott</w:t>
            </w:r>
          </w:p>
        </w:tc>
        <w:tc>
          <w:tcPr>
            <w:tcW w:w="1289" w:type="dxa"/>
            <w:gridSpan w:val="2"/>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CNP</w:t>
            </w:r>
          </w:p>
        </w:tc>
        <w:tc>
          <w:tcPr>
            <w:tcW w:w="2131"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 xml:space="preserve">Greg </w:t>
            </w:r>
            <w:proofErr w:type="spellStart"/>
            <w:r>
              <w:t>Veiseh</w:t>
            </w:r>
            <w:proofErr w:type="spellEnd"/>
          </w:p>
        </w:tc>
        <w:tc>
          <w:tcPr>
            <w:tcW w:w="180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w:t>
            </w:r>
          </w:p>
        </w:tc>
      </w:tr>
      <w:tr w:rsidR="00C754FC" w:rsidTr="00A74D4D">
        <w:tc>
          <w:tcPr>
            <w:cnfStyle w:val="001000000000" w:firstRow="0" w:lastRow="0" w:firstColumn="1" w:lastColumn="0" w:oddVBand="0" w:evenVBand="0" w:oddHBand="0" w:evenHBand="0" w:firstRowFirstColumn="0" w:firstRowLastColumn="0" w:lastRowFirstColumn="0" w:lastRowLastColumn="0"/>
            <w:tcW w:w="2118" w:type="dxa"/>
          </w:tcPr>
          <w:p w:rsidR="00C754FC" w:rsidRDefault="00C754FC">
            <w:pPr>
              <w:rPr>
                <w:b w:val="0"/>
              </w:rPr>
            </w:pPr>
            <w:r>
              <w:rPr>
                <w:b w:val="0"/>
              </w:rPr>
              <w:t>John Schatz</w:t>
            </w:r>
          </w:p>
        </w:tc>
        <w:tc>
          <w:tcPr>
            <w:tcW w:w="1302" w:type="dxa"/>
          </w:tcPr>
          <w:p w:rsidR="00C754FC" w:rsidRDefault="00C754FC">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07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Perrin Wall</w:t>
            </w:r>
          </w:p>
        </w:tc>
        <w:tc>
          <w:tcPr>
            <w:tcW w:w="1289" w:type="dxa"/>
            <w:gridSpan w:val="2"/>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CNP</w:t>
            </w:r>
          </w:p>
        </w:tc>
        <w:tc>
          <w:tcPr>
            <w:tcW w:w="2131"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Martin Ramirez</w:t>
            </w:r>
          </w:p>
        </w:tc>
        <w:tc>
          <w:tcPr>
            <w:tcW w:w="180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w:t>
            </w:r>
          </w:p>
        </w:tc>
      </w:tr>
      <w:tr w:rsidR="00C754FC" w:rsidTr="00A74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rsidR="00C754FC" w:rsidRDefault="00C754FC">
            <w:pPr>
              <w:rPr>
                <w:b w:val="0"/>
              </w:rPr>
            </w:pPr>
            <w:r>
              <w:rPr>
                <w:b w:val="0"/>
              </w:rPr>
              <w:t>Diana Rehfeldt</w:t>
            </w:r>
          </w:p>
        </w:tc>
        <w:tc>
          <w:tcPr>
            <w:tcW w:w="1302" w:type="dxa"/>
          </w:tcPr>
          <w:p w:rsidR="00C754FC" w:rsidRDefault="00C754FC">
            <w:pPr>
              <w:cnfStyle w:val="000000100000" w:firstRow="0" w:lastRow="0" w:firstColumn="0" w:lastColumn="0" w:oddVBand="0" w:evenVBand="0" w:oddHBand="1" w:evenHBand="0" w:firstRowFirstColumn="0" w:firstRowLastColumn="0" w:lastRowFirstColumn="0" w:lastRowLastColumn="0"/>
            </w:pPr>
            <w:r>
              <w:t>TNMP</w:t>
            </w:r>
          </w:p>
        </w:tc>
        <w:tc>
          <w:tcPr>
            <w:tcW w:w="207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Carolyn Reed</w:t>
            </w:r>
          </w:p>
        </w:tc>
        <w:tc>
          <w:tcPr>
            <w:tcW w:w="1289" w:type="dxa"/>
            <w:gridSpan w:val="2"/>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CNP</w:t>
            </w:r>
          </w:p>
        </w:tc>
        <w:tc>
          <w:tcPr>
            <w:tcW w:w="2131"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Lori Lee Barfield</w:t>
            </w:r>
          </w:p>
        </w:tc>
        <w:tc>
          <w:tcPr>
            <w:tcW w:w="180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w:t>
            </w:r>
          </w:p>
        </w:tc>
      </w:tr>
      <w:tr w:rsidR="00C754FC" w:rsidTr="00A74D4D">
        <w:tc>
          <w:tcPr>
            <w:cnfStyle w:val="001000000000" w:firstRow="0" w:lastRow="0" w:firstColumn="1" w:lastColumn="0" w:oddVBand="0" w:evenVBand="0" w:oddHBand="0" w:evenHBand="0" w:firstRowFirstColumn="0" w:firstRowLastColumn="0" w:lastRowFirstColumn="0" w:lastRowLastColumn="0"/>
            <w:tcW w:w="2118" w:type="dxa"/>
          </w:tcPr>
          <w:p w:rsidR="00C754FC" w:rsidRDefault="00C754FC">
            <w:pPr>
              <w:rPr>
                <w:b w:val="0"/>
              </w:rPr>
            </w:pPr>
            <w:r>
              <w:rPr>
                <w:b w:val="0"/>
              </w:rPr>
              <w:t>Kyle Patrick</w:t>
            </w:r>
          </w:p>
        </w:tc>
        <w:tc>
          <w:tcPr>
            <w:tcW w:w="1302" w:type="dxa"/>
          </w:tcPr>
          <w:p w:rsidR="00C754FC" w:rsidRDefault="00C754FC">
            <w:pPr>
              <w:cnfStyle w:val="000000000000" w:firstRow="0" w:lastRow="0" w:firstColumn="0" w:lastColumn="0" w:oddVBand="0" w:evenVBand="0" w:oddHBand="0" w:evenHBand="0" w:firstRowFirstColumn="0" w:firstRowLastColumn="0" w:lastRowFirstColumn="0" w:lastRowLastColumn="0"/>
            </w:pPr>
            <w:r>
              <w:t>NRG</w:t>
            </w:r>
          </w:p>
        </w:tc>
        <w:tc>
          <w:tcPr>
            <w:tcW w:w="207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Jill Bell</w:t>
            </w:r>
          </w:p>
        </w:tc>
        <w:tc>
          <w:tcPr>
            <w:tcW w:w="1289" w:type="dxa"/>
            <w:gridSpan w:val="2"/>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CNP</w:t>
            </w:r>
          </w:p>
        </w:tc>
        <w:tc>
          <w:tcPr>
            <w:tcW w:w="2131"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Eric</w:t>
            </w:r>
          </w:p>
        </w:tc>
        <w:tc>
          <w:tcPr>
            <w:tcW w:w="180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w:t>
            </w:r>
          </w:p>
        </w:tc>
      </w:tr>
      <w:tr w:rsidR="00C754FC" w:rsidTr="00A74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rsidR="00C754FC" w:rsidRDefault="00C754FC">
            <w:pPr>
              <w:rPr>
                <w:b w:val="0"/>
              </w:rPr>
            </w:pPr>
            <w:r>
              <w:rPr>
                <w:b w:val="0"/>
              </w:rPr>
              <w:t>Lauren Damen</w:t>
            </w:r>
          </w:p>
        </w:tc>
        <w:tc>
          <w:tcPr>
            <w:tcW w:w="1302" w:type="dxa"/>
          </w:tcPr>
          <w:p w:rsidR="00C754FC" w:rsidRDefault="00C754FC">
            <w:pPr>
              <w:cnfStyle w:val="000000100000" w:firstRow="0" w:lastRow="0" w:firstColumn="0" w:lastColumn="0" w:oddVBand="0" w:evenVBand="0" w:oddHBand="1" w:evenHBand="0" w:firstRowFirstColumn="0" w:firstRowLastColumn="0" w:lastRowFirstColumn="0" w:lastRowLastColumn="0"/>
            </w:pPr>
            <w:r>
              <w:t>NRG</w:t>
            </w:r>
          </w:p>
        </w:tc>
        <w:tc>
          <w:tcPr>
            <w:tcW w:w="207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P Garcia</w:t>
            </w:r>
          </w:p>
        </w:tc>
        <w:tc>
          <w:tcPr>
            <w:tcW w:w="1289" w:type="dxa"/>
            <w:gridSpan w:val="2"/>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w:t>
            </w:r>
          </w:p>
        </w:tc>
        <w:tc>
          <w:tcPr>
            <w:tcW w:w="2131"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Brian</w:t>
            </w:r>
          </w:p>
        </w:tc>
        <w:tc>
          <w:tcPr>
            <w:tcW w:w="1800" w:type="dxa"/>
          </w:tcPr>
          <w:p w:rsidR="00C754FC" w:rsidRPr="00C754FC" w:rsidRDefault="00A74D4D">
            <w:pPr>
              <w:cnfStyle w:val="000000100000" w:firstRow="0" w:lastRow="0" w:firstColumn="0" w:lastColumn="0" w:oddVBand="0" w:evenVBand="0" w:oddHBand="1" w:evenHBand="0" w:firstRowFirstColumn="0" w:firstRowLastColumn="0" w:lastRowFirstColumn="0" w:lastRowLastColumn="0"/>
            </w:pPr>
            <w:r>
              <w:t>?</w:t>
            </w:r>
          </w:p>
        </w:tc>
      </w:tr>
      <w:tr w:rsidR="00C754FC" w:rsidTr="00A74D4D">
        <w:tc>
          <w:tcPr>
            <w:cnfStyle w:val="001000000000" w:firstRow="0" w:lastRow="0" w:firstColumn="1" w:lastColumn="0" w:oddVBand="0" w:evenVBand="0" w:oddHBand="0" w:evenHBand="0" w:firstRowFirstColumn="0" w:firstRowLastColumn="0" w:lastRowFirstColumn="0" w:lastRowLastColumn="0"/>
            <w:tcW w:w="2118" w:type="dxa"/>
          </w:tcPr>
          <w:p w:rsidR="00C754FC" w:rsidRDefault="00C754FC">
            <w:pPr>
              <w:rPr>
                <w:b w:val="0"/>
              </w:rPr>
            </w:pPr>
          </w:p>
        </w:tc>
        <w:tc>
          <w:tcPr>
            <w:tcW w:w="1302" w:type="dxa"/>
          </w:tcPr>
          <w:p w:rsidR="00C754FC" w:rsidRDefault="00C754FC">
            <w:pPr>
              <w:cnfStyle w:val="000000000000" w:firstRow="0" w:lastRow="0" w:firstColumn="0" w:lastColumn="0" w:oddVBand="0" w:evenVBand="0" w:oddHBand="0" w:evenHBand="0" w:firstRowFirstColumn="0" w:firstRowLastColumn="0" w:lastRowFirstColumn="0" w:lastRowLastColumn="0"/>
            </w:pPr>
          </w:p>
        </w:tc>
        <w:tc>
          <w:tcPr>
            <w:tcW w:w="2070" w:type="dxa"/>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Stephanie Baldwin</w:t>
            </w:r>
          </w:p>
        </w:tc>
        <w:tc>
          <w:tcPr>
            <w:tcW w:w="1289" w:type="dxa"/>
            <w:gridSpan w:val="2"/>
          </w:tcPr>
          <w:p w:rsidR="00C754FC" w:rsidRPr="00C754FC" w:rsidRDefault="00A74D4D">
            <w:pPr>
              <w:cnfStyle w:val="000000000000" w:firstRow="0" w:lastRow="0" w:firstColumn="0" w:lastColumn="0" w:oddVBand="0" w:evenVBand="0" w:oddHBand="0" w:evenHBand="0" w:firstRowFirstColumn="0" w:firstRowLastColumn="0" w:lastRowFirstColumn="0" w:lastRowLastColumn="0"/>
            </w:pPr>
            <w:r>
              <w:t>?</w:t>
            </w:r>
          </w:p>
        </w:tc>
        <w:tc>
          <w:tcPr>
            <w:tcW w:w="2131" w:type="dxa"/>
          </w:tcPr>
          <w:p w:rsidR="00C754FC" w:rsidRPr="00C754FC" w:rsidRDefault="00C754FC">
            <w:pPr>
              <w:cnfStyle w:val="000000000000" w:firstRow="0" w:lastRow="0" w:firstColumn="0" w:lastColumn="0" w:oddVBand="0" w:evenVBand="0" w:oddHBand="0" w:evenHBand="0" w:firstRowFirstColumn="0" w:firstRowLastColumn="0" w:lastRowFirstColumn="0" w:lastRowLastColumn="0"/>
            </w:pPr>
          </w:p>
        </w:tc>
        <w:tc>
          <w:tcPr>
            <w:tcW w:w="1800" w:type="dxa"/>
          </w:tcPr>
          <w:p w:rsidR="00C754FC" w:rsidRPr="00C754FC" w:rsidRDefault="00C754FC">
            <w:pPr>
              <w:cnfStyle w:val="000000000000" w:firstRow="0" w:lastRow="0" w:firstColumn="0" w:lastColumn="0" w:oddVBand="0" w:evenVBand="0" w:oddHBand="0" w:evenHBand="0" w:firstRowFirstColumn="0" w:firstRowLastColumn="0" w:lastRowFirstColumn="0" w:lastRowLastColumn="0"/>
            </w:pPr>
          </w:p>
        </w:tc>
      </w:tr>
    </w:tbl>
    <w:p w:rsidR="00C754FC" w:rsidRDefault="00C754FC">
      <w:pPr>
        <w:rPr>
          <w:b/>
          <w:sz w:val="28"/>
          <w:szCs w:val="28"/>
        </w:rPr>
      </w:pPr>
    </w:p>
    <w:p w:rsidR="00A74D4D" w:rsidRDefault="001C3C84">
      <w:r>
        <w:t>Jim Lee opened the meeting reading the Antitrust Admonition.</w:t>
      </w:r>
    </w:p>
    <w:p w:rsidR="001C3C84" w:rsidRDefault="001C3C84">
      <w:r>
        <w:t>Introduction of participants were made.</w:t>
      </w:r>
    </w:p>
    <w:p w:rsidR="001C3C84" w:rsidRDefault="001C3C84"/>
    <w:p w:rsidR="001C3C84" w:rsidRDefault="001C3C84">
      <w:r>
        <w:t>Jim explained he and Sheri (leadership) met earlier to assist in restructuring the Emergency Conditions list dividing into the following five categories:</w:t>
      </w:r>
    </w:p>
    <w:p w:rsidR="001C3C84" w:rsidRDefault="001C3C84" w:rsidP="001C3C84">
      <w:pPr>
        <w:pStyle w:val="ListParagraph"/>
        <w:numPr>
          <w:ilvl w:val="0"/>
          <w:numId w:val="1"/>
        </w:numPr>
      </w:pPr>
      <w:r>
        <w:t>Communications</w:t>
      </w:r>
    </w:p>
    <w:p w:rsidR="001C3C84" w:rsidRDefault="001C3C84" w:rsidP="001C3C84">
      <w:pPr>
        <w:pStyle w:val="ListParagraph"/>
        <w:numPr>
          <w:ilvl w:val="0"/>
          <w:numId w:val="1"/>
        </w:numPr>
      </w:pPr>
      <w:r>
        <w:t>Meter Data Expectations</w:t>
      </w:r>
    </w:p>
    <w:p w:rsidR="001C3C84" w:rsidRDefault="001C3C84" w:rsidP="001C3C84">
      <w:pPr>
        <w:pStyle w:val="ListParagraph"/>
        <w:numPr>
          <w:ilvl w:val="0"/>
          <w:numId w:val="1"/>
        </w:numPr>
      </w:pPr>
      <w:r>
        <w:t>Mass Transition/Acquisition Transfer</w:t>
      </w:r>
    </w:p>
    <w:p w:rsidR="001C3C84" w:rsidRDefault="001C3C84" w:rsidP="001C3C84">
      <w:pPr>
        <w:pStyle w:val="ListParagraph"/>
        <w:numPr>
          <w:ilvl w:val="0"/>
          <w:numId w:val="1"/>
        </w:numPr>
      </w:pPr>
      <w:r>
        <w:t>Weather Preparedness</w:t>
      </w:r>
    </w:p>
    <w:p w:rsidR="001C3C84" w:rsidRDefault="001C3C84" w:rsidP="001C3C84">
      <w:pPr>
        <w:pStyle w:val="ListParagraph"/>
        <w:numPr>
          <w:ilvl w:val="0"/>
          <w:numId w:val="1"/>
        </w:numPr>
      </w:pPr>
      <w:r>
        <w:t>Awaiting PUCT Project</w:t>
      </w:r>
    </w:p>
    <w:p w:rsidR="001C3C84" w:rsidRDefault="001C3C84" w:rsidP="001C3C84"/>
    <w:p w:rsidR="001C3C84" w:rsidRDefault="001C3C84" w:rsidP="001C3C84">
      <w:r>
        <w:t xml:space="preserve">The task force reviewed the attached list adding comments, clarity, considerations, </w:t>
      </w:r>
      <w:proofErr w:type="spellStart"/>
      <w:r>
        <w:t>etc</w:t>
      </w:r>
      <w:proofErr w:type="spellEnd"/>
      <w:r>
        <w:t xml:space="preserve"> for further discussion.  If collaborative efforts are planned, those issues were noted on the list.  Near term, mid- term, and long</w:t>
      </w:r>
      <w:r w:rsidR="00BC30FA">
        <w:t>-</w:t>
      </w:r>
      <w:r>
        <w:t>term resolutions were associated with each issue.</w:t>
      </w:r>
    </w:p>
    <w:p w:rsidR="00A45165" w:rsidRDefault="00A45165" w:rsidP="001C3C84"/>
    <w:p w:rsidR="00A45165" w:rsidRDefault="00A45165" w:rsidP="001C3C84">
      <w:r w:rsidRPr="00A45165">
        <w:rPr>
          <w:u w:val="single"/>
        </w:rPr>
        <w:t>Summarizing the highlights and ACTION items</w:t>
      </w:r>
      <w:r>
        <w:t>:</w:t>
      </w:r>
    </w:p>
    <w:p w:rsidR="00A45165" w:rsidRPr="007B1E7F" w:rsidRDefault="009A3D65" w:rsidP="009A3D65">
      <w:pPr>
        <w:pStyle w:val="ListParagraph"/>
        <w:numPr>
          <w:ilvl w:val="0"/>
          <w:numId w:val="2"/>
        </w:numPr>
        <w:rPr>
          <w:b/>
        </w:rPr>
      </w:pPr>
      <w:r w:rsidRPr="007B1E7F">
        <w:rPr>
          <w:b/>
        </w:rPr>
        <w:t>Communications</w:t>
      </w:r>
    </w:p>
    <w:p w:rsidR="009A3D65" w:rsidRDefault="007B1E7F" w:rsidP="009A3D65">
      <w:pPr>
        <w:pStyle w:val="ListParagraph"/>
        <w:numPr>
          <w:ilvl w:val="1"/>
          <w:numId w:val="2"/>
        </w:numPr>
      </w:pPr>
      <w:r>
        <w:t xml:space="preserve">Listservs are being reviewed at a higher level.  Ted Hailu presented to RMS the “back up plan” should functionality experience an outage.  </w:t>
      </w:r>
      <w:r w:rsidRPr="007B1E7F">
        <w:rPr>
          <w:highlight w:val="yellow"/>
        </w:rPr>
        <w:t>ACTION ITEM</w:t>
      </w:r>
      <w:r>
        <w:t>:  Sheri will send an email to Ted requesting the process be memorialized via a market notice.</w:t>
      </w:r>
    </w:p>
    <w:p w:rsidR="007B1E7F" w:rsidRDefault="007B1E7F" w:rsidP="009A3D65">
      <w:pPr>
        <w:pStyle w:val="ListParagraph"/>
        <w:numPr>
          <w:ilvl w:val="1"/>
          <w:numId w:val="2"/>
        </w:numPr>
      </w:pPr>
      <w:r>
        <w:t>Winter and Summer Preparedness workshops were suggested for communications regarding Mass Transition process, DNP moratorium communications and EEA education (NOTE:  #5 category – Weather Preparedness is covered under #1)</w:t>
      </w:r>
    </w:p>
    <w:p w:rsidR="00AE4688" w:rsidRDefault="00AE4688" w:rsidP="00AE4688"/>
    <w:p w:rsidR="00AE4688" w:rsidRDefault="00AE4688" w:rsidP="00AE4688"/>
    <w:p w:rsidR="007B1E7F" w:rsidRPr="007B1E7F" w:rsidRDefault="007B1E7F" w:rsidP="007B1E7F">
      <w:pPr>
        <w:pStyle w:val="ListParagraph"/>
        <w:numPr>
          <w:ilvl w:val="0"/>
          <w:numId w:val="2"/>
        </w:numPr>
        <w:rPr>
          <w:b/>
        </w:rPr>
      </w:pPr>
      <w:r w:rsidRPr="007B1E7F">
        <w:rPr>
          <w:b/>
        </w:rPr>
        <w:lastRenderedPageBreak/>
        <w:t>Meter Data Expectations</w:t>
      </w:r>
    </w:p>
    <w:p w:rsidR="007B1E7F" w:rsidRDefault="007B1E7F" w:rsidP="007B1E7F">
      <w:pPr>
        <w:pStyle w:val="ListParagraph"/>
        <w:numPr>
          <w:ilvl w:val="1"/>
          <w:numId w:val="2"/>
        </w:numPr>
      </w:pPr>
      <w:r>
        <w:t xml:space="preserve">Plans call for the creation of an addendum to the current </w:t>
      </w:r>
      <w:r w:rsidRPr="007B1E7F">
        <w:rPr>
          <w:u w:val="single"/>
        </w:rPr>
        <w:t>TDSP AMS Data Practices Matrix</w:t>
      </w:r>
      <w:r>
        <w:t xml:space="preserve"> (version from 2016) to outline baseline expectations of meter data during a prolonged widespread outage event with the caveat the specific situation </w:t>
      </w:r>
      <w:r w:rsidR="003F7D20">
        <w:t xml:space="preserve">may </w:t>
      </w:r>
      <w:r>
        <w:t xml:space="preserve">drive </w:t>
      </w:r>
      <w:r w:rsidR="003F7D20">
        <w:t>deviations from the outlined action and should that occur, TDSPs will communicate those changes.</w:t>
      </w:r>
    </w:p>
    <w:p w:rsidR="003F7D20" w:rsidRDefault="003F7D20" w:rsidP="007B1E7F">
      <w:pPr>
        <w:pStyle w:val="ListParagraph"/>
        <w:numPr>
          <w:ilvl w:val="1"/>
          <w:numId w:val="2"/>
        </w:numPr>
      </w:pPr>
      <w:r w:rsidRPr="003F7D20">
        <w:rPr>
          <w:highlight w:val="yellow"/>
        </w:rPr>
        <w:t>ACTION ITEM</w:t>
      </w:r>
      <w:r>
        <w:t>:  Sheri will forward a list of suggested draft questions for the addendum matrix to the listserv.  Any additional questions from market participants should be forwarded to RECTF leadership for review at the June meeting.</w:t>
      </w:r>
    </w:p>
    <w:p w:rsidR="003F7D20" w:rsidRDefault="003F7D20" w:rsidP="007B1E7F">
      <w:pPr>
        <w:pStyle w:val="ListParagraph"/>
        <w:numPr>
          <w:ilvl w:val="1"/>
          <w:numId w:val="2"/>
        </w:numPr>
      </w:pPr>
      <w:r>
        <w:t xml:space="preserve">C &amp; I customer impacts:  </w:t>
      </w:r>
    </w:p>
    <w:p w:rsidR="003F7D20" w:rsidRDefault="003F7D20" w:rsidP="003F7D20">
      <w:pPr>
        <w:pStyle w:val="ListParagraph"/>
        <w:numPr>
          <w:ilvl w:val="2"/>
          <w:numId w:val="2"/>
        </w:numPr>
      </w:pPr>
      <w:r>
        <w:t>DR Daily Settlement data during an event driving “out of market” actions for settlement purposes…determined this topic will be discussed further as its impacts are further reaching (such as UFE).</w:t>
      </w:r>
    </w:p>
    <w:p w:rsidR="003F7D20" w:rsidRDefault="003F7D20" w:rsidP="003F7D20">
      <w:pPr>
        <w:pStyle w:val="ListParagraph"/>
        <w:numPr>
          <w:ilvl w:val="2"/>
          <w:numId w:val="2"/>
        </w:numPr>
      </w:pPr>
      <w:r>
        <w:t xml:space="preserve">Demand considerations with allowances to cancel/rebill </w:t>
      </w:r>
      <w:r w:rsidR="00D30A52">
        <w:t>due to Cold Load Pick Up impacts.</w:t>
      </w:r>
    </w:p>
    <w:p w:rsidR="00AE4688" w:rsidRDefault="00AE4688" w:rsidP="00AE4688"/>
    <w:p w:rsidR="003F7D20" w:rsidRPr="00AE4688" w:rsidRDefault="00AE4688" w:rsidP="003F7D20">
      <w:pPr>
        <w:pStyle w:val="ListParagraph"/>
        <w:numPr>
          <w:ilvl w:val="0"/>
          <w:numId w:val="2"/>
        </w:numPr>
        <w:rPr>
          <w:b/>
        </w:rPr>
      </w:pPr>
      <w:r w:rsidRPr="00AE4688">
        <w:rPr>
          <w:b/>
        </w:rPr>
        <w:t>Mass Transition/Acquisition Transfer</w:t>
      </w:r>
    </w:p>
    <w:p w:rsidR="00AE4688" w:rsidRDefault="00AE4688" w:rsidP="00AE4688">
      <w:pPr>
        <w:pStyle w:val="ListParagraph"/>
        <w:numPr>
          <w:ilvl w:val="1"/>
          <w:numId w:val="2"/>
        </w:numPr>
      </w:pPr>
      <w:r>
        <w:t>Market Education</w:t>
      </w:r>
    </w:p>
    <w:p w:rsidR="00AE4688" w:rsidRDefault="00AE4688" w:rsidP="00AE4688">
      <w:pPr>
        <w:pStyle w:val="ListParagraph"/>
        <w:numPr>
          <w:ilvl w:val="2"/>
          <w:numId w:val="2"/>
        </w:numPr>
      </w:pPr>
      <w:r>
        <w:t>Increasing the operational transparency of the process will be a collaborative effort with RMTTF in modifying the current on-line module available</w:t>
      </w:r>
    </w:p>
    <w:p w:rsidR="00AE4688" w:rsidRDefault="00AE4688" w:rsidP="00AE4688">
      <w:pPr>
        <w:pStyle w:val="ListParagraph"/>
        <w:numPr>
          <w:ilvl w:val="2"/>
          <w:numId w:val="2"/>
        </w:numPr>
      </w:pPr>
      <w:r>
        <w:t>Market notifications and awareness were questioned.  This topic is likely more associated with rule language and must consider confidentiality of bilateral agreements (one REP purchasing another REP’s book) and legal ramifications.  Concern is primarily to mitigate customer confusion.</w:t>
      </w:r>
    </w:p>
    <w:p w:rsidR="00AE4688" w:rsidRDefault="00AE4688" w:rsidP="00AE4688">
      <w:pPr>
        <w:pStyle w:val="ListParagraph"/>
        <w:numPr>
          <w:ilvl w:val="1"/>
          <w:numId w:val="2"/>
        </w:numPr>
      </w:pPr>
      <w:r>
        <w:t>Stacking Logic</w:t>
      </w:r>
    </w:p>
    <w:p w:rsidR="00AE4688" w:rsidRDefault="00AE4688" w:rsidP="00AE4688">
      <w:pPr>
        <w:pStyle w:val="ListParagraph"/>
        <w:numPr>
          <w:ilvl w:val="2"/>
          <w:numId w:val="2"/>
        </w:numPr>
      </w:pPr>
      <w:r>
        <w:t xml:space="preserve">An issue will be brought to TXSET regarding </w:t>
      </w:r>
      <w:proofErr w:type="spellStart"/>
      <w:r>
        <w:t>furture</w:t>
      </w:r>
      <w:proofErr w:type="spellEnd"/>
      <w:r>
        <w:t xml:space="preserve">-dated switches for ESIs involved in a POLR Drop where the start date is modified by ERCOT.  </w:t>
      </w:r>
    </w:p>
    <w:p w:rsidR="00AE4688" w:rsidRDefault="00AE4688" w:rsidP="00AE4688"/>
    <w:p w:rsidR="00AE4688" w:rsidRPr="00BE6978" w:rsidRDefault="00AE4688" w:rsidP="00AE4688">
      <w:pPr>
        <w:pStyle w:val="ListParagraph"/>
        <w:numPr>
          <w:ilvl w:val="0"/>
          <w:numId w:val="2"/>
        </w:numPr>
        <w:rPr>
          <w:b/>
        </w:rPr>
      </w:pPr>
      <w:r w:rsidRPr="00BE6978">
        <w:rPr>
          <w:b/>
        </w:rPr>
        <w:t xml:space="preserve">Summer/Winter Weather Preparedness  </w:t>
      </w:r>
    </w:p>
    <w:p w:rsidR="00AE4688" w:rsidRDefault="00AE4688" w:rsidP="00AE4688">
      <w:pPr>
        <w:pStyle w:val="ListParagraph"/>
        <w:numPr>
          <w:ilvl w:val="1"/>
          <w:numId w:val="2"/>
        </w:numPr>
      </w:pPr>
      <w:r>
        <w:t>This topic is covered under #1</w:t>
      </w:r>
    </w:p>
    <w:p w:rsidR="00AE4688" w:rsidRDefault="00AE4688" w:rsidP="00AE4688"/>
    <w:p w:rsidR="00AE4688" w:rsidRPr="00BE6978" w:rsidRDefault="00AE4688" w:rsidP="00AE4688">
      <w:pPr>
        <w:pStyle w:val="ListParagraph"/>
        <w:numPr>
          <w:ilvl w:val="0"/>
          <w:numId w:val="2"/>
        </w:numPr>
        <w:rPr>
          <w:b/>
        </w:rPr>
      </w:pPr>
      <w:r w:rsidRPr="00BE6978">
        <w:rPr>
          <w:b/>
        </w:rPr>
        <w:t>Awaiting PUCT Project</w:t>
      </w:r>
    </w:p>
    <w:p w:rsidR="00AE4688" w:rsidRPr="007B1E7F" w:rsidRDefault="00AE4688" w:rsidP="00AE4688">
      <w:pPr>
        <w:pStyle w:val="ListParagraph"/>
        <w:numPr>
          <w:ilvl w:val="1"/>
          <w:numId w:val="2"/>
        </w:numPr>
      </w:pPr>
      <w:r>
        <w:t>Task force reviewed items however, will not discuss pending outcome of pending PUCT projects</w:t>
      </w:r>
    </w:p>
    <w:p w:rsidR="007B1E7F" w:rsidRDefault="007B1E7F" w:rsidP="007B1E7F">
      <w:pPr>
        <w:pStyle w:val="ListParagraph"/>
        <w:ind w:left="360"/>
      </w:pPr>
    </w:p>
    <w:p w:rsidR="00BE6978" w:rsidRDefault="00BE6978" w:rsidP="007B1E7F">
      <w:pPr>
        <w:pStyle w:val="ListParagraph"/>
        <w:ind w:left="360"/>
        <w:rPr>
          <w:u w:val="single"/>
        </w:rPr>
      </w:pPr>
      <w:r w:rsidRPr="00BE6978">
        <w:rPr>
          <w:u w:val="single"/>
        </w:rPr>
        <w:t>Next Steps</w:t>
      </w:r>
      <w:r>
        <w:rPr>
          <w:u w:val="single"/>
        </w:rPr>
        <w:t>/Next Meeting</w:t>
      </w:r>
    </w:p>
    <w:p w:rsidR="00BE6978" w:rsidRDefault="00BE6978" w:rsidP="007B1E7F">
      <w:pPr>
        <w:pStyle w:val="ListParagraph"/>
        <w:ind w:left="360"/>
      </w:pPr>
      <w:r>
        <w:t xml:space="preserve">Next meeting is scheduled for </w:t>
      </w:r>
      <w:r w:rsidRPr="00BE6978">
        <w:rPr>
          <w:b/>
        </w:rPr>
        <w:t>June 29</w:t>
      </w:r>
      <w:r w:rsidRPr="00BE6978">
        <w:rPr>
          <w:b/>
          <w:vertAlign w:val="superscript"/>
        </w:rPr>
        <w:t>th</w:t>
      </w:r>
      <w:r>
        <w:t xml:space="preserve"> where task force will begin to frame ‘addendum’ Meter Data Practices matrix from the draft questions received.  </w:t>
      </w:r>
    </w:p>
    <w:p w:rsidR="00BE6978" w:rsidRDefault="00BE6978" w:rsidP="007B1E7F">
      <w:pPr>
        <w:pStyle w:val="ListParagraph"/>
        <w:ind w:left="360"/>
      </w:pPr>
      <w:bookmarkStart w:id="0" w:name="_GoBack"/>
      <w:bookmarkEnd w:id="0"/>
    </w:p>
    <w:p w:rsidR="00BE6978" w:rsidRDefault="00BE6978" w:rsidP="007B1E7F">
      <w:pPr>
        <w:pStyle w:val="ListParagraph"/>
        <w:ind w:left="360"/>
      </w:pPr>
      <w:r>
        <w:t xml:space="preserve">Leadership will meet prior to outline agenda for meeting and distribute via RECTF listserv.  Jim thanked all for their participation and encouraged participants to subscribe to new listserv. </w:t>
      </w:r>
    </w:p>
    <w:p w:rsidR="00BE6978" w:rsidRDefault="00BE6978" w:rsidP="007B1E7F">
      <w:pPr>
        <w:pStyle w:val="ListParagraph"/>
        <w:ind w:left="360"/>
      </w:pPr>
    </w:p>
    <w:p w:rsidR="00BE6978" w:rsidRPr="00BE6978" w:rsidRDefault="00BE6978" w:rsidP="007B1E7F">
      <w:pPr>
        <w:pStyle w:val="ListParagraph"/>
        <w:ind w:left="360"/>
      </w:pPr>
      <w:r>
        <w:t>Meeting adjourned ~ 12:15 PM.</w:t>
      </w:r>
    </w:p>
    <w:p w:rsidR="007B1E7F" w:rsidRPr="007B1E7F" w:rsidRDefault="007B1E7F" w:rsidP="007B1E7F"/>
    <w:p w:rsidR="001C3C84" w:rsidRDefault="001C3C84" w:rsidP="001C3C84">
      <w:pPr>
        <w:pStyle w:val="ListParagraph"/>
      </w:pPr>
    </w:p>
    <w:p w:rsidR="001C3C84" w:rsidRPr="001C3C84" w:rsidRDefault="001C3C84"/>
    <w:sectPr w:rsidR="001C3C84" w:rsidRPr="001C3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2558"/>
    <w:multiLevelType w:val="hybridMultilevel"/>
    <w:tmpl w:val="3C66A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13990"/>
    <w:multiLevelType w:val="hybridMultilevel"/>
    <w:tmpl w:val="8562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42808"/>
    <w:multiLevelType w:val="hybridMultilevel"/>
    <w:tmpl w:val="0BF8AE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FC"/>
    <w:rsid w:val="001C0126"/>
    <w:rsid w:val="001C3C84"/>
    <w:rsid w:val="003B1591"/>
    <w:rsid w:val="003F7D20"/>
    <w:rsid w:val="007B1E7F"/>
    <w:rsid w:val="009A3D65"/>
    <w:rsid w:val="00A45165"/>
    <w:rsid w:val="00A74D4D"/>
    <w:rsid w:val="00AE4688"/>
    <w:rsid w:val="00B3345E"/>
    <w:rsid w:val="00BC30FA"/>
    <w:rsid w:val="00BE6978"/>
    <w:rsid w:val="00C754FC"/>
    <w:rsid w:val="00D3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C440"/>
  <w15:chartTrackingRefBased/>
  <w15:docId w15:val="{823114F5-E7BE-4B4A-9222-5043ABA5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4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754FC"/>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1C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2021-05-19T18:08:00Z</dcterms:created>
  <dcterms:modified xsi:type="dcterms:W3CDTF">2021-05-19T18:08:00Z</dcterms:modified>
</cp:coreProperties>
</file>