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D70D7" w14:textId="77777777" w:rsidR="00A66EFC" w:rsidRDefault="00A66EFC" w:rsidP="00A66EFC">
      <w:r>
        <w:t xml:space="preserve">(13) A mass transition under this section shall not override or supersede a switch request made by a customer to switch an ESI ID to a new REP of choice, if the request was made before a mass transition is initiated. If a switch request has been made but is scheduled for any date after the next available switch date, the switch shall be made on the next available switch date. </w:t>
      </w:r>
    </w:p>
    <w:p w14:paraId="28C18DB1" w14:textId="77777777" w:rsidR="00A66EFC" w:rsidRDefault="00A66EFC" w:rsidP="00A66EFC"/>
    <w:p w14:paraId="232AD8C9" w14:textId="247E9FB4" w:rsidR="00302AF2" w:rsidRPr="00A66EFC" w:rsidRDefault="00A66EFC" w:rsidP="00A66EFC">
      <w:r>
        <w:t>(14) Customers who are mass transitioned shall be identified for a period of 60 calendar days. The identification shall terminate at the first completed switch or at the end of the 60-day period, whichever is first. If necessary, ERCOT system changes or new transactions shall be implemented no later than 14 months from the effective date of this section to communicate that a customer was acquired in a mass transition and is not charged the out-of-cycle meter read pursuant to paragraph (16) of this subsection. To the extent possible, the systems changes should be designed to ensure that the 60-day period following a mass transition, when a customer switches away from a POLR provider, the switch transaction is processed as an unprotected, out-of-cycle switch, regardless of how the switch was submitted.</w:t>
      </w:r>
    </w:p>
    <w:sectPr w:rsidR="00302AF2" w:rsidRPr="00A66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C"/>
    <w:rsid w:val="00302AF2"/>
    <w:rsid w:val="00A6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DBFF"/>
  <w15:chartTrackingRefBased/>
  <w15:docId w15:val="{BC5C56B0-6A81-4858-9A48-6C5A09C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Stephen</dc:creator>
  <cp:keywords/>
  <dc:description/>
  <cp:lastModifiedBy>Wilson, Stephen</cp:lastModifiedBy>
  <cp:revision>1</cp:revision>
  <dcterms:created xsi:type="dcterms:W3CDTF">2021-05-21T19:21:00Z</dcterms:created>
  <dcterms:modified xsi:type="dcterms:W3CDTF">2021-05-21T19:22:00Z</dcterms:modified>
</cp:coreProperties>
</file>