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EB" w:rsidRDefault="006F25EB" w:rsidP="006F25EB">
      <w:pPr>
        <w:pStyle w:val="Heading1"/>
      </w:pPr>
      <w:r w:rsidRPr="006F25EB">
        <w:t>Short-Term System Adequacy Report</w:t>
      </w:r>
    </w:p>
    <w:p w:rsidR="006F25EB" w:rsidRDefault="006F25EB" w:rsidP="006F25EB"/>
    <w:p w:rsidR="006F25EB" w:rsidRDefault="006F25EB" w:rsidP="006F25EB">
      <w:pPr>
        <w:pStyle w:val="Heading2"/>
      </w:pPr>
      <w:r>
        <w:t>Protocol</w:t>
      </w:r>
      <w:r w:rsidR="00897019">
        <w:t xml:space="preserve"> and Posting </w:t>
      </w:r>
    </w:p>
    <w:p w:rsidR="00EC0A9D" w:rsidRDefault="00BA5230" w:rsidP="00EC0A9D">
      <w:r>
        <w:t>Per Protocol</w:t>
      </w:r>
      <w:r w:rsidR="00F17080">
        <w:t xml:space="preserve"> Section</w:t>
      </w:r>
      <w:r>
        <w:t xml:space="preserve"> 3.2.3, </w:t>
      </w:r>
      <w:r w:rsidR="00F17080">
        <w:t xml:space="preserve">System Adequacy Reports, </w:t>
      </w:r>
      <w:r w:rsidR="002E2628">
        <w:t xml:space="preserve">ERCOT is required to publish reports </w:t>
      </w:r>
      <w:r w:rsidR="007C3A7D">
        <w:t xml:space="preserve">every hour </w:t>
      </w:r>
      <w:r w:rsidR="002E2628">
        <w:t>that detail the adequacy of Resources to meet projected Demand</w:t>
      </w:r>
      <w:r w:rsidR="007C3A7D">
        <w:t xml:space="preserve"> over the next 168 hours</w:t>
      </w:r>
      <w:r w:rsidR="002E2628">
        <w:t xml:space="preserve">. </w:t>
      </w:r>
      <w:r w:rsidR="00D0672B">
        <w:t>The Short-Term System Adequacy Report</w:t>
      </w:r>
      <w:r w:rsidR="002E2628">
        <w:t xml:space="preserve"> </w:t>
      </w:r>
      <w:r w:rsidR="00AA03A0">
        <w:t xml:space="preserve">aggregates the </w:t>
      </w:r>
      <w:r w:rsidR="007C3A7D">
        <w:t>capacity</w:t>
      </w:r>
      <w:r w:rsidR="006E2378">
        <w:t xml:space="preserve"> from</w:t>
      </w:r>
      <w:r w:rsidR="00AA03A0">
        <w:t xml:space="preserve"> </w:t>
      </w:r>
      <w:r w:rsidR="006E2378">
        <w:t xml:space="preserve">QSEs’ </w:t>
      </w:r>
      <w:r w:rsidR="00AA03A0">
        <w:t>Current Operating Plans (COPs) and separately report</w:t>
      </w:r>
      <w:r w:rsidR="006E2378">
        <w:t>s</w:t>
      </w:r>
      <w:r w:rsidR="00AA03A0">
        <w:t xml:space="preserve"> </w:t>
      </w:r>
      <w:r w:rsidR="006E2378">
        <w:t>the system-wide</w:t>
      </w:r>
      <w:r w:rsidR="0078721F">
        <w:t xml:space="preserve"> and Forecast Zone totals of</w:t>
      </w:r>
      <w:r w:rsidR="006E2378">
        <w:t xml:space="preserve"> </w:t>
      </w:r>
      <w:r w:rsidR="00AA03A0">
        <w:t>capacity</w:t>
      </w:r>
      <w:r w:rsidR="007C3A7D">
        <w:t xml:space="preserve"> </w:t>
      </w:r>
      <w:r>
        <w:t>from</w:t>
      </w:r>
      <w:r w:rsidR="002E2628">
        <w:t xml:space="preserve"> </w:t>
      </w:r>
      <w:r w:rsidR="00B25ED3">
        <w:t>O</w:t>
      </w:r>
      <w:r w:rsidR="002E2628">
        <w:t>n</w:t>
      </w:r>
      <w:r w:rsidR="00B25ED3">
        <w:t>-</w:t>
      </w:r>
      <w:r w:rsidR="002E2628">
        <w:t xml:space="preserve">line </w:t>
      </w:r>
      <w:r w:rsidR="00EF5691">
        <w:t>G</w:t>
      </w:r>
      <w:r w:rsidR="002E2628">
        <w:t xml:space="preserve">eneration </w:t>
      </w:r>
      <w:r w:rsidR="00EF5691">
        <w:t>R</w:t>
      </w:r>
      <w:r w:rsidR="002E2628">
        <w:t xml:space="preserve">esources, </w:t>
      </w:r>
      <w:r w:rsidR="00B25ED3">
        <w:t>O</w:t>
      </w:r>
      <w:r w:rsidR="00D0672B">
        <w:t>ff</w:t>
      </w:r>
      <w:r w:rsidR="00B25ED3">
        <w:t>-</w:t>
      </w:r>
      <w:r w:rsidR="00D0672B">
        <w:t xml:space="preserve">line and available </w:t>
      </w:r>
      <w:r w:rsidR="00EF5691">
        <w:t>G</w:t>
      </w:r>
      <w:r w:rsidR="00D0672B">
        <w:t xml:space="preserve">eneration </w:t>
      </w:r>
      <w:r w:rsidR="00EF5691">
        <w:t>R</w:t>
      </w:r>
      <w:r w:rsidR="00D0672B">
        <w:t>esource</w:t>
      </w:r>
      <w:r w:rsidR="00EF5691">
        <w:t>s</w:t>
      </w:r>
      <w:r w:rsidR="00D0672B">
        <w:t xml:space="preserve">, and </w:t>
      </w:r>
      <w:r w:rsidR="00EF5691">
        <w:t>available Load R</w:t>
      </w:r>
      <w:r w:rsidR="00D0672B">
        <w:t>esources</w:t>
      </w:r>
      <w:r w:rsidR="002E2628">
        <w:t xml:space="preserve">. </w:t>
      </w:r>
    </w:p>
    <w:p w:rsidR="0078721F" w:rsidRDefault="0078721F" w:rsidP="00643222">
      <w:r>
        <w:t>Additionally</w:t>
      </w:r>
      <w:r w:rsidR="00EC0A9D">
        <w:t xml:space="preserve">, there are </w:t>
      </w:r>
      <w:r w:rsidRPr="0078721F">
        <w:t xml:space="preserve">two columns </w:t>
      </w:r>
      <w:r w:rsidR="00EC0A9D">
        <w:t>that</w:t>
      </w:r>
      <w:r w:rsidRPr="0078721F">
        <w:t xml:space="preserve"> provide estimates of the available capacity from Generation Resources and the available capacity from reserves.  In order to avoid issues of incorrect COPs for future days, this available capacity amount </w:t>
      </w:r>
      <w:r w:rsidR="00EC0A9D">
        <w:t>is</w:t>
      </w:r>
      <w:r w:rsidRPr="0078721F">
        <w:t xml:space="preserve"> based on seasonal High Sustained Limits (HSLs)</w:t>
      </w:r>
      <w:r w:rsidR="001F506C">
        <w:t xml:space="preserve"> for </w:t>
      </w:r>
      <w:r w:rsidR="001F506C" w:rsidRPr="0078721F">
        <w:t>non-Intermittent Renewable Resource (IRR) generation</w:t>
      </w:r>
      <w:r w:rsidRPr="0078721F">
        <w:t xml:space="preserve"> and forecasted output for IRRs</w:t>
      </w:r>
      <w:r w:rsidR="001F506C">
        <w:t xml:space="preserve">, </w:t>
      </w:r>
      <w:r w:rsidR="001F506C" w:rsidRPr="0078721F">
        <w:t>minus Resource Outages for non-IRR generation</w:t>
      </w:r>
      <w:r w:rsidR="001F506C">
        <w:t xml:space="preserve"> and DC Tie net exports</w:t>
      </w:r>
      <w:r w:rsidRPr="0078721F">
        <w:t xml:space="preserve">.    </w:t>
      </w:r>
    </w:p>
    <w:p w:rsidR="0011370B" w:rsidRDefault="0011370B" w:rsidP="0011370B">
      <w:pPr>
        <w:pStyle w:val="Heading2"/>
      </w:pPr>
      <w:r>
        <w:t>CapGenResTotal</w:t>
      </w:r>
    </w:p>
    <w:p w:rsidR="0011370B" w:rsidRDefault="0011370B" w:rsidP="00643222">
      <w:r>
        <w:t xml:space="preserve">This column represents the sum of all </w:t>
      </w:r>
      <w:r w:rsidRPr="00EA5710">
        <w:t>available On-Line</w:t>
      </w:r>
      <w:r>
        <w:t xml:space="preserve"> Generation</w:t>
      </w:r>
      <w:r w:rsidRPr="00EA5710">
        <w:t xml:space="preserve"> </w:t>
      </w:r>
      <w:r>
        <w:t>Resource capacity for each hour</w:t>
      </w:r>
      <w:r w:rsidRPr="00EA5710">
        <w:t xml:space="preserve"> </w:t>
      </w:r>
      <w:r>
        <w:t xml:space="preserve">using the HSL values reported in the </w:t>
      </w:r>
      <w:r w:rsidRPr="00EA5710">
        <w:t>COP</w:t>
      </w:r>
      <w:r>
        <w:t xml:space="preserve">. To be included in this sum a Generation Resource must have one of the following Resource Statuses: ONRUC, ONREG, ON, ONDSR, ONOS, ONOSREG, ONDSRREG, ONTEST, ONOPTOUT, ONEMR, ONRR, </w:t>
      </w:r>
      <w:proofErr w:type="gramStart"/>
      <w:r>
        <w:t>OFFQS</w:t>
      </w:r>
      <w:proofErr w:type="gramEnd"/>
      <w:r>
        <w:t>.</w:t>
      </w:r>
    </w:p>
    <w:p w:rsidR="00855B6D" w:rsidRDefault="00855B6D" w:rsidP="00855B6D">
      <w:pPr>
        <w:pStyle w:val="Heading2"/>
      </w:pPr>
      <w:r>
        <w:t>CapGenResSouth</w:t>
      </w:r>
    </w:p>
    <w:p w:rsidR="0064584D" w:rsidRPr="0064584D" w:rsidRDefault="0011370B" w:rsidP="0064584D">
      <w:r>
        <w:t>This column represents the sum of t</w:t>
      </w:r>
      <w:r w:rsidR="0064584D" w:rsidRPr="0064584D">
        <w:t>he available On-Line Resource capacity</w:t>
      </w:r>
      <w:r w:rsidR="0064584D">
        <w:t xml:space="preserve"> (CapGenResTotal </w:t>
      </w:r>
      <w:r w:rsidR="006252F9">
        <w:t xml:space="preserve">as </w:t>
      </w:r>
      <w:r w:rsidR="0064584D">
        <w:t xml:space="preserve">defined </w:t>
      </w:r>
      <w:r w:rsidR="00F005E7">
        <w:t>above</w:t>
      </w:r>
      <w:r w:rsidR="0064584D">
        <w:t xml:space="preserve">) for the South Forecast Zone. </w:t>
      </w:r>
    </w:p>
    <w:p w:rsidR="00855B6D" w:rsidRDefault="00855B6D" w:rsidP="00855B6D">
      <w:pPr>
        <w:pStyle w:val="Heading2"/>
      </w:pPr>
      <w:r>
        <w:t>CapGenResNorth</w:t>
      </w:r>
    </w:p>
    <w:p w:rsidR="0064584D" w:rsidRPr="0064584D" w:rsidRDefault="0011370B" w:rsidP="0064584D">
      <w:r>
        <w:t>This column represents the sum of t</w:t>
      </w:r>
      <w:r w:rsidRPr="0064584D">
        <w:t>he</w:t>
      </w:r>
      <w:r w:rsidR="0064584D" w:rsidRPr="0064584D">
        <w:t xml:space="preserve"> available On-Line Resource capacity</w:t>
      </w:r>
      <w:r w:rsidR="0064584D">
        <w:t xml:space="preserve"> (CapGenResTotal </w:t>
      </w:r>
      <w:r w:rsidR="006252F9">
        <w:t xml:space="preserve">as </w:t>
      </w:r>
      <w:r w:rsidR="0064584D">
        <w:t xml:space="preserve">defined </w:t>
      </w:r>
      <w:r w:rsidR="00F005E7">
        <w:t>above</w:t>
      </w:r>
      <w:r w:rsidR="0064584D">
        <w:t xml:space="preserve">) for the North Forecast Zone. </w:t>
      </w:r>
    </w:p>
    <w:p w:rsidR="00855B6D" w:rsidRDefault="00855B6D" w:rsidP="00855B6D">
      <w:pPr>
        <w:pStyle w:val="Heading2"/>
      </w:pPr>
      <w:r>
        <w:t>CapGenResWest</w:t>
      </w:r>
    </w:p>
    <w:p w:rsidR="0064584D" w:rsidRPr="0064584D" w:rsidRDefault="0011370B" w:rsidP="0064584D">
      <w:r>
        <w:t>This column represents the sum of t</w:t>
      </w:r>
      <w:r w:rsidRPr="0064584D">
        <w:t>he</w:t>
      </w:r>
      <w:r w:rsidR="0064584D" w:rsidRPr="0064584D">
        <w:t xml:space="preserve"> available On-Line Resource capacity</w:t>
      </w:r>
      <w:r w:rsidR="0064584D">
        <w:t xml:space="preserve"> (CapGenResTotal </w:t>
      </w:r>
      <w:r w:rsidR="006252F9">
        <w:t xml:space="preserve">as </w:t>
      </w:r>
      <w:r w:rsidR="0064584D">
        <w:t xml:space="preserve">defined </w:t>
      </w:r>
      <w:r w:rsidR="00F005E7">
        <w:t>above</w:t>
      </w:r>
      <w:r w:rsidR="0064584D">
        <w:t xml:space="preserve">) for the West Forecast Zone. </w:t>
      </w:r>
    </w:p>
    <w:p w:rsidR="00855B6D" w:rsidRDefault="00855B6D" w:rsidP="00855B6D">
      <w:pPr>
        <w:pStyle w:val="Heading2"/>
      </w:pPr>
      <w:r>
        <w:t>CapGenResHouston</w:t>
      </w:r>
    </w:p>
    <w:p w:rsidR="0064584D" w:rsidRDefault="0011370B" w:rsidP="0064584D">
      <w:r>
        <w:t>This column represents the sum of t</w:t>
      </w:r>
      <w:r w:rsidRPr="0064584D">
        <w:t>he</w:t>
      </w:r>
      <w:r w:rsidR="0064584D" w:rsidRPr="0064584D">
        <w:t xml:space="preserve"> available On-Line Resource capacity</w:t>
      </w:r>
      <w:r w:rsidR="0064584D">
        <w:t xml:space="preserve"> (CapGenResTotal </w:t>
      </w:r>
      <w:r w:rsidR="006252F9">
        <w:t xml:space="preserve">as </w:t>
      </w:r>
      <w:r w:rsidR="0064584D">
        <w:t xml:space="preserve">defined </w:t>
      </w:r>
      <w:r w:rsidR="00F005E7">
        <w:t>above</w:t>
      </w:r>
      <w:r w:rsidR="0064584D">
        <w:t xml:space="preserve">) for the Houston Forecast Zone. </w:t>
      </w:r>
    </w:p>
    <w:p w:rsidR="0011370B" w:rsidRDefault="0011370B" w:rsidP="0011370B">
      <w:pPr>
        <w:pStyle w:val="Heading2"/>
      </w:pPr>
      <w:r>
        <w:t>CapLoadResTotal</w:t>
      </w:r>
    </w:p>
    <w:p w:rsidR="0011370B" w:rsidRPr="0064584D" w:rsidRDefault="0011370B" w:rsidP="0064584D">
      <w:r>
        <w:t xml:space="preserve">This column represents the sum of available Load Resource capacity for each hour using the difference between the HSL and LSL values reported in the COP. To be included in this sum a Load Resource must have one of the following Resource Statuses: ONRGL, ONCLR, </w:t>
      </w:r>
      <w:proofErr w:type="gramStart"/>
      <w:r>
        <w:t>ONRL</w:t>
      </w:r>
      <w:proofErr w:type="gramEnd"/>
      <w:r>
        <w:t>.</w:t>
      </w:r>
    </w:p>
    <w:p w:rsidR="00855B6D" w:rsidRDefault="00855B6D" w:rsidP="00855B6D">
      <w:pPr>
        <w:pStyle w:val="Heading2"/>
      </w:pPr>
      <w:r>
        <w:t>CapLoadResSouth</w:t>
      </w:r>
    </w:p>
    <w:p w:rsidR="0064584D" w:rsidRPr="0064584D" w:rsidRDefault="0011370B" w:rsidP="0064584D">
      <w:r>
        <w:t>This column represents the sum of t</w:t>
      </w:r>
      <w:r w:rsidRPr="0064584D">
        <w:t xml:space="preserve">he </w:t>
      </w:r>
      <w:r w:rsidR="0064584D">
        <w:t xml:space="preserve">available Load Resource capacity (CapLoadResTotal </w:t>
      </w:r>
      <w:r w:rsidR="006252F9">
        <w:t xml:space="preserve">as </w:t>
      </w:r>
      <w:r w:rsidR="0064584D">
        <w:t xml:space="preserve">defined </w:t>
      </w:r>
      <w:r w:rsidR="00F005E7">
        <w:t>above</w:t>
      </w:r>
      <w:r w:rsidR="0064584D">
        <w:t xml:space="preserve">) </w:t>
      </w:r>
      <w:r>
        <w:t>for</w:t>
      </w:r>
      <w:r w:rsidR="0064584D">
        <w:t xml:space="preserve"> the South Forecast Zone.</w:t>
      </w:r>
    </w:p>
    <w:p w:rsidR="00855B6D" w:rsidRDefault="00855B6D" w:rsidP="00855B6D">
      <w:pPr>
        <w:pStyle w:val="Heading2"/>
      </w:pPr>
      <w:r>
        <w:lastRenderedPageBreak/>
        <w:t>CapLoadResNorth</w:t>
      </w:r>
    </w:p>
    <w:p w:rsidR="0064584D" w:rsidRDefault="0011370B" w:rsidP="0064584D">
      <w:r>
        <w:t>This column represents the sum of t</w:t>
      </w:r>
      <w:r w:rsidRPr="0064584D">
        <w:t xml:space="preserve">he </w:t>
      </w:r>
      <w:r w:rsidR="0064584D">
        <w:t xml:space="preserve">Load Resource capacity (CapLoadResTotal </w:t>
      </w:r>
      <w:r w:rsidR="006252F9">
        <w:t xml:space="preserve">as </w:t>
      </w:r>
      <w:r w:rsidR="0064584D">
        <w:t xml:space="preserve">defined </w:t>
      </w:r>
      <w:r w:rsidR="00F005E7">
        <w:t>above</w:t>
      </w:r>
      <w:r w:rsidR="0064584D">
        <w:t xml:space="preserve">) aggregated </w:t>
      </w:r>
      <w:r>
        <w:t xml:space="preserve">for </w:t>
      </w:r>
      <w:r w:rsidR="0064584D">
        <w:t>the North Forecast Zone.</w:t>
      </w:r>
    </w:p>
    <w:p w:rsidR="0064584D" w:rsidRDefault="0064584D" w:rsidP="0064584D">
      <w:pPr>
        <w:pStyle w:val="Heading2"/>
      </w:pPr>
      <w:r>
        <w:t>CapLoadResWest</w:t>
      </w:r>
    </w:p>
    <w:p w:rsidR="0064584D" w:rsidRDefault="0011370B" w:rsidP="0064584D">
      <w:r>
        <w:t>This column represents the sum of t</w:t>
      </w:r>
      <w:r w:rsidRPr="0064584D">
        <w:t xml:space="preserve">he </w:t>
      </w:r>
      <w:r w:rsidR="0064584D">
        <w:t xml:space="preserve">available Load Resource capacity (CapLoadResTotal </w:t>
      </w:r>
      <w:r w:rsidR="006252F9">
        <w:t xml:space="preserve">as </w:t>
      </w:r>
      <w:r w:rsidR="0064584D">
        <w:t xml:space="preserve">defined </w:t>
      </w:r>
      <w:r w:rsidR="00F005E7">
        <w:t>above</w:t>
      </w:r>
      <w:r>
        <w:t xml:space="preserve">) for </w:t>
      </w:r>
      <w:r w:rsidR="0064584D">
        <w:t>the West Forecast Zone.</w:t>
      </w:r>
    </w:p>
    <w:p w:rsidR="00F005E7" w:rsidRDefault="00F005E7" w:rsidP="00F005E7">
      <w:pPr>
        <w:pStyle w:val="Heading2"/>
      </w:pPr>
      <w:r>
        <w:t>CapLoadResHouston</w:t>
      </w:r>
    </w:p>
    <w:p w:rsidR="00F005E7" w:rsidRDefault="0011370B" w:rsidP="00F005E7">
      <w:r>
        <w:t>This column represents the sum of t</w:t>
      </w:r>
      <w:r w:rsidRPr="0064584D">
        <w:t xml:space="preserve">he </w:t>
      </w:r>
      <w:r w:rsidR="00F005E7">
        <w:t xml:space="preserve">available Load Resource capacity (CapLoadResTotal </w:t>
      </w:r>
      <w:r w:rsidR="006252F9">
        <w:t xml:space="preserve">as </w:t>
      </w:r>
      <w:r w:rsidR="00F005E7">
        <w:t xml:space="preserve">defined above) </w:t>
      </w:r>
      <w:r>
        <w:t>for</w:t>
      </w:r>
      <w:r w:rsidR="00F005E7">
        <w:t xml:space="preserve"> the Houston Forecast Zone.</w:t>
      </w:r>
    </w:p>
    <w:p w:rsidR="0011370B" w:rsidRDefault="0011370B" w:rsidP="0011370B">
      <w:pPr>
        <w:pStyle w:val="Heading2"/>
      </w:pPr>
      <w:r>
        <w:t>OfflineAvailableMWTotal</w:t>
      </w:r>
    </w:p>
    <w:p w:rsidR="0011370B" w:rsidRDefault="0011370B" w:rsidP="00F005E7">
      <w:r>
        <w:t xml:space="preserve">This column represents the sum of available Off-Line Resource capacity that can be started for each hour using the startup time and warmth state and the HSL values reported in the COP for each offline Resource. For Combined Cycle trains, the report includes any additional capacity that can come online by transitioning from the online configuration to an offline configuration with a higher HSL.  To be included in this sum a Generation Resource must have one of the following Resource Statuses: </w:t>
      </w:r>
      <w:r w:rsidR="00196574">
        <w:t>OFF</w:t>
      </w:r>
      <w:r>
        <w:t xml:space="preserve"> </w:t>
      </w:r>
      <w:r w:rsidR="00196574">
        <w:t xml:space="preserve">or </w:t>
      </w:r>
      <w:r>
        <w:t>OFFNS.</w:t>
      </w:r>
    </w:p>
    <w:p w:rsidR="00F005E7" w:rsidRDefault="00F005E7" w:rsidP="00F005E7">
      <w:pPr>
        <w:pStyle w:val="Heading2"/>
      </w:pPr>
      <w:r>
        <w:t>OfflineAvailableMWSouth</w:t>
      </w:r>
    </w:p>
    <w:p w:rsidR="0011370B" w:rsidRPr="0011370B" w:rsidRDefault="0011370B" w:rsidP="0011370B">
      <w:r>
        <w:t xml:space="preserve">This column represents the sum of available Off-Line Resource capacity (OfflineAvailableMWTotal </w:t>
      </w:r>
      <w:r w:rsidR="006252F9">
        <w:t xml:space="preserve">as </w:t>
      </w:r>
      <w:r>
        <w:t>defined above) for the South Forecast Zone.</w:t>
      </w:r>
    </w:p>
    <w:p w:rsidR="00F005E7" w:rsidRDefault="00F005E7" w:rsidP="00F005E7">
      <w:pPr>
        <w:pStyle w:val="Heading2"/>
      </w:pPr>
      <w:r>
        <w:t>OfflineAvailableMWNorth</w:t>
      </w:r>
    </w:p>
    <w:p w:rsidR="0011370B" w:rsidRPr="0011370B" w:rsidRDefault="0011370B" w:rsidP="0011370B">
      <w:r>
        <w:t xml:space="preserve">This column represents the sum of available Off-Line Resource capacity (OfflineAvailableMWTotal </w:t>
      </w:r>
      <w:r w:rsidR="006252F9">
        <w:t xml:space="preserve">as </w:t>
      </w:r>
      <w:r>
        <w:t>defined above) for the North Forecast Zone.</w:t>
      </w:r>
    </w:p>
    <w:p w:rsidR="00F005E7" w:rsidRDefault="00F005E7" w:rsidP="00F005E7">
      <w:pPr>
        <w:pStyle w:val="Heading2"/>
      </w:pPr>
      <w:r>
        <w:t>OfflineAvailableMWWest</w:t>
      </w:r>
    </w:p>
    <w:p w:rsidR="0011370B" w:rsidRPr="0011370B" w:rsidRDefault="0011370B" w:rsidP="0011370B">
      <w:r>
        <w:t xml:space="preserve">This column represents the sum of available Off-Line Resource capacity (OfflineAvailableMWTotal </w:t>
      </w:r>
      <w:r w:rsidR="006252F9">
        <w:t xml:space="preserve">as </w:t>
      </w:r>
      <w:r>
        <w:t>defined above) for the West Forecast Zone.</w:t>
      </w:r>
    </w:p>
    <w:p w:rsidR="0064584D" w:rsidRDefault="00F005E7" w:rsidP="00F005E7">
      <w:pPr>
        <w:pStyle w:val="Heading2"/>
      </w:pPr>
      <w:r>
        <w:t>OfflineAvailableMWHouston</w:t>
      </w:r>
    </w:p>
    <w:p w:rsidR="0011370B" w:rsidRPr="0011370B" w:rsidRDefault="0011370B" w:rsidP="0011370B">
      <w:r>
        <w:t xml:space="preserve">This column represents the sum of available Off-Line Resource capacity (OfflineAvailableMWTotal </w:t>
      </w:r>
      <w:r w:rsidR="006252F9">
        <w:t xml:space="preserve">as </w:t>
      </w:r>
      <w:r>
        <w:t>defined above) for the Houston Forecast Zone.</w:t>
      </w:r>
    </w:p>
    <w:p w:rsidR="00855B6D" w:rsidRDefault="00855B6D" w:rsidP="00855B6D">
      <w:pPr>
        <w:pStyle w:val="Heading2"/>
      </w:pPr>
      <w:r>
        <w:t>AvailCapGen</w:t>
      </w:r>
    </w:p>
    <w:p w:rsidR="006252F9" w:rsidRPr="006252F9" w:rsidRDefault="006252F9" w:rsidP="006252F9">
      <w:r>
        <w:rPr>
          <w:iCs/>
        </w:rPr>
        <w:t>This column represents the sum of t</w:t>
      </w:r>
      <w:r w:rsidRPr="0085778F">
        <w:rPr>
          <w:iCs/>
        </w:rPr>
        <w:t xml:space="preserve">he available capacity for each hour for the next seven days.  For day one, and for day two following the </w:t>
      </w:r>
      <w:r w:rsidRPr="00916418">
        <w:rPr>
          <w:iCs/>
        </w:rPr>
        <w:t>execution of the Day-Ahead Reliability Unit Commitment (DRUC) on day one, the available capacity will be the sum of the</w:t>
      </w:r>
      <w:r w:rsidRPr="00B10404">
        <w:rPr>
          <w:iCs/>
        </w:rPr>
        <w:t xml:space="preserve"> values calculated in </w:t>
      </w:r>
      <w:r w:rsidR="008E2E5E">
        <w:rPr>
          <w:iCs/>
        </w:rPr>
        <w:t xml:space="preserve">columns CapGenResTotal and </w:t>
      </w:r>
      <w:r w:rsidR="00E04311">
        <w:rPr>
          <w:iCs/>
        </w:rPr>
        <w:t>OfflineAvailableMWTotal</w:t>
      </w:r>
      <w:r w:rsidRPr="00916418">
        <w:rPr>
          <w:iCs/>
        </w:rPr>
        <w:t>, except that for IRRs the forecasted output will be used instead of COP values, and Direct Current Tie (DC Tie)</w:t>
      </w:r>
      <w:r>
        <w:rPr>
          <w:iCs/>
        </w:rPr>
        <w:t xml:space="preserve"> e</w:t>
      </w:r>
      <w:r w:rsidRPr="00916418">
        <w:rPr>
          <w:iCs/>
        </w:rPr>
        <w:t>xports will be subtracted.  For the remaining hours of the seven days, the available capacit</w:t>
      </w:r>
      <w:r w:rsidRPr="00B10404">
        <w:rPr>
          <w:iCs/>
        </w:rPr>
        <w:t>y will be calculated as the sum of the Seasonal HSLs for non-IRR Generation Resources including seasonal Private Use Network capacity and the forecasted output for IRRs minus the total capacity of accepted or approved Resource Outages</w:t>
      </w:r>
      <w:r w:rsidR="004C4131">
        <w:rPr>
          <w:iCs/>
        </w:rPr>
        <w:t>.</w:t>
      </w:r>
      <w:bookmarkStart w:id="0" w:name="_GoBack"/>
      <w:bookmarkEnd w:id="0"/>
    </w:p>
    <w:p w:rsidR="00855B6D" w:rsidRDefault="00855B6D" w:rsidP="00855B6D">
      <w:pPr>
        <w:pStyle w:val="Heading2"/>
      </w:pPr>
      <w:r>
        <w:lastRenderedPageBreak/>
        <w:t>AvailCapReserve</w:t>
      </w:r>
    </w:p>
    <w:p w:rsidR="00FF4FBA" w:rsidRDefault="006252F9" w:rsidP="00643222">
      <w:r w:rsidRPr="0085778F">
        <w:rPr>
          <w:iCs/>
        </w:rPr>
        <w:t xml:space="preserve">The available capacity for reserves for each hour, which will be the available capacity </w:t>
      </w:r>
      <w:r>
        <w:rPr>
          <w:iCs/>
        </w:rPr>
        <w:t xml:space="preserve">(AvailCapGen as defined above) </w:t>
      </w:r>
      <w:r w:rsidRPr="0085778F">
        <w:rPr>
          <w:iCs/>
        </w:rPr>
        <w:t>above minus the forecasted Demand</w:t>
      </w:r>
      <w:r w:rsidRPr="00217E81">
        <w:rPr>
          <w:iCs/>
        </w:rPr>
        <w:t xml:space="preserve"> for that hour.</w:t>
      </w:r>
    </w:p>
    <w:p w:rsidR="006F25EB" w:rsidRPr="006F25EB" w:rsidRDefault="006F25EB" w:rsidP="002E2628">
      <w:pPr>
        <w:pStyle w:val="NoSpacing"/>
      </w:pPr>
    </w:p>
    <w:sectPr w:rsidR="006F25EB" w:rsidRPr="006F2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44CAA"/>
    <w:multiLevelType w:val="hybridMultilevel"/>
    <w:tmpl w:val="95A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0D"/>
    <w:rsid w:val="00081B05"/>
    <w:rsid w:val="00096396"/>
    <w:rsid w:val="0011370B"/>
    <w:rsid w:val="00161CB4"/>
    <w:rsid w:val="00196574"/>
    <w:rsid w:val="001E4A6B"/>
    <w:rsid w:val="001E683A"/>
    <w:rsid w:val="001F506C"/>
    <w:rsid w:val="002830B1"/>
    <w:rsid w:val="002C11DF"/>
    <w:rsid w:val="002E2628"/>
    <w:rsid w:val="002F39AC"/>
    <w:rsid w:val="00416891"/>
    <w:rsid w:val="00461C3B"/>
    <w:rsid w:val="004913A5"/>
    <w:rsid w:val="004B64CE"/>
    <w:rsid w:val="004B680D"/>
    <w:rsid w:val="004C4131"/>
    <w:rsid w:val="00582557"/>
    <w:rsid w:val="006252F9"/>
    <w:rsid w:val="00643222"/>
    <w:rsid w:val="0064584D"/>
    <w:rsid w:val="006E2378"/>
    <w:rsid w:val="006F25EB"/>
    <w:rsid w:val="00755F0D"/>
    <w:rsid w:val="0078721F"/>
    <w:rsid w:val="007B6A29"/>
    <w:rsid w:val="007C3A7D"/>
    <w:rsid w:val="00855B6D"/>
    <w:rsid w:val="00897019"/>
    <w:rsid w:val="008E2E5E"/>
    <w:rsid w:val="00A1255F"/>
    <w:rsid w:val="00AA03A0"/>
    <w:rsid w:val="00B1493C"/>
    <w:rsid w:val="00B25ED3"/>
    <w:rsid w:val="00B85A4E"/>
    <w:rsid w:val="00BA5230"/>
    <w:rsid w:val="00BD1062"/>
    <w:rsid w:val="00C457E5"/>
    <w:rsid w:val="00C70743"/>
    <w:rsid w:val="00CE60D8"/>
    <w:rsid w:val="00D0672B"/>
    <w:rsid w:val="00D06EB5"/>
    <w:rsid w:val="00E04311"/>
    <w:rsid w:val="00E469EF"/>
    <w:rsid w:val="00E801B2"/>
    <w:rsid w:val="00EA5710"/>
    <w:rsid w:val="00EC0A9D"/>
    <w:rsid w:val="00EF5691"/>
    <w:rsid w:val="00F005E7"/>
    <w:rsid w:val="00F17080"/>
    <w:rsid w:val="00FF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DA042-1357-41B1-9D04-6915D1CB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25EB"/>
    <w:pPr>
      <w:keepNext/>
      <w:keepLines/>
      <w:spacing w:before="240" w:after="0"/>
      <w:outlineLvl w:val="0"/>
    </w:pPr>
    <w:rPr>
      <w:rFonts w:asciiTheme="majorHAnsi" w:eastAsiaTheme="majorEastAsia" w:hAnsiTheme="majorHAnsi" w:cstheme="majorBidi"/>
      <w:color w:val="00294B" w:themeColor="accent1" w:themeShade="BF"/>
      <w:sz w:val="32"/>
      <w:szCs w:val="32"/>
    </w:rPr>
  </w:style>
  <w:style w:type="paragraph" w:styleId="Heading2">
    <w:name w:val="heading 2"/>
    <w:basedOn w:val="Normal"/>
    <w:next w:val="Normal"/>
    <w:link w:val="Heading2Char"/>
    <w:uiPriority w:val="9"/>
    <w:unhideWhenUsed/>
    <w:qFormat/>
    <w:rsid w:val="006F25EB"/>
    <w:pPr>
      <w:keepNext/>
      <w:keepLines/>
      <w:spacing w:before="40" w:after="0"/>
      <w:outlineLvl w:val="1"/>
    </w:pPr>
    <w:rPr>
      <w:rFonts w:asciiTheme="majorHAnsi" w:eastAsiaTheme="majorEastAsia" w:hAnsiTheme="majorHAnsi" w:cstheme="majorBidi"/>
      <w:color w:val="00294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25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5E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F25EB"/>
    <w:rPr>
      <w:rFonts w:asciiTheme="majorHAnsi" w:eastAsiaTheme="majorEastAsia" w:hAnsiTheme="majorHAnsi" w:cstheme="majorBidi"/>
      <w:color w:val="00294B" w:themeColor="accent1" w:themeShade="BF"/>
      <w:sz w:val="26"/>
      <w:szCs w:val="26"/>
    </w:rPr>
  </w:style>
  <w:style w:type="paragraph" w:styleId="NoSpacing">
    <w:name w:val="No Spacing"/>
    <w:uiPriority w:val="1"/>
    <w:qFormat/>
    <w:rsid w:val="006F25EB"/>
    <w:pPr>
      <w:spacing w:after="0" w:line="240" w:lineRule="auto"/>
    </w:pPr>
  </w:style>
  <w:style w:type="character" w:customStyle="1" w:styleId="Heading1Char">
    <w:name w:val="Heading 1 Char"/>
    <w:basedOn w:val="DefaultParagraphFont"/>
    <w:link w:val="Heading1"/>
    <w:uiPriority w:val="9"/>
    <w:rsid w:val="006F25EB"/>
    <w:rPr>
      <w:rFonts w:asciiTheme="majorHAnsi" w:eastAsiaTheme="majorEastAsia" w:hAnsiTheme="majorHAnsi" w:cstheme="majorBidi"/>
      <w:color w:val="00294B" w:themeColor="accent1" w:themeShade="BF"/>
      <w:sz w:val="32"/>
      <w:szCs w:val="32"/>
    </w:rPr>
  </w:style>
  <w:style w:type="paragraph" w:styleId="BalloonText">
    <w:name w:val="Balloon Text"/>
    <w:basedOn w:val="Normal"/>
    <w:link w:val="BalloonTextChar"/>
    <w:uiPriority w:val="99"/>
    <w:semiHidden/>
    <w:unhideWhenUsed/>
    <w:rsid w:val="00AA0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3A0"/>
    <w:rPr>
      <w:rFonts w:ascii="Segoe UI" w:hAnsi="Segoe UI" w:cs="Segoe UI"/>
      <w:sz w:val="18"/>
      <w:szCs w:val="18"/>
    </w:rPr>
  </w:style>
  <w:style w:type="paragraph" w:customStyle="1" w:styleId="NormalArial">
    <w:name w:val="Normal+Arial"/>
    <w:basedOn w:val="Normal"/>
    <w:link w:val="NormalArialChar"/>
    <w:rsid w:val="0078721F"/>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78721F"/>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91004">
      <w:bodyDiv w:val="1"/>
      <w:marLeft w:val="0"/>
      <w:marRight w:val="0"/>
      <w:marTop w:val="0"/>
      <w:marBottom w:val="0"/>
      <w:divBdr>
        <w:top w:val="none" w:sz="0" w:space="0" w:color="auto"/>
        <w:left w:val="none" w:sz="0" w:space="0" w:color="auto"/>
        <w:bottom w:val="none" w:sz="0" w:space="0" w:color="auto"/>
        <w:right w:val="none" w:sz="0" w:space="0" w:color="auto"/>
      </w:divBdr>
    </w:div>
    <w:div w:id="8424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RCOT Palette">
      <a:dk1>
        <a:sysClr val="windowText" lastClr="000000"/>
      </a:dk1>
      <a:lt1>
        <a:srgbClr val="FFFFFF"/>
      </a:lt1>
      <a:dk2>
        <a:srgbClr val="5B6770"/>
      </a:dk2>
      <a:lt2>
        <a:srgbClr val="00AEC7"/>
      </a:lt2>
      <a:accent1>
        <a:srgbClr val="003865"/>
      </a:accent1>
      <a:accent2>
        <a:srgbClr val="FFC700"/>
      </a:accent2>
      <a:accent3>
        <a:srgbClr val="FF8200"/>
      </a:accent3>
      <a:accent4>
        <a:srgbClr val="26D07C"/>
      </a:accent4>
      <a:accent5>
        <a:srgbClr val="685BC7"/>
      </a:accent5>
      <a:accent6>
        <a:srgbClr val="890C58"/>
      </a:accent6>
      <a:hlink>
        <a:srgbClr val="0000FF"/>
      </a:hlink>
      <a:folHlink>
        <a:srgbClr val="890C5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Blake</dc:creator>
  <cp:keywords/>
  <dc:description/>
  <cp:lastModifiedBy>Holt, Blake</cp:lastModifiedBy>
  <cp:revision>3</cp:revision>
  <dcterms:created xsi:type="dcterms:W3CDTF">2021-06-10T16:00:00Z</dcterms:created>
  <dcterms:modified xsi:type="dcterms:W3CDTF">2021-06-10T16:01:00Z</dcterms:modified>
</cp:coreProperties>
</file>