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77BD6" w:rsidRPr="006B29D4" w14:paraId="2A4CBE8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88BA4" w14:textId="77777777" w:rsidR="00077BD6" w:rsidRPr="006B29D4" w:rsidRDefault="00077BD6" w:rsidP="00077BD6">
            <w:pPr>
              <w:pStyle w:val="Header"/>
              <w:rPr>
                <w:rFonts w:cs="Arial"/>
                <w:sz w:val="22"/>
              </w:rPr>
            </w:pPr>
            <w:r w:rsidRPr="006B29D4">
              <w:rPr>
                <w:rFonts w:cs="Arial"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D1BBF0" w14:textId="3CB909B7" w:rsidR="00077BD6" w:rsidRPr="006B29D4" w:rsidRDefault="00077BD6" w:rsidP="00077BD6">
            <w:pPr>
              <w:pStyle w:val="Header"/>
              <w:rPr>
                <w:rFonts w:cs="Arial"/>
                <w:b w:val="0"/>
                <w:bCs w:val="0"/>
              </w:rPr>
            </w:pPr>
            <w:hyperlink r:id="rId8" w:history="1">
              <w:r w:rsidRPr="006B29D4">
                <w:rPr>
                  <w:rStyle w:val="Hyperlink"/>
                  <w:rFonts w:cs="Arial"/>
                </w:rPr>
                <w:t>1081</w:t>
              </w:r>
            </w:hyperlink>
            <w:bookmarkStart w:id="0" w:name="_GoBack"/>
            <w:bookmarkEnd w:id="0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3CA38" w14:textId="6FC1605A" w:rsidR="00077BD6" w:rsidRPr="006B29D4" w:rsidRDefault="00077BD6" w:rsidP="00077BD6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6118CA0" w14:textId="01D438CC" w:rsidR="00077BD6" w:rsidRPr="006B29D4" w:rsidRDefault="00077BD6" w:rsidP="00077BD6">
            <w:pPr>
              <w:pStyle w:val="Header"/>
              <w:rPr>
                <w:rFonts w:cs="Arial"/>
                <w:b w:val="0"/>
                <w:bCs w:val="0"/>
              </w:rPr>
            </w:pPr>
            <w:r w:rsidRPr="006B29D4">
              <w:rPr>
                <w:rFonts w:cs="Arial"/>
              </w:rPr>
              <w:t>Revisions to Real-Time Reliability Deployment Price Adder to Consider Firm Load Shed</w:t>
            </w:r>
          </w:p>
        </w:tc>
      </w:tr>
      <w:tr w:rsidR="00152993" w:rsidRPr="006B29D4" w14:paraId="2F8F6AC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50F50" w14:textId="77777777" w:rsidR="00152993" w:rsidRPr="006B29D4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94F98" w14:textId="77777777" w:rsidR="00152993" w:rsidRPr="006B29D4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6B29D4" w14:paraId="21558555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8DF0" w14:textId="77777777" w:rsidR="00152993" w:rsidRPr="006B29D4" w:rsidRDefault="0015299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487" w14:textId="7CB8358A" w:rsidR="00152993" w:rsidRPr="006B29D4" w:rsidRDefault="002840D8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 xml:space="preserve"> June 9, 2021</w:t>
            </w:r>
          </w:p>
        </w:tc>
      </w:tr>
      <w:tr w:rsidR="00152993" w:rsidRPr="006B29D4" w14:paraId="1278DC8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8E0BF" w14:textId="77777777" w:rsidR="00152993" w:rsidRPr="006B29D4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FB8B" w14:textId="77777777" w:rsidR="00152993" w:rsidRPr="006B29D4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6B29D4" w14:paraId="2646469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B05F56" w14:textId="77777777" w:rsidR="00152993" w:rsidRPr="006B29D4" w:rsidRDefault="00152993">
            <w:pPr>
              <w:pStyle w:val="Header"/>
              <w:jc w:val="center"/>
              <w:rPr>
                <w:rFonts w:cs="Arial"/>
              </w:rPr>
            </w:pPr>
            <w:bookmarkStart w:id="1" w:name="_Hlk74142797"/>
            <w:r w:rsidRPr="006B29D4">
              <w:rPr>
                <w:rFonts w:cs="Arial"/>
              </w:rPr>
              <w:t>Submitter’s Information</w:t>
            </w:r>
          </w:p>
        </w:tc>
      </w:tr>
      <w:tr w:rsidR="00152993" w:rsidRPr="006B29D4" w14:paraId="63DB25A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10F4C0C" w14:textId="77777777" w:rsidR="00152993" w:rsidRPr="006B29D4" w:rsidRDefault="00152993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2E55AD9" w14:textId="6A9637BC" w:rsidR="00152993" w:rsidRPr="006B29D4" w:rsidRDefault="009D4851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>Steven M. Malkiewicz</w:t>
            </w:r>
          </w:p>
        </w:tc>
      </w:tr>
      <w:tr w:rsidR="00152993" w:rsidRPr="006B29D4" w14:paraId="45FD11A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404405" w14:textId="77777777" w:rsidR="00152993" w:rsidRPr="006B29D4" w:rsidRDefault="00152993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17E512D" w14:textId="7748B2E1" w:rsidR="00152993" w:rsidRPr="006B29D4" w:rsidRDefault="00E35682">
            <w:pPr>
              <w:pStyle w:val="NormalArial"/>
              <w:rPr>
                <w:rFonts w:cs="Arial"/>
              </w:rPr>
            </w:pPr>
            <w:hyperlink r:id="rId9" w:history="1">
              <w:r w:rsidR="002840D8" w:rsidRPr="006B29D4">
                <w:rPr>
                  <w:rStyle w:val="Hyperlink"/>
                  <w:rFonts w:cs="Arial"/>
                </w:rPr>
                <w:t>steve.malkiewicz@ystas.com</w:t>
              </w:r>
            </w:hyperlink>
            <w:r w:rsidR="002840D8" w:rsidRPr="006B29D4">
              <w:rPr>
                <w:rFonts w:cs="Arial"/>
              </w:rPr>
              <w:t xml:space="preserve"> </w:t>
            </w:r>
          </w:p>
        </w:tc>
      </w:tr>
      <w:tr w:rsidR="00152993" w:rsidRPr="006B29D4" w14:paraId="0A37D73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99FEA5" w14:textId="77777777" w:rsidR="00152993" w:rsidRPr="006B29D4" w:rsidRDefault="00152993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6CAB969" w14:textId="458C56E5" w:rsidR="00152993" w:rsidRPr="006B29D4" w:rsidRDefault="002840D8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>Young Energy, LLC d/b/a Payless Power</w:t>
            </w:r>
          </w:p>
        </w:tc>
      </w:tr>
      <w:tr w:rsidR="00152993" w:rsidRPr="006B29D4" w14:paraId="5724239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478224" w14:textId="77777777" w:rsidR="00152993" w:rsidRPr="006B29D4" w:rsidRDefault="00152993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15864EA" w14:textId="41D75C75" w:rsidR="00152993" w:rsidRPr="006B29D4" w:rsidRDefault="002840D8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>813.657.9340</w:t>
            </w:r>
          </w:p>
        </w:tc>
      </w:tr>
      <w:tr w:rsidR="00152993" w:rsidRPr="006B29D4" w14:paraId="2354F4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758B95" w14:textId="77777777" w:rsidR="00152993" w:rsidRPr="006B29D4" w:rsidRDefault="00075A94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 xml:space="preserve">Cell </w:t>
            </w:r>
            <w:r w:rsidR="00152993" w:rsidRPr="006B29D4">
              <w:rPr>
                <w:rFonts w:cs="Arial"/>
              </w:rPr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8788A0D" w14:textId="4450B553" w:rsidR="00152993" w:rsidRPr="006B29D4" w:rsidRDefault="002840D8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>813.220.5765</w:t>
            </w:r>
          </w:p>
        </w:tc>
      </w:tr>
      <w:tr w:rsidR="00075A94" w:rsidRPr="006B29D4" w14:paraId="32A9433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2B28C" w14:textId="77777777" w:rsidR="00075A94" w:rsidRPr="006B29D4" w:rsidDel="00075A94" w:rsidRDefault="00075A94" w:rsidP="00EC55B3">
            <w:pPr>
              <w:pStyle w:val="Header"/>
              <w:rPr>
                <w:rFonts w:cs="Arial"/>
              </w:rPr>
            </w:pPr>
            <w:r w:rsidRPr="006B29D4">
              <w:rPr>
                <w:rFonts w:cs="Arial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285DF5" w14:textId="18384CD8" w:rsidR="00075A94" w:rsidRPr="006B29D4" w:rsidRDefault="00077BD6">
            <w:pPr>
              <w:pStyle w:val="NormalArial"/>
              <w:rPr>
                <w:rFonts w:cs="Arial"/>
              </w:rPr>
            </w:pPr>
            <w:r w:rsidRPr="006B29D4">
              <w:rPr>
                <w:rFonts w:cs="Arial"/>
              </w:rPr>
              <w:t xml:space="preserve">Independent </w:t>
            </w:r>
            <w:r w:rsidR="002840D8" w:rsidRPr="006B29D4">
              <w:rPr>
                <w:rFonts w:cs="Arial"/>
              </w:rPr>
              <w:t>Retail Electric Provider</w:t>
            </w:r>
            <w:r w:rsidRPr="006B29D4">
              <w:rPr>
                <w:rFonts w:cs="Arial"/>
              </w:rPr>
              <w:t xml:space="preserve"> (IREP)</w:t>
            </w:r>
          </w:p>
        </w:tc>
      </w:tr>
      <w:bookmarkEnd w:id="1"/>
    </w:tbl>
    <w:p w14:paraId="22846C33" w14:textId="77777777" w:rsidR="00152993" w:rsidRPr="006B29D4" w:rsidRDefault="00152993">
      <w:pPr>
        <w:pStyle w:val="NormalArial"/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6B29D4" w14:paraId="34FE7E9B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6AAE1F95" w14:textId="77777777" w:rsidR="00075A94" w:rsidRPr="006B29D4" w:rsidRDefault="00075A94" w:rsidP="00B5080A">
            <w:pPr>
              <w:pStyle w:val="Header"/>
              <w:jc w:val="center"/>
              <w:rPr>
                <w:rFonts w:cs="Arial"/>
              </w:rPr>
            </w:pPr>
            <w:r w:rsidRPr="006B29D4">
              <w:rPr>
                <w:rFonts w:cs="Arial"/>
              </w:rPr>
              <w:t>Comments</w:t>
            </w:r>
          </w:p>
        </w:tc>
      </w:tr>
    </w:tbl>
    <w:p w14:paraId="54263FF9" w14:textId="0D5C5C94" w:rsidR="0050287F" w:rsidRPr="006B29D4" w:rsidRDefault="0050287F" w:rsidP="006B29D4">
      <w:pPr>
        <w:pStyle w:val="NormalArial"/>
        <w:spacing w:before="120" w:after="120"/>
        <w:rPr>
          <w:rFonts w:cs="Arial"/>
        </w:rPr>
      </w:pPr>
      <w:r w:rsidRPr="006B29D4">
        <w:rPr>
          <w:rFonts w:cs="Arial"/>
        </w:rPr>
        <w:t xml:space="preserve">Payless Power objects to the addition of </w:t>
      </w:r>
      <w:r w:rsidR="00E05357" w:rsidRPr="006B29D4">
        <w:rPr>
          <w:rFonts w:cs="Arial"/>
        </w:rPr>
        <w:t>“</w:t>
      </w:r>
      <w:r w:rsidRPr="006B29D4">
        <w:rPr>
          <w:rFonts w:cs="Arial"/>
        </w:rPr>
        <w:t>ERCOT-directed firm Load shed during EEA Level 3</w:t>
      </w:r>
      <w:r w:rsidRPr="006B29D4">
        <w:rPr>
          <w:rFonts w:cs="Arial"/>
        </w:rPr>
        <w:t xml:space="preserve">” as an additional category to be considered in the determination of the Real-Time On-Line Reliability Deployment Price Adder.  This issue should not be decided at ERCOT but instead should be fully vetted </w:t>
      </w:r>
      <w:r w:rsidR="00E05357" w:rsidRPr="006B29D4">
        <w:rPr>
          <w:rFonts w:cs="Arial"/>
        </w:rPr>
        <w:t xml:space="preserve">by </w:t>
      </w:r>
      <w:r w:rsidRPr="006B29D4">
        <w:rPr>
          <w:rFonts w:cs="Arial"/>
        </w:rPr>
        <w:t xml:space="preserve">the Public Utility Commission (PUC) </w:t>
      </w:r>
      <w:r w:rsidR="00E05357" w:rsidRPr="006B29D4">
        <w:rPr>
          <w:rFonts w:cs="Arial"/>
        </w:rPr>
        <w:t xml:space="preserve">first </w:t>
      </w:r>
      <w:r w:rsidRPr="006B29D4">
        <w:rPr>
          <w:rFonts w:cs="Arial"/>
        </w:rPr>
        <w:t>in a workshop setting first involving all stakeholders</w:t>
      </w:r>
      <w:r w:rsidR="00E05357" w:rsidRPr="006B29D4">
        <w:rPr>
          <w:rFonts w:cs="Arial"/>
        </w:rPr>
        <w:t xml:space="preserve">, </w:t>
      </w:r>
      <w:r w:rsidRPr="006B29D4">
        <w:rPr>
          <w:rFonts w:cs="Arial"/>
        </w:rPr>
        <w:t xml:space="preserve">including </w:t>
      </w:r>
      <w:r w:rsidR="006B29D4">
        <w:rPr>
          <w:rFonts w:cs="Arial"/>
        </w:rPr>
        <w:t>C</w:t>
      </w:r>
      <w:r w:rsidRPr="006B29D4">
        <w:rPr>
          <w:rFonts w:cs="Arial"/>
        </w:rPr>
        <w:t>onsumer representatives</w:t>
      </w:r>
      <w:r w:rsidR="00E05357" w:rsidRPr="006B29D4">
        <w:rPr>
          <w:rFonts w:cs="Arial"/>
        </w:rPr>
        <w:t xml:space="preserve">, and then in a formal proceeding conducted under the Administrative Procedures Act </w:t>
      </w:r>
      <w:r w:rsidR="006B29D4">
        <w:rPr>
          <w:rFonts w:cs="Arial"/>
        </w:rPr>
        <w:t xml:space="preserve">(APA) </w:t>
      </w:r>
      <w:r w:rsidR="00E05357" w:rsidRPr="006B29D4">
        <w:rPr>
          <w:rFonts w:cs="Arial"/>
        </w:rPr>
        <w:t xml:space="preserve">where interested parties can comment or provide testimony.  </w:t>
      </w:r>
    </w:p>
    <w:p w14:paraId="0EFEA971" w14:textId="2B585FAD" w:rsidR="00E05357" w:rsidRPr="006B29D4" w:rsidRDefault="00E05357" w:rsidP="006B29D4">
      <w:pPr>
        <w:pStyle w:val="NormalArial"/>
        <w:spacing w:before="120" w:after="120"/>
        <w:rPr>
          <w:rFonts w:cs="Arial"/>
        </w:rPr>
      </w:pPr>
      <w:r w:rsidRPr="006B29D4">
        <w:rPr>
          <w:rFonts w:cs="Arial"/>
        </w:rPr>
        <w:t xml:space="preserve">This NPRR is tantamount to policy-making that should be vested with the PUC. </w:t>
      </w:r>
      <w:r w:rsidR="006B29D4">
        <w:rPr>
          <w:rFonts w:cs="Arial"/>
        </w:rPr>
        <w:t xml:space="preserve"> </w:t>
      </w:r>
      <w:r w:rsidRPr="006B29D4">
        <w:rPr>
          <w:rFonts w:cs="Arial"/>
        </w:rPr>
        <w:t xml:space="preserve">The issue is too important to be buried in the rather obscure ERCOT Nodal Protocol revision process. </w:t>
      </w:r>
      <w:r w:rsidR="006B29D4">
        <w:rPr>
          <w:rFonts w:cs="Arial"/>
        </w:rPr>
        <w:t xml:space="preserve"> </w:t>
      </w:r>
      <w:r w:rsidRPr="006B29D4">
        <w:rPr>
          <w:rFonts w:cs="Arial"/>
        </w:rPr>
        <w:t>Also, any change of this magnitude needs to be more deliberate and not treated as “urgent” to allow for a proper vetting</w:t>
      </w:r>
      <w:r w:rsidR="006B29D4">
        <w:rPr>
          <w:rFonts w:cs="Arial"/>
        </w:rPr>
        <w:t xml:space="preserve">. </w:t>
      </w:r>
      <w:r w:rsidRPr="006B29D4">
        <w:rPr>
          <w:rFonts w:cs="Arial"/>
        </w:rPr>
        <w:t xml:space="preserve"> Instead, the matter should receive the full light of APA rulemaking and contested case processes with final decision to be made by the Commissioners.</w:t>
      </w:r>
    </w:p>
    <w:p w14:paraId="79D3BB53" w14:textId="3A95C525" w:rsidR="00BC38C6" w:rsidRPr="006B29D4" w:rsidRDefault="00E05357" w:rsidP="006B29D4">
      <w:pPr>
        <w:spacing w:before="120" w:after="120"/>
        <w:rPr>
          <w:rFonts w:ascii="Arial" w:hAnsi="Arial" w:cs="Arial"/>
        </w:rPr>
      </w:pPr>
      <w:r w:rsidRPr="006B29D4">
        <w:rPr>
          <w:rFonts w:ascii="Arial" w:hAnsi="Arial" w:cs="Arial"/>
        </w:rPr>
        <w:t xml:space="preserve">It should be noted that </w:t>
      </w:r>
      <w:r w:rsidR="006B29D4">
        <w:rPr>
          <w:rFonts w:ascii="Arial" w:hAnsi="Arial" w:cs="Arial"/>
        </w:rPr>
        <w:t>L</w:t>
      </w:r>
      <w:r w:rsidRPr="006B29D4">
        <w:rPr>
          <w:rFonts w:ascii="Arial" w:hAnsi="Arial" w:cs="Arial"/>
        </w:rPr>
        <w:t>oad shed was evaluated and dismissed as a reason to implement the discretionary adder</w:t>
      </w:r>
      <w:r w:rsidR="00BC38C6" w:rsidRPr="006B29D4">
        <w:rPr>
          <w:rFonts w:ascii="Arial" w:hAnsi="Arial" w:cs="Arial"/>
        </w:rPr>
        <w:t xml:space="preserve">. </w:t>
      </w:r>
      <w:r w:rsidR="006B29D4">
        <w:rPr>
          <w:rFonts w:ascii="Arial" w:hAnsi="Arial" w:cs="Arial"/>
        </w:rPr>
        <w:t xml:space="preserve"> </w:t>
      </w:r>
      <w:r w:rsidR="00BC38C6" w:rsidRPr="006B29D4">
        <w:rPr>
          <w:rFonts w:ascii="Arial" w:hAnsi="Arial" w:cs="Arial"/>
        </w:rPr>
        <w:t xml:space="preserve">ERCOT considered—and expressly rejected—a proposal to include firm </w:t>
      </w:r>
      <w:r w:rsidR="006B29D4">
        <w:rPr>
          <w:rFonts w:ascii="Arial" w:hAnsi="Arial" w:cs="Arial"/>
        </w:rPr>
        <w:t>L</w:t>
      </w:r>
      <w:r w:rsidR="00BC38C6" w:rsidRPr="006B29D4">
        <w:rPr>
          <w:rFonts w:ascii="Arial" w:hAnsi="Arial" w:cs="Arial"/>
        </w:rPr>
        <w:t>oad shed in proposed 2014 amendments to Protocol</w:t>
      </w:r>
      <w:r w:rsidR="006B29D4">
        <w:rPr>
          <w:rFonts w:ascii="Arial" w:hAnsi="Arial" w:cs="Arial"/>
        </w:rPr>
        <w:t xml:space="preserve"> Section </w:t>
      </w:r>
      <w:r w:rsidR="00BC38C6" w:rsidRPr="006B29D4">
        <w:rPr>
          <w:rFonts w:ascii="Arial" w:hAnsi="Arial" w:cs="Arial"/>
        </w:rPr>
        <w:t>6.5.7.3.1</w:t>
      </w:r>
      <w:r w:rsidR="006B29D4">
        <w:rPr>
          <w:rFonts w:ascii="Arial" w:hAnsi="Arial" w:cs="Arial"/>
        </w:rPr>
        <w:t xml:space="preserve">, </w:t>
      </w:r>
      <w:r w:rsidR="006B29D4" w:rsidRPr="006B29D4">
        <w:rPr>
          <w:rFonts w:ascii="Arial" w:hAnsi="Arial" w:cs="Arial"/>
        </w:rPr>
        <w:t>Determination of Real-Time On-Line Reliability Deployment Price Adder</w:t>
      </w:r>
      <w:r w:rsidR="00BC38C6" w:rsidRPr="006B29D4">
        <w:rPr>
          <w:rFonts w:ascii="Arial" w:hAnsi="Arial" w:cs="Arial"/>
        </w:rPr>
        <w:t>.</w:t>
      </w:r>
      <w:r w:rsidR="00BC38C6" w:rsidRPr="006B29D4">
        <w:rPr>
          <w:rStyle w:val="FootnoteReference"/>
          <w:rFonts w:ascii="Arial" w:hAnsi="Arial" w:cs="Arial"/>
        </w:rPr>
        <w:footnoteReference w:id="1"/>
      </w:r>
      <w:r w:rsidR="00BC38C6" w:rsidRPr="006B29D4">
        <w:rPr>
          <w:rFonts w:ascii="Arial" w:hAnsi="Arial" w:cs="Arial"/>
        </w:rPr>
        <w:t xml:space="preserve"> </w:t>
      </w:r>
      <w:r w:rsidR="006B29D4">
        <w:rPr>
          <w:rFonts w:ascii="Arial" w:hAnsi="Arial" w:cs="Arial"/>
        </w:rPr>
        <w:t xml:space="preserve"> </w:t>
      </w:r>
      <w:r w:rsidR="00BC38C6" w:rsidRPr="006B29D4">
        <w:rPr>
          <w:rFonts w:ascii="Arial" w:hAnsi="Arial" w:cs="Arial"/>
        </w:rPr>
        <w:t>On May 16, 2014, ERCOT published a Nodal P</w:t>
      </w:r>
      <w:r w:rsidR="006B29D4">
        <w:rPr>
          <w:rFonts w:ascii="Arial" w:hAnsi="Arial" w:cs="Arial"/>
        </w:rPr>
        <w:t>rotocol Revision Request (NPRR</w:t>
      </w:r>
      <w:r w:rsidR="00BC38C6" w:rsidRPr="006B29D4">
        <w:rPr>
          <w:rFonts w:ascii="Arial" w:hAnsi="Arial" w:cs="Arial"/>
        </w:rPr>
        <w:t xml:space="preserve">) in which firm </w:t>
      </w:r>
      <w:r w:rsidR="006B29D4">
        <w:rPr>
          <w:rFonts w:ascii="Arial" w:hAnsi="Arial" w:cs="Arial"/>
        </w:rPr>
        <w:t>L</w:t>
      </w:r>
      <w:r w:rsidR="00BC38C6" w:rsidRPr="006B29D4">
        <w:rPr>
          <w:rFonts w:ascii="Arial" w:hAnsi="Arial" w:cs="Arial"/>
        </w:rPr>
        <w:t>oad shed would be included among the factors that would be “considered in the determination of the Real-Time On-Line Reliability Deployment Price Adder.”</w:t>
      </w:r>
    </w:p>
    <w:p w14:paraId="01F6BCB9" w14:textId="2ECC0CD4" w:rsidR="005F2BB8" w:rsidRPr="006B29D4" w:rsidRDefault="005F2BB8" w:rsidP="006B29D4">
      <w:pPr>
        <w:spacing w:before="120" w:after="120"/>
        <w:rPr>
          <w:rFonts w:ascii="Arial" w:hAnsi="Arial" w:cs="Arial"/>
        </w:rPr>
      </w:pPr>
    </w:p>
    <w:p w14:paraId="4AC65E15" w14:textId="38C49731" w:rsidR="00BC38C6" w:rsidRPr="006B29D4" w:rsidRDefault="00BC38C6" w:rsidP="006B29D4">
      <w:pPr>
        <w:spacing w:before="120" w:after="120"/>
        <w:rPr>
          <w:rFonts w:ascii="Arial" w:hAnsi="Arial" w:cs="Arial"/>
        </w:rPr>
      </w:pPr>
      <w:r w:rsidRPr="006B29D4">
        <w:rPr>
          <w:rFonts w:ascii="Arial" w:hAnsi="Arial" w:cs="Arial"/>
        </w:rPr>
        <w:t xml:space="preserve">The </w:t>
      </w:r>
      <w:r w:rsidR="005F2BB8" w:rsidRPr="006B29D4">
        <w:rPr>
          <w:rFonts w:ascii="Arial" w:hAnsi="Arial" w:cs="Arial"/>
        </w:rPr>
        <w:t xml:space="preserve">2014 </w:t>
      </w:r>
      <w:r w:rsidRPr="006B29D4">
        <w:rPr>
          <w:rFonts w:ascii="Arial" w:hAnsi="Arial" w:cs="Arial"/>
        </w:rPr>
        <w:t>NPRR proposed the following additions:</w:t>
      </w:r>
    </w:p>
    <w:p w14:paraId="5EB0E515" w14:textId="147BE149" w:rsidR="00E05357" w:rsidRPr="006B29D4" w:rsidRDefault="002840D8" w:rsidP="006B29D4">
      <w:pPr>
        <w:spacing w:before="120" w:after="120"/>
        <w:rPr>
          <w:rFonts w:ascii="Arial" w:hAnsi="Arial" w:cs="Arial"/>
        </w:rPr>
      </w:pPr>
      <w:r w:rsidRPr="006B29D4">
        <w:rPr>
          <w:rFonts w:ascii="Arial" w:hAnsi="Arial" w:cs="Arial"/>
          <w:noProof/>
          <w:shd w:val="clear" w:color="auto" w:fill="FFFF00"/>
        </w:rPr>
        <w:drawing>
          <wp:inline distT="0" distB="0" distL="0" distR="0" wp14:anchorId="6F7E620B" wp14:editId="11973350">
            <wp:extent cx="59436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01FC" w14:textId="01DA4F03" w:rsidR="0038662A" w:rsidRPr="006B29D4" w:rsidRDefault="0038662A" w:rsidP="006B29D4">
      <w:pPr>
        <w:spacing w:before="120" w:after="120"/>
        <w:rPr>
          <w:rFonts w:ascii="Arial" w:hAnsi="Arial" w:cs="Arial"/>
          <w:iCs/>
          <w:kern w:val="24"/>
        </w:rPr>
      </w:pPr>
      <w:r w:rsidRPr="006B29D4">
        <w:rPr>
          <w:rFonts w:ascii="Arial" w:hAnsi="Arial" w:cs="Arial"/>
          <w:kern w:val="24"/>
        </w:rPr>
        <w:t xml:space="preserve">Another serious concern is the NPRR’s </w:t>
      </w:r>
      <w:r w:rsidR="006B29D4">
        <w:rPr>
          <w:rFonts w:ascii="Arial" w:hAnsi="Arial" w:cs="Arial"/>
          <w:kern w:val="24"/>
        </w:rPr>
        <w:t>r</w:t>
      </w:r>
      <w:r w:rsidRPr="006B29D4">
        <w:rPr>
          <w:rFonts w:ascii="Arial" w:hAnsi="Arial" w:cs="Arial"/>
          <w:kern w:val="24"/>
        </w:rPr>
        <w:t>eliance on the PUC’s</w:t>
      </w:r>
      <w:r w:rsidRPr="006B29D4">
        <w:rPr>
          <w:rFonts w:ascii="Arial" w:hAnsi="Arial" w:cs="Arial"/>
          <w:i/>
          <w:iCs/>
          <w:kern w:val="24"/>
        </w:rPr>
        <w:t xml:space="preserve"> Second Order Directing ERCOT to Take Action and Granting Exception to Commission Rules</w:t>
      </w:r>
      <w:r w:rsidRPr="006B29D4">
        <w:rPr>
          <w:rFonts w:ascii="Arial" w:hAnsi="Arial" w:cs="Arial"/>
          <w:iCs/>
          <w:kern w:val="24"/>
        </w:rPr>
        <w:t xml:space="preserve">, Project 51617 (Feb. 16, 2021) as authority for the proposed revision. </w:t>
      </w:r>
      <w:r w:rsidR="006B29D4">
        <w:rPr>
          <w:rFonts w:ascii="Arial" w:hAnsi="Arial" w:cs="Arial"/>
          <w:iCs/>
          <w:kern w:val="24"/>
        </w:rPr>
        <w:t xml:space="preserve"> </w:t>
      </w:r>
      <w:r w:rsidRPr="006B29D4">
        <w:rPr>
          <w:rFonts w:ascii="Arial" w:hAnsi="Arial" w:cs="Arial"/>
          <w:iCs/>
          <w:kern w:val="24"/>
        </w:rPr>
        <w:t>The legality of this Second Order is currently being challenged at the Third Court of Appeals as well as at the Travis County District Court where the plaintiff argues:</w:t>
      </w:r>
    </w:p>
    <w:p w14:paraId="39639CF2" w14:textId="57F68FB6" w:rsidR="00007D31" w:rsidRPr="006B29D4" w:rsidRDefault="00007D31" w:rsidP="006B29D4">
      <w:pPr>
        <w:spacing w:before="120" w:after="120"/>
        <w:ind w:left="720" w:right="720"/>
        <w:rPr>
          <w:rFonts w:ascii="Arial" w:hAnsi="Arial" w:cs="Arial"/>
        </w:rPr>
      </w:pPr>
      <w:r w:rsidRPr="006B29D4">
        <w:rPr>
          <w:rFonts w:ascii="Arial" w:hAnsi="Arial" w:cs="Arial"/>
        </w:rPr>
        <w:t>34. The former Commissioners’ decision to trigger the Scarcity Pricing Mechanism by</w:t>
      </w:r>
      <w:r w:rsidR="00C07615" w:rsidRPr="006B29D4">
        <w:rPr>
          <w:rFonts w:ascii="Arial" w:hAnsi="Arial" w:cs="Arial"/>
        </w:rPr>
        <w:t xml:space="preserve"> </w:t>
      </w:r>
      <w:r w:rsidRPr="006B29D4">
        <w:rPr>
          <w:rFonts w:ascii="Arial" w:hAnsi="Arial" w:cs="Arial"/>
        </w:rPr>
        <w:t>fiat during the recent winter storm signifies the arbitrariness that the APA, the Public Utility</w:t>
      </w:r>
      <w:r w:rsidR="00C07615" w:rsidRPr="006B29D4">
        <w:rPr>
          <w:rFonts w:ascii="Arial" w:hAnsi="Arial" w:cs="Arial"/>
        </w:rPr>
        <w:t xml:space="preserve"> </w:t>
      </w:r>
      <w:r w:rsidRPr="006B29D4">
        <w:rPr>
          <w:rFonts w:ascii="Arial" w:hAnsi="Arial" w:cs="Arial"/>
        </w:rPr>
        <w:t>Regulatory Act, the Commission’s rules, and the ERCOT protocols were enacted to avoid. The</w:t>
      </w:r>
      <w:r w:rsidR="00C07615" w:rsidRPr="006B29D4">
        <w:rPr>
          <w:rFonts w:ascii="Arial" w:hAnsi="Arial" w:cs="Arial"/>
        </w:rPr>
        <w:t xml:space="preserve"> </w:t>
      </w:r>
      <w:r w:rsidRPr="006B29D4">
        <w:rPr>
          <w:rFonts w:ascii="Arial" w:hAnsi="Arial" w:cs="Arial"/>
        </w:rPr>
        <w:t>Load Shed Rule was issued without notice, without publication, without public comment, and</w:t>
      </w:r>
      <w:r w:rsidR="00C07615" w:rsidRPr="006B29D4">
        <w:rPr>
          <w:rFonts w:ascii="Arial" w:hAnsi="Arial" w:cs="Arial"/>
        </w:rPr>
        <w:t xml:space="preserve"> </w:t>
      </w:r>
      <w:r w:rsidRPr="006B29D4">
        <w:rPr>
          <w:rFonts w:ascii="Arial" w:hAnsi="Arial" w:cs="Arial"/>
        </w:rPr>
        <w:t>without reasoned justification. Had the Commissioners followed the legal requirements for</w:t>
      </w:r>
      <w:r w:rsidR="00C07615" w:rsidRPr="006B29D4">
        <w:rPr>
          <w:rFonts w:ascii="Arial" w:hAnsi="Arial" w:cs="Arial"/>
        </w:rPr>
        <w:t xml:space="preserve"> </w:t>
      </w:r>
      <w:r w:rsidRPr="006B29D4">
        <w:rPr>
          <w:rFonts w:ascii="Arial" w:hAnsi="Arial" w:cs="Arial"/>
        </w:rPr>
        <w:t>modifying agency rules, Texas’s electricity market and those it serves could have been spared the drastic and unprecedented economic fallout.</w:t>
      </w:r>
      <w:r w:rsidR="002840D8" w:rsidRPr="006B29D4">
        <w:rPr>
          <w:rStyle w:val="FootnoteReference"/>
          <w:rFonts w:ascii="Arial" w:hAnsi="Arial" w:cs="Arial"/>
        </w:rPr>
        <w:footnoteReference w:id="2"/>
      </w:r>
    </w:p>
    <w:p w14:paraId="2DAC3973" w14:textId="71B61EF6" w:rsidR="0038662A" w:rsidRPr="006B29D4" w:rsidRDefault="0038662A" w:rsidP="006B29D4">
      <w:pPr>
        <w:spacing w:before="120" w:after="120"/>
        <w:rPr>
          <w:rFonts w:ascii="Arial" w:hAnsi="Arial" w:cs="Arial"/>
        </w:rPr>
      </w:pPr>
      <w:r w:rsidRPr="006B29D4">
        <w:rPr>
          <w:rFonts w:ascii="Arial" w:hAnsi="Arial" w:cs="Arial"/>
          <w:iCs/>
          <w:kern w:val="24"/>
        </w:rPr>
        <w:t xml:space="preserve">The same argument could be made here if </w:t>
      </w:r>
      <w:r w:rsidR="006B29D4">
        <w:rPr>
          <w:rFonts w:ascii="Arial" w:hAnsi="Arial" w:cs="Arial"/>
          <w:iCs/>
          <w:kern w:val="24"/>
        </w:rPr>
        <w:t>L</w:t>
      </w:r>
      <w:r w:rsidRPr="006B29D4">
        <w:rPr>
          <w:rFonts w:ascii="Arial" w:hAnsi="Arial" w:cs="Arial"/>
          <w:iCs/>
          <w:kern w:val="24"/>
        </w:rPr>
        <w:t xml:space="preserve">oad shed is to trigger implementation of the price adder through a process other than at the PUC with full APA processes to ensure full public participation. </w:t>
      </w:r>
    </w:p>
    <w:p w14:paraId="48D0E9C1" w14:textId="1C205050" w:rsidR="00BD7258" w:rsidRPr="006B29D4" w:rsidRDefault="0038662A" w:rsidP="006B29D4">
      <w:pPr>
        <w:pStyle w:val="NormalArial"/>
        <w:spacing w:before="120" w:after="120"/>
        <w:rPr>
          <w:rFonts w:cs="Arial"/>
        </w:rPr>
      </w:pPr>
      <w:r w:rsidRPr="006B29D4">
        <w:rPr>
          <w:rFonts w:cs="Arial"/>
          <w:iCs/>
          <w:kern w:val="24"/>
        </w:rPr>
        <w:t>Lastly, t</w:t>
      </w:r>
      <w:r w:rsidR="0097099C" w:rsidRPr="006B29D4">
        <w:rPr>
          <w:rFonts w:cs="Arial"/>
          <w:iCs/>
          <w:kern w:val="24"/>
        </w:rPr>
        <w:t xml:space="preserve">he NPRR states that further discussions with stakeholders related to the Real-Time Reliability Deployment Price Adders for Ancillary Services will take place before these revisions can be proposed. </w:t>
      </w:r>
      <w:r w:rsidR="006B29D4">
        <w:rPr>
          <w:rFonts w:cs="Arial"/>
          <w:iCs/>
          <w:kern w:val="24"/>
        </w:rPr>
        <w:t xml:space="preserve"> </w:t>
      </w:r>
      <w:r w:rsidR="0097099C" w:rsidRPr="006B29D4">
        <w:rPr>
          <w:rFonts w:cs="Arial"/>
          <w:iCs/>
          <w:kern w:val="24"/>
        </w:rPr>
        <w:t xml:space="preserve">Payless Power respectfully requests to be included in these discussions prior </w:t>
      </w:r>
      <w:r w:rsidRPr="006B29D4">
        <w:rPr>
          <w:rFonts w:cs="Arial"/>
          <w:iCs/>
          <w:kern w:val="24"/>
        </w:rPr>
        <w:t xml:space="preserve">to </w:t>
      </w:r>
      <w:r w:rsidR="0097099C" w:rsidRPr="006B29D4">
        <w:rPr>
          <w:rFonts w:cs="Arial"/>
          <w:iCs/>
          <w:kern w:val="24"/>
        </w:rPr>
        <w:t>implementation of the Real-Time Co-Optimization</w:t>
      </w:r>
      <w:r w:rsidR="006B29D4">
        <w:rPr>
          <w:rFonts w:cs="Arial"/>
          <w:iCs/>
          <w:kern w:val="24"/>
        </w:rPr>
        <w:t xml:space="preserve"> (RTC)</w:t>
      </w:r>
      <w:r w:rsidR="0097099C" w:rsidRPr="006B29D4">
        <w:rPr>
          <w:rFonts w:cs="Arial"/>
          <w:iCs/>
          <w:kern w:val="24"/>
        </w:rPr>
        <w:t xml:space="preserve"> project.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RPr="006B29D4" w14:paraId="6E11E881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47B11" w14:textId="77777777" w:rsidR="00BD7258" w:rsidRPr="006B29D4" w:rsidRDefault="00BD7258" w:rsidP="00B5080A">
            <w:pPr>
              <w:pStyle w:val="Header"/>
              <w:jc w:val="center"/>
              <w:rPr>
                <w:rFonts w:cs="Arial"/>
              </w:rPr>
            </w:pPr>
            <w:r w:rsidRPr="006B29D4">
              <w:rPr>
                <w:rFonts w:cs="Arial"/>
              </w:rPr>
              <w:t>Revised Cover Page Language</w:t>
            </w:r>
          </w:p>
        </w:tc>
      </w:tr>
    </w:tbl>
    <w:p w14:paraId="5AFEDB19" w14:textId="29F947D8" w:rsidR="00BD7258" w:rsidRPr="006B29D4" w:rsidRDefault="00077BD6" w:rsidP="00077BD6">
      <w:pPr>
        <w:pStyle w:val="BodyText"/>
        <w:rPr>
          <w:rFonts w:ascii="Arial" w:hAnsi="Arial" w:cs="Arial"/>
        </w:rPr>
      </w:pPr>
      <w:r w:rsidRPr="006B29D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6B29D4" w14:paraId="6667F0B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82D8A" w14:textId="77777777" w:rsidR="00152993" w:rsidRPr="006B29D4" w:rsidRDefault="00152993">
            <w:pPr>
              <w:pStyle w:val="Header"/>
              <w:jc w:val="center"/>
              <w:rPr>
                <w:rFonts w:cs="Arial"/>
              </w:rPr>
            </w:pPr>
            <w:r w:rsidRPr="006B29D4">
              <w:rPr>
                <w:rFonts w:cs="Arial"/>
              </w:rPr>
              <w:t>Revised Proposed Protocol Language</w:t>
            </w:r>
          </w:p>
        </w:tc>
      </w:tr>
    </w:tbl>
    <w:p w14:paraId="1B08C24A" w14:textId="741367BD" w:rsidR="00152993" w:rsidRPr="006B29D4" w:rsidRDefault="00077BD6">
      <w:pPr>
        <w:pStyle w:val="BodyText"/>
        <w:rPr>
          <w:rFonts w:ascii="Arial" w:hAnsi="Arial" w:cs="Arial"/>
        </w:rPr>
      </w:pPr>
      <w:r w:rsidRPr="006B29D4">
        <w:rPr>
          <w:rFonts w:ascii="Arial" w:hAnsi="Arial" w:cs="Arial"/>
        </w:rPr>
        <w:t>None</w:t>
      </w:r>
    </w:p>
    <w:sectPr w:rsidR="00152993" w:rsidRPr="006B29D4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9519" w14:textId="77777777" w:rsidR="00B43EF7" w:rsidRDefault="00B43EF7">
      <w:r>
        <w:separator/>
      </w:r>
    </w:p>
  </w:endnote>
  <w:endnote w:type="continuationSeparator" w:id="0">
    <w:p w14:paraId="4B3E91EE" w14:textId="77777777" w:rsidR="00B43EF7" w:rsidRDefault="00B4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37AC" w14:textId="24F78468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77BD6">
      <w:rPr>
        <w:rFonts w:ascii="Arial" w:hAnsi="Arial"/>
        <w:noProof/>
        <w:sz w:val="18"/>
      </w:rPr>
      <w:t>1081NPRR-03 Payless Power Comments 060921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E3568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E35682">
      <w:rPr>
        <w:rFonts w:ascii="Arial" w:hAnsi="Arial"/>
        <w:noProof/>
        <w:sz w:val="18"/>
      </w:rPr>
      <w:t>3</w:t>
    </w:r>
    <w:r w:rsidR="00EE6681">
      <w:rPr>
        <w:rFonts w:ascii="Arial" w:hAnsi="Arial"/>
        <w:sz w:val="18"/>
      </w:rPr>
      <w:fldChar w:fldCharType="end"/>
    </w:r>
  </w:p>
  <w:p w14:paraId="572F9A8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9D14" w14:textId="77777777" w:rsidR="00B43EF7" w:rsidRDefault="00B43EF7">
      <w:r>
        <w:separator/>
      </w:r>
    </w:p>
  </w:footnote>
  <w:footnote w:type="continuationSeparator" w:id="0">
    <w:p w14:paraId="087792F5" w14:textId="77777777" w:rsidR="00B43EF7" w:rsidRDefault="00B43EF7">
      <w:r>
        <w:continuationSeparator/>
      </w:r>
    </w:p>
  </w:footnote>
  <w:footnote w:id="1">
    <w:p w14:paraId="193951ED" w14:textId="77777777" w:rsidR="00BC38C6" w:rsidRPr="006B29D4" w:rsidRDefault="00BC38C6" w:rsidP="00BC38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B29D4">
        <w:rPr>
          <w:rStyle w:val="FootnoteReference"/>
          <w:rFonts w:ascii="Arial" w:hAnsi="Arial" w:cs="Arial"/>
          <w:sz w:val="20"/>
          <w:szCs w:val="20"/>
        </w:rPr>
        <w:footnoteRef/>
      </w:r>
      <w:r w:rsidRPr="006B29D4">
        <w:rPr>
          <w:rFonts w:ascii="Arial" w:hAnsi="Arial" w:cs="Arial"/>
          <w:sz w:val="20"/>
          <w:szCs w:val="20"/>
        </w:rPr>
        <w:t xml:space="preserve"> </w:t>
      </w:r>
      <w:r w:rsidRPr="006B29D4">
        <w:rPr>
          <w:rFonts w:ascii="Arial" w:hAnsi="Arial" w:cs="Arial"/>
          <w:i/>
          <w:iCs/>
          <w:color w:val="000000"/>
          <w:sz w:val="20"/>
          <w:szCs w:val="20"/>
        </w:rPr>
        <w:t xml:space="preserve">See 626NPRR-01 ORDC Price Reversal Mitigation Enhancements 051614 </w:t>
      </w:r>
      <w:r w:rsidRPr="006B29D4">
        <w:rPr>
          <w:rFonts w:ascii="Arial" w:hAnsi="Arial" w:cs="Arial"/>
          <w:color w:val="000000"/>
          <w:sz w:val="20"/>
          <w:szCs w:val="20"/>
        </w:rPr>
        <w:t>(May 16, 2014), available at</w:t>
      </w:r>
    </w:p>
    <w:p w14:paraId="4708B0B6" w14:textId="0C1E397B" w:rsidR="00BC38C6" w:rsidRDefault="006B29D4" w:rsidP="00BC38C6">
      <w:pPr>
        <w:pStyle w:val="FootnoteText"/>
      </w:pPr>
      <w:hyperlink r:id="rId1" w:history="1">
        <w:r w:rsidRPr="0057330E">
          <w:rPr>
            <w:rStyle w:val="Hyperlink"/>
            <w:rFonts w:ascii="Arial" w:hAnsi="Arial" w:cs="Arial"/>
          </w:rPr>
          <w:t>http://www.ercot.com/mktrules/issues/NPRR626#kevdocs</w:t>
        </w:r>
      </w:hyperlink>
      <w:r>
        <w:rPr>
          <w:rFonts w:ascii="Arial" w:hAnsi="Arial" w:cs="Arial"/>
          <w:color w:val="000000"/>
        </w:rPr>
        <w:tab/>
      </w:r>
    </w:p>
  </w:footnote>
  <w:footnote w:id="2">
    <w:p w14:paraId="636A7807" w14:textId="3355300D" w:rsidR="002840D8" w:rsidRPr="006B29D4" w:rsidRDefault="002840D8">
      <w:pPr>
        <w:pStyle w:val="FootnoteText"/>
        <w:rPr>
          <w:rFonts w:ascii="Arial" w:hAnsi="Arial" w:cs="Arial"/>
        </w:rPr>
      </w:pPr>
      <w:r w:rsidRPr="006B29D4">
        <w:rPr>
          <w:rStyle w:val="FootnoteReference"/>
          <w:rFonts w:ascii="Arial" w:hAnsi="Arial" w:cs="Arial"/>
        </w:rPr>
        <w:footnoteRef/>
      </w:r>
      <w:r w:rsidRPr="006B29D4">
        <w:rPr>
          <w:rFonts w:ascii="Arial" w:hAnsi="Arial" w:cs="Arial"/>
        </w:rPr>
        <w:t xml:space="preserve"> </w:t>
      </w:r>
      <w:r w:rsidR="005F2BB8" w:rsidRPr="006B29D4">
        <w:rPr>
          <w:rFonts w:ascii="Arial" w:hAnsi="Arial" w:cs="Arial"/>
        </w:rPr>
        <w:t xml:space="preserve">Plaintiff’s Original Petition for Declaratory Judgment and Alternatively, Judicial Review, Cause No. v-1-gn-21-001772, </w:t>
      </w:r>
      <w:r w:rsidR="005F2BB8" w:rsidRPr="006B29D4">
        <w:rPr>
          <w:rFonts w:ascii="Arial" w:hAnsi="Arial" w:cs="Arial"/>
          <w:i/>
          <w:iCs/>
        </w:rPr>
        <w:t>Exelon Generation Company, LLC and Constellation NewEnergy v. PUC</w:t>
      </w:r>
      <w:r w:rsidR="005F2BB8" w:rsidRPr="006B29D4">
        <w:rPr>
          <w:rFonts w:ascii="Arial" w:hAnsi="Arial" w:cs="Arial"/>
        </w:rPr>
        <w:t>, in the District Court of Travis County Texas 53</w:t>
      </w:r>
      <w:r w:rsidR="005F2BB8" w:rsidRPr="006B29D4">
        <w:rPr>
          <w:rFonts w:ascii="Arial" w:hAnsi="Arial" w:cs="Arial"/>
          <w:vertAlign w:val="superscript"/>
        </w:rPr>
        <w:t>rd</w:t>
      </w:r>
      <w:r w:rsidR="005F2BB8" w:rsidRPr="006B29D4">
        <w:rPr>
          <w:rFonts w:ascii="Arial" w:hAnsi="Arial" w:cs="Arial"/>
        </w:rPr>
        <w:t xml:space="preserve"> Judicial District, page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5CEE" w14:textId="5A6B89E7" w:rsidR="00EE6681" w:rsidRPr="00077BD6" w:rsidRDefault="00EE6681" w:rsidP="00077BD6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07D31"/>
    <w:rsid w:val="00015C76"/>
    <w:rsid w:val="00037668"/>
    <w:rsid w:val="00075A94"/>
    <w:rsid w:val="00077BD6"/>
    <w:rsid w:val="00132855"/>
    <w:rsid w:val="00152993"/>
    <w:rsid w:val="00170297"/>
    <w:rsid w:val="001A227D"/>
    <w:rsid w:val="001E2032"/>
    <w:rsid w:val="00214D1D"/>
    <w:rsid w:val="0023237C"/>
    <w:rsid w:val="002840D8"/>
    <w:rsid w:val="003010C0"/>
    <w:rsid w:val="00332A97"/>
    <w:rsid w:val="00350C00"/>
    <w:rsid w:val="00366113"/>
    <w:rsid w:val="0038662A"/>
    <w:rsid w:val="003C270C"/>
    <w:rsid w:val="003D0994"/>
    <w:rsid w:val="00422AA8"/>
    <w:rsid w:val="00423824"/>
    <w:rsid w:val="0043567D"/>
    <w:rsid w:val="004B7B90"/>
    <w:rsid w:val="004E037D"/>
    <w:rsid w:val="004E2C19"/>
    <w:rsid w:val="004E6E75"/>
    <w:rsid w:val="0050287F"/>
    <w:rsid w:val="005972FD"/>
    <w:rsid w:val="005C4FFD"/>
    <w:rsid w:val="005D284C"/>
    <w:rsid w:val="005F2BB8"/>
    <w:rsid w:val="00604512"/>
    <w:rsid w:val="00633E23"/>
    <w:rsid w:val="00673B94"/>
    <w:rsid w:val="00680AC6"/>
    <w:rsid w:val="006835D8"/>
    <w:rsid w:val="006B29D4"/>
    <w:rsid w:val="006C316E"/>
    <w:rsid w:val="006D0F7C"/>
    <w:rsid w:val="007269C4"/>
    <w:rsid w:val="0074209E"/>
    <w:rsid w:val="0076164C"/>
    <w:rsid w:val="007871FC"/>
    <w:rsid w:val="007F2CA8"/>
    <w:rsid w:val="007F7161"/>
    <w:rsid w:val="0081799D"/>
    <w:rsid w:val="0085559E"/>
    <w:rsid w:val="00896B1B"/>
    <w:rsid w:val="008E559E"/>
    <w:rsid w:val="00904342"/>
    <w:rsid w:val="00916080"/>
    <w:rsid w:val="00921A68"/>
    <w:rsid w:val="0097099C"/>
    <w:rsid w:val="009D4851"/>
    <w:rsid w:val="00A00425"/>
    <w:rsid w:val="00A015C4"/>
    <w:rsid w:val="00A15172"/>
    <w:rsid w:val="00B43EF7"/>
    <w:rsid w:val="00B472C6"/>
    <w:rsid w:val="00B5080A"/>
    <w:rsid w:val="00B943AE"/>
    <w:rsid w:val="00BC38C6"/>
    <w:rsid w:val="00BD7258"/>
    <w:rsid w:val="00C0598D"/>
    <w:rsid w:val="00C07615"/>
    <w:rsid w:val="00C11956"/>
    <w:rsid w:val="00C602E5"/>
    <w:rsid w:val="00C748FD"/>
    <w:rsid w:val="00D4046E"/>
    <w:rsid w:val="00D4362F"/>
    <w:rsid w:val="00DD4739"/>
    <w:rsid w:val="00DE5F33"/>
    <w:rsid w:val="00E05357"/>
    <w:rsid w:val="00E07B54"/>
    <w:rsid w:val="00E1196F"/>
    <w:rsid w:val="00E11F78"/>
    <w:rsid w:val="00E35682"/>
    <w:rsid w:val="00E621E1"/>
    <w:rsid w:val="00EC55B3"/>
    <w:rsid w:val="00EE6681"/>
    <w:rsid w:val="00F96FB2"/>
    <w:rsid w:val="00FA7451"/>
    <w:rsid w:val="00FB51D8"/>
    <w:rsid w:val="00FD08E8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A74167"/>
  <w15:chartTrackingRefBased/>
  <w15:docId w15:val="{2FF648BD-2073-45A3-971C-524A60E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NormalWeb">
    <w:name w:val="Normal (Web)"/>
    <w:basedOn w:val="Normal"/>
    <w:uiPriority w:val="99"/>
    <w:unhideWhenUsed/>
    <w:rsid w:val="008179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7D31"/>
    <w:rPr>
      <w:b/>
      <w:bCs/>
    </w:rPr>
  </w:style>
  <w:style w:type="character" w:styleId="Emphasis">
    <w:name w:val="Emphasis"/>
    <w:basedOn w:val="DefaultParagraphFont"/>
    <w:uiPriority w:val="20"/>
    <w:qFormat/>
    <w:rsid w:val="00007D31"/>
    <w:rPr>
      <w:i/>
      <w:iCs/>
    </w:rPr>
  </w:style>
  <w:style w:type="paragraph" w:styleId="FootnoteText">
    <w:name w:val="footnote text"/>
    <w:basedOn w:val="Normal"/>
    <w:link w:val="FootnoteTextChar"/>
    <w:rsid w:val="00007D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7D31"/>
  </w:style>
  <w:style w:type="character" w:styleId="FootnoteReference">
    <w:name w:val="footnote reference"/>
    <w:basedOn w:val="DefaultParagraphFont"/>
    <w:rsid w:val="00007D31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4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35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8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75D2E.B4F8EC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teve.malkiewicz@ystas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mktrules/issues/NPRR626#kev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0840-F0C8-4AC7-8071-1FFA6D8B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546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11</cp:revision>
  <cp:lastPrinted>2021-06-08T21:29:00Z</cp:lastPrinted>
  <dcterms:created xsi:type="dcterms:W3CDTF">2021-06-09T19:01:00Z</dcterms:created>
  <dcterms:modified xsi:type="dcterms:W3CDTF">2021-06-09T21:42:00Z</dcterms:modified>
</cp:coreProperties>
</file>