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611A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6A4987" w:rsidRPr="006A4987">
                <w:rPr>
                  <w:rStyle w:val="Hyperlink"/>
                </w:rPr>
                <w:t>1074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6A498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“mp” Definition Revision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64F2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27,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611A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611AD">
      <w:rPr>
        <w:rFonts w:ascii="Arial" w:hAnsi="Arial"/>
        <w:sz w:val="18"/>
      </w:rPr>
      <w:t>1074NPRR-06 Impact Analysis 042721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BCE5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A66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AC9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A2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4C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0F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AC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CC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E8D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537D3"/>
    <w:multiLevelType w:val="multilevel"/>
    <w:tmpl w:val="97484CF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76F05D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EE6B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96E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CE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ED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BC4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A26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7A8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4987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078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1AD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64F25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c34af464-7aa1-4edd-9be4-83dffc1cb926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86035B-4F27-4F4F-A55D-D6422D95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2021-04-27T16:45:00Z</dcterms:created>
  <dcterms:modified xsi:type="dcterms:W3CDTF">2021-05-30T18:46:00Z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