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42" w:rsidRPr="00123FEE" w:rsidRDefault="00446742" w:rsidP="00123FEE">
      <w:pPr>
        <w:pStyle w:val="NoSpacing"/>
        <w:rPr>
          <w:b/>
          <w:sz w:val="28"/>
        </w:rPr>
      </w:pPr>
      <w:r w:rsidRPr="00123FEE">
        <w:rPr>
          <w:b/>
          <w:sz w:val="28"/>
        </w:rPr>
        <w:t>TDTMS</w:t>
      </w:r>
    </w:p>
    <w:p w:rsidR="00446742" w:rsidRPr="00123FEE" w:rsidRDefault="00194107" w:rsidP="00123FEE">
      <w:pPr>
        <w:pStyle w:val="NoSpacing"/>
        <w:rPr>
          <w:b/>
          <w:sz w:val="28"/>
          <w:szCs w:val="24"/>
        </w:rPr>
      </w:pPr>
      <w:r>
        <w:rPr>
          <w:b/>
          <w:sz w:val="28"/>
          <w:szCs w:val="24"/>
        </w:rPr>
        <w:t xml:space="preserve">April </w:t>
      </w:r>
      <w:r w:rsidR="00463A02">
        <w:rPr>
          <w:b/>
          <w:sz w:val="28"/>
          <w:szCs w:val="24"/>
        </w:rPr>
        <w:t>2</w:t>
      </w:r>
      <w:r>
        <w:rPr>
          <w:b/>
          <w:sz w:val="28"/>
          <w:szCs w:val="24"/>
        </w:rPr>
        <w:t>3rd</w:t>
      </w:r>
      <w:r w:rsidR="002F5B65">
        <w:rPr>
          <w:b/>
          <w:sz w:val="28"/>
          <w:szCs w:val="24"/>
        </w:rPr>
        <w:t>,</w:t>
      </w:r>
      <w:r w:rsidR="005645B7">
        <w:rPr>
          <w:b/>
          <w:sz w:val="28"/>
          <w:szCs w:val="24"/>
        </w:rPr>
        <w:t xml:space="preserve"> 202</w:t>
      </w:r>
      <w:r w:rsidR="00AA3CAF">
        <w:rPr>
          <w:b/>
          <w:sz w:val="28"/>
          <w:szCs w:val="24"/>
        </w:rPr>
        <w:t>1</w:t>
      </w:r>
    </w:p>
    <w:p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800"/>
        <w:gridCol w:w="1890"/>
        <w:gridCol w:w="1710"/>
      </w:tblGrid>
      <w:tr w:rsidR="00EA742D" w:rsidRPr="00020312" w:rsidTr="00496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rsidR="00446742" w:rsidRPr="00020312" w:rsidRDefault="00446742" w:rsidP="00446742">
            <w:r w:rsidRPr="00020312">
              <w:t>Attendee</w:t>
            </w:r>
          </w:p>
        </w:tc>
        <w:tc>
          <w:tcPr>
            <w:tcW w:w="1411"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189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71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46742"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1D16C1" w:rsidP="00446742">
            <w:pPr>
              <w:rPr>
                <w:b w:val="0"/>
              </w:rPr>
            </w:pPr>
            <w:r>
              <w:rPr>
                <w:b w:val="0"/>
              </w:rPr>
              <w:t>Diana Rehfeldt</w:t>
            </w:r>
          </w:p>
        </w:tc>
        <w:tc>
          <w:tcPr>
            <w:tcW w:w="1411"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r w:rsidRPr="00020312">
              <w:t>TNMP</w:t>
            </w:r>
          </w:p>
        </w:tc>
        <w:tc>
          <w:tcPr>
            <w:tcW w:w="2099"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Jim Lee</w:t>
            </w:r>
          </w:p>
        </w:tc>
        <w:tc>
          <w:tcPr>
            <w:tcW w:w="1800"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AEP</w:t>
            </w:r>
          </w:p>
        </w:tc>
        <w:tc>
          <w:tcPr>
            <w:tcW w:w="1890" w:type="dxa"/>
          </w:tcPr>
          <w:p w:rsidR="00446742" w:rsidRPr="00020312" w:rsidRDefault="00AA3CAF" w:rsidP="00446742">
            <w:pPr>
              <w:cnfStyle w:val="000000100000" w:firstRow="0" w:lastRow="0" w:firstColumn="0" w:lastColumn="0" w:oddVBand="0" w:evenVBand="0" w:oddHBand="1" w:evenHBand="0" w:firstRowFirstColumn="0" w:firstRowLastColumn="0" w:lastRowFirstColumn="0" w:lastRowLastColumn="0"/>
            </w:pPr>
            <w:r>
              <w:t>Norm Levine</w:t>
            </w:r>
          </w:p>
        </w:tc>
        <w:tc>
          <w:tcPr>
            <w:tcW w:w="1710" w:type="dxa"/>
          </w:tcPr>
          <w:p w:rsidR="00446742" w:rsidRPr="00020312" w:rsidRDefault="00AA3CAF" w:rsidP="00446742">
            <w:pPr>
              <w:cnfStyle w:val="000000100000" w:firstRow="0" w:lastRow="0" w:firstColumn="0" w:lastColumn="0" w:oddVBand="0" w:evenVBand="0" w:oddHBand="1" w:evenHBand="0" w:firstRowFirstColumn="0" w:firstRowLastColumn="0" w:lastRowFirstColumn="0" w:lastRowLastColumn="0"/>
            </w:pPr>
            <w:r>
              <w:t>Direct</w:t>
            </w:r>
          </w:p>
        </w:tc>
      </w:tr>
      <w:tr w:rsidR="002F5B65"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sidRPr="00020312">
              <w:rPr>
                <w:b w:val="0"/>
              </w:rPr>
              <w:t>Sam Pak</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Steven Pliler</w:t>
            </w:r>
          </w:p>
        </w:tc>
        <w:tc>
          <w:tcPr>
            <w:tcW w:w="1800"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TXU</w:t>
            </w:r>
          </w:p>
        </w:tc>
        <w:tc>
          <w:tcPr>
            <w:tcW w:w="1890" w:type="dxa"/>
          </w:tcPr>
          <w:p w:rsidR="002F5B65" w:rsidRPr="00020312" w:rsidRDefault="001313EA" w:rsidP="002F5B65">
            <w:pPr>
              <w:cnfStyle w:val="000000000000" w:firstRow="0" w:lastRow="0" w:firstColumn="0" w:lastColumn="0" w:oddVBand="0" w:evenVBand="0" w:oddHBand="0" w:evenHBand="0" w:firstRowFirstColumn="0" w:firstRowLastColumn="0" w:lastRowFirstColumn="0" w:lastRowLastColumn="0"/>
            </w:pPr>
            <w:r>
              <w:t>Stephen Wilson</w:t>
            </w:r>
          </w:p>
        </w:tc>
        <w:tc>
          <w:tcPr>
            <w:tcW w:w="1710" w:type="dxa"/>
          </w:tcPr>
          <w:p w:rsidR="002F5B65" w:rsidRPr="00020312" w:rsidRDefault="001313EA" w:rsidP="002F5B65">
            <w:pPr>
              <w:cnfStyle w:val="000000000000" w:firstRow="0" w:lastRow="0" w:firstColumn="0" w:lastColumn="0" w:oddVBand="0" w:evenVBand="0" w:oddHBand="0" w:evenHBand="0" w:firstRowFirstColumn="0" w:firstRowLastColumn="0" w:lastRowFirstColumn="0" w:lastRowLastColumn="0"/>
            </w:pPr>
            <w:r>
              <w:t>TXU</w:t>
            </w:r>
          </w:p>
        </w:tc>
      </w:tr>
      <w:tr w:rsidR="002F5B65"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Pr>
                <w:b w:val="0"/>
              </w:rPr>
              <w:t>Kathy Scott</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CenterPoint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Eric Blakey</w:t>
            </w: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Just Energy</w:t>
            </w:r>
          </w:p>
        </w:tc>
        <w:tc>
          <w:tcPr>
            <w:tcW w:w="1890" w:type="dxa"/>
          </w:tcPr>
          <w:p w:rsidR="002F5B65" w:rsidRPr="00020312" w:rsidRDefault="00F621D1" w:rsidP="002F5B65">
            <w:pPr>
              <w:cnfStyle w:val="000000100000" w:firstRow="0" w:lastRow="0" w:firstColumn="0" w:lastColumn="0" w:oddVBand="0" w:evenVBand="0" w:oddHBand="1" w:evenHBand="0" w:firstRowFirstColumn="0" w:firstRowLastColumn="0" w:lastRowFirstColumn="0" w:lastRowLastColumn="0"/>
            </w:pPr>
            <w:r>
              <w:t>John Schatz</w:t>
            </w:r>
          </w:p>
        </w:tc>
        <w:tc>
          <w:tcPr>
            <w:tcW w:w="1710" w:type="dxa"/>
          </w:tcPr>
          <w:p w:rsidR="002F5B65" w:rsidRPr="00020312" w:rsidRDefault="00F621D1" w:rsidP="002F5B65">
            <w:pPr>
              <w:cnfStyle w:val="000000100000" w:firstRow="0" w:lastRow="0" w:firstColumn="0" w:lastColumn="0" w:oddVBand="0" w:evenVBand="0" w:oddHBand="1" w:evenHBand="0" w:firstRowFirstColumn="0" w:firstRowLastColumn="0" w:lastRowFirstColumn="0" w:lastRowLastColumn="0"/>
            </w:pPr>
            <w:r>
              <w:t>TXU</w:t>
            </w:r>
          </w:p>
        </w:tc>
      </w:tr>
      <w:tr w:rsidR="002F5B65"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2F5B65" w:rsidRPr="003D3023" w:rsidRDefault="002F5B65" w:rsidP="002F5B65">
            <w:pPr>
              <w:rPr>
                <w:b w:val="0"/>
              </w:rPr>
            </w:pPr>
            <w:r w:rsidRPr="003D3023">
              <w:rPr>
                <w:b w:val="0"/>
              </w:rPr>
              <w:t>Sheri W</w:t>
            </w:r>
            <w:r>
              <w:rPr>
                <w:b w:val="0"/>
              </w:rPr>
              <w:t>ie</w:t>
            </w:r>
            <w:r w:rsidRPr="003D3023">
              <w:rPr>
                <w:b w:val="0"/>
              </w:rPr>
              <w:t>gand</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rsidR="002F5B65" w:rsidRPr="00020312" w:rsidRDefault="00F621D1" w:rsidP="002F5B65">
            <w:pPr>
              <w:cnfStyle w:val="000000000000" w:firstRow="0" w:lastRow="0" w:firstColumn="0" w:lastColumn="0" w:oddVBand="0" w:evenVBand="0" w:oddHBand="0" w:evenHBand="0" w:firstRowFirstColumn="0" w:firstRowLastColumn="0" w:lastRowFirstColumn="0" w:lastRowLastColumn="0"/>
            </w:pPr>
            <w:r>
              <w:t>Carolyn Reed</w:t>
            </w:r>
          </w:p>
        </w:tc>
        <w:tc>
          <w:tcPr>
            <w:tcW w:w="1800" w:type="dxa"/>
          </w:tcPr>
          <w:p w:rsidR="002F5B65" w:rsidRPr="00020312" w:rsidRDefault="00F621D1" w:rsidP="002F5B65">
            <w:pPr>
              <w:cnfStyle w:val="000000000000" w:firstRow="0" w:lastRow="0" w:firstColumn="0" w:lastColumn="0" w:oddVBand="0" w:evenVBand="0" w:oddHBand="0" w:evenHBand="0" w:firstRowFirstColumn="0" w:firstRowLastColumn="0" w:lastRowFirstColumn="0" w:lastRowLastColumn="0"/>
            </w:pPr>
            <w:r>
              <w:t>CNP</w:t>
            </w: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AA3CAF"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AA3CAF" w:rsidRPr="003D3023" w:rsidRDefault="00AA3CAF" w:rsidP="00AA3CAF">
            <w:pPr>
              <w:rPr>
                <w:b w:val="0"/>
              </w:rPr>
            </w:pPr>
            <w:r w:rsidRPr="00020312">
              <w:rPr>
                <w:b w:val="0"/>
              </w:rPr>
              <w:t>Kyle Patrick</w:t>
            </w:r>
          </w:p>
        </w:tc>
        <w:tc>
          <w:tcPr>
            <w:tcW w:w="1411"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r w:rsidRPr="00020312">
              <w:t>NRG</w:t>
            </w:r>
          </w:p>
        </w:tc>
        <w:tc>
          <w:tcPr>
            <w:tcW w:w="2099" w:type="dxa"/>
          </w:tcPr>
          <w:p w:rsidR="00AA3CAF" w:rsidRPr="00020312" w:rsidRDefault="00F621D1" w:rsidP="00AA3CAF">
            <w:pPr>
              <w:cnfStyle w:val="000000100000" w:firstRow="0" w:lastRow="0" w:firstColumn="0" w:lastColumn="0" w:oddVBand="0" w:evenVBand="0" w:oddHBand="1" w:evenHBand="0" w:firstRowFirstColumn="0" w:firstRowLastColumn="0" w:lastRowFirstColumn="0" w:lastRowLastColumn="0"/>
            </w:pPr>
            <w:r>
              <w:t>Karen Malkey</w:t>
            </w:r>
          </w:p>
        </w:tc>
        <w:tc>
          <w:tcPr>
            <w:tcW w:w="1800" w:type="dxa"/>
          </w:tcPr>
          <w:p w:rsidR="00AA3CAF" w:rsidRPr="00020312" w:rsidRDefault="00F621D1" w:rsidP="00AA3CAF">
            <w:pPr>
              <w:cnfStyle w:val="000000100000" w:firstRow="0" w:lastRow="0" w:firstColumn="0" w:lastColumn="0" w:oddVBand="0" w:evenVBand="0" w:oddHBand="1" w:evenHBand="0" w:firstRowFirstColumn="0" w:firstRowLastColumn="0" w:lastRowFirstColumn="0" w:lastRowLastColumn="0"/>
            </w:pPr>
            <w:r>
              <w:t>CNP</w:t>
            </w:r>
          </w:p>
        </w:tc>
        <w:tc>
          <w:tcPr>
            <w:tcW w:w="189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c>
          <w:tcPr>
            <w:tcW w:w="171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r>
      <w:tr w:rsidR="00AA3CAF"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AA3CAF" w:rsidRPr="00020312" w:rsidRDefault="00AA3CAF" w:rsidP="00AA3CAF">
            <w:pPr>
              <w:rPr>
                <w:b w:val="0"/>
              </w:rPr>
            </w:pPr>
            <w:r>
              <w:rPr>
                <w:b w:val="0"/>
              </w:rPr>
              <w:t>Mick Hanna</w:t>
            </w:r>
          </w:p>
        </w:tc>
        <w:tc>
          <w:tcPr>
            <w:tcW w:w="1411"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r>
              <w:t>ERCOT</w:t>
            </w:r>
          </w:p>
        </w:tc>
        <w:tc>
          <w:tcPr>
            <w:tcW w:w="2099"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r>
              <w:t>Dave Michelson</w:t>
            </w:r>
          </w:p>
        </w:tc>
        <w:tc>
          <w:tcPr>
            <w:tcW w:w="1800"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r>
              <w:t>ERCOT</w:t>
            </w:r>
          </w:p>
        </w:tc>
        <w:tc>
          <w:tcPr>
            <w:tcW w:w="1890"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p>
        </w:tc>
        <w:tc>
          <w:tcPr>
            <w:tcW w:w="1710"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p>
        </w:tc>
      </w:tr>
      <w:tr w:rsidR="00AA3CAF" w:rsidRPr="00020312" w:rsidTr="00496BC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55" w:type="dxa"/>
          </w:tcPr>
          <w:p w:rsidR="00AA3CAF" w:rsidRPr="00D17CF3" w:rsidRDefault="00AA3CAF" w:rsidP="00AA3CAF">
            <w:pPr>
              <w:rPr>
                <w:b w:val="0"/>
              </w:rPr>
            </w:pPr>
            <w:r>
              <w:rPr>
                <w:b w:val="0"/>
              </w:rPr>
              <w:t>Jordan Troublefield</w:t>
            </w:r>
          </w:p>
        </w:tc>
        <w:tc>
          <w:tcPr>
            <w:tcW w:w="1411"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AA3CAF" w:rsidRPr="00020312" w:rsidRDefault="00F621D1" w:rsidP="00AA3CAF">
            <w:pPr>
              <w:cnfStyle w:val="000000100000" w:firstRow="0" w:lastRow="0" w:firstColumn="0" w:lastColumn="0" w:oddVBand="0" w:evenVBand="0" w:oddHBand="1" w:evenHBand="0" w:firstRowFirstColumn="0" w:firstRowLastColumn="0" w:lastRowFirstColumn="0" w:lastRowLastColumn="0"/>
            </w:pPr>
            <w:r>
              <w:t xml:space="preserve">Kim Wall </w:t>
            </w:r>
          </w:p>
        </w:tc>
        <w:tc>
          <w:tcPr>
            <w:tcW w:w="1800" w:type="dxa"/>
          </w:tcPr>
          <w:p w:rsidR="00AA3CAF" w:rsidRPr="00020312" w:rsidRDefault="00F621D1" w:rsidP="00AA3CAF">
            <w:pPr>
              <w:cnfStyle w:val="000000100000" w:firstRow="0" w:lastRow="0" w:firstColumn="0" w:lastColumn="0" w:oddVBand="0" w:evenVBand="0" w:oddHBand="1" w:evenHBand="0" w:firstRowFirstColumn="0" w:firstRowLastColumn="0" w:lastRowFirstColumn="0" w:lastRowLastColumn="0"/>
            </w:pPr>
            <w:r>
              <w:t xml:space="preserve">Hanson </w:t>
            </w:r>
          </w:p>
        </w:tc>
        <w:tc>
          <w:tcPr>
            <w:tcW w:w="189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c>
          <w:tcPr>
            <w:tcW w:w="171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r>
      <w:tr w:rsidR="00AA3CAF" w:rsidRPr="00020312" w:rsidTr="002E188E">
        <w:tc>
          <w:tcPr>
            <w:cnfStyle w:val="001000000000" w:firstRow="0" w:lastRow="0" w:firstColumn="1" w:lastColumn="0" w:oddVBand="0" w:evenVBand="0" w:oddHBand="0" w:evenHBand="0" w:firstRowFirstColumn="0" w:firstRowLastColumn="0" w:lastRowFirstColumn="0" w:lastRowLastColumn="0"/>
            <w:tcW w:w="11065" w:type="dxa"/>
            <w:gridSpan w:val="6"/>
          </w:tcPr>
          <w:p w:rsidR="00AA3CAF" w:rsidRPr="00020312" w:rsidRDefault="00AA3CAF" w:rsidP="00AA3CAF"/>
        </w:tc>
      </w:tr>
    </w:tbl>
    <w:p w:rsidR="00446742" w:rsidRPr="00020312" w:rsidRDefault="00446742" w:rsidP="00AE3E48">
      <w:pPr>
        <w:pStyle w:val="NoSpacing"/>
      </w:pPr>
    </w:p>
    <w:p w:rsidR="00CA2667" w:rsidRPr="00AE3E48" w:rsidRDefault="00F021C5" w:rsidP="00AE3E48">
      <w:pPr>
        <w:pStyle w:val="NoSpacing"/>
        <w:rPr>
          <w:b/>
          <w:u w:val="single"/>
        </w:rPr>
      </w:pPr>
      <w:r w:rsidRPr="00AE3E48">
        <w:rPr>
          <w:b/>
          <w:u w:val="single"/>
        </w:rPr>
        <w:t>Minutes</w:t>
      </w:r>
      <w:r w:rsidR="00AA3CAF">
        <w:rPr>
          <w:b/>
          <w:u w:val="single"/>
        </w:rPr>
        <w:t>,</w:t>
      </w:r>
      <w:r w:rsidR="00CE3D30">
        <w:rPr>
          <w:b/>
          <w:u w:val="single"/>
        </w:rPr>
        <w:t xml:space="preserve"> Antitrust</w:t>
      </w:r>
    </w:p>
    <w:p w:rsidR="00CE3D30" w:rsidRPr="00CE3D30" w:rsidRDefault="00CE3D30" w:rsidP="00245452">
      <w:pPr>
        <w:pStyle w:val="NoSpacing"/>
        <w:numPr>
          <w:ilvl w:val="0"/>
          <w:numId w:val="1"/>
        </w:numPr>
        <w:rPr>
          <w:u w:val="single"/>
        </w:rPr>
      </w:pPr>
      <w:r>
        <w:t xml:space="preserve">Antitrust Admonition was read by Sheri </w:t>
      </w:r>
    </w:p>
    <w:p w:rsidR="005645B7" w:rsidRPr="00F621D1" w:rsidRDefault="002F5B65" w:rsidP="00A241ED">
      <w:pPr>
        <w:pStyle w:val="NoSpacing"/>
        <w:numPr>
          <w:ilvl w:val="0"/>
          <w:numId w:val="1"/>
        </w:numPr>
        <w:rPr>
          <w:b/>
          <w:u w:val="single"/>
        </w:rPr>
      </w:pPr>
      <w:r>
        <w:t>M</w:t>
      </w:r>
      <w:r w:rsidR="00326666">
        <w:t xml:space="preserve">inutes </w:t>
      </w:r>
      <w:r w:rsidR="001D16C1">
        <w:t xml:space="preserve">from </w:t>
      </w:r>
      <w:r w:rsidR="00E03B9B">
        <w:t>3</w:t>
      </w:r>
      <w:r w:rsidR="00AA3CAF">
        <w:t>/2</w:t>
      </w:r>
      <w:r w:rsidR="008451D6">
        <w:t>6</w:t>
      </w:r>
      <w:r>
        <w:t>/</w:t>
      </w:r>
      <w:r w:rsidR="00766E5D">
        <w:t>2</w:t>
      </w:r>
      <w:r w:rsidR="001313EA">
        <w:t>1</w:t>
      </w:r>
      <w:r w:rsidR="001D16C1">
        <w:t xml:space="preserve"> </w:t>
      </w:r>
      <w:r w:rsidR="00326666">
        <w:t xml:space="preserve">were </w:t>
      </w:r>
      <w:r w:rsidR="008451D6">
        <w:t xml:space="preserve">reviewed and </w:t>
      </w:r>
      <w:r w:rsidR="00326666">
        <w:t>approved</w:t>
      </w:r>
      <w:r w:rsidR="009D7657">
        <w:t xml:space="preserve"> </w:t>
      </w:r>
    </w:p>
    <w:p w:rsidR="00F621D1" w:rsidRPr="00496BC3" w:rsidRDefault="00F621D1" w:rsidP="00F621D1">
      <w:pPr>
        <w:pStyle w:val="NoSpacing"/>
        <w:numPr>
          <w:ilvl w:val="1"/>
          <w:numId w:val="1"/>
        </w:numPr>
        <w:rPr>
          <w:b/>
          <w:u w:val="single"/>
        </w:rPr>
      </w:pPr>
      <w:r>
        <w:t>Noted one follow up item for Dave Michelson regarding market notice for Feb Retail Release brought forth by Kathy Scott last meeting:  Dave routed internally to ERCOT for awareness, also indicating many issues were brought “in and out” of scope for retail release and end notice unfortunately did not consolidate all issues</w:t>
      </w:r>
    </w:p>
    <w:p w:rsidR="00496BC3" w:rsidRPr="00496BC3" w:rsidRDefault="00496BC3" w:rsidP="00496BC3">
      <w:pPr>
        <w:pStyle w:val="NoSpacing"/>
        <w:ind w:left="720"/>
        <w:rPr>
          <w:b/>
          <w:u w:val="single"/>
        </w:rPr>
      </w:pPr>
    </w:p>
    <w:p w:rsidR="003C2B32" w:rsidRDefault="00351211" w:rsidP="005645B7">
      <w:pPr>
        <w:pStyle w:val="NoSpacing"/>
        <w:rPr>
          <w:b/>
          <w:u w:val="single"/>
        </w:rPr>
      </w:pPr>
      <w:r>
        <w:rPr>
          <w:b/>
          <w:u w:val="single"/>
        </w:rPr>
        <w:t xml:space="preserve">ERCOT </w:t>
      </w:r>
      <w:r w:rsidR="00CE3D30">
        <w:rPr>
          <w:b/>
          <w:u w:val="single"/>
        </w:rPr>
        <w:t xml:space="preserve">System Instances </w:t>
      </w:r>
      <w:r w:rsidR="00AA3CAF">
        <w:rPr>
          <w:b/>
          <w:u w:val="single"/>
        </w:rPr>
        <w:t>&amp;</w:t>
      </w:r>
      <w:r w:rsidR="00CE3D30">
        <w:rPr>
          <w:b/>
          <w:u w:val="single"/>
        </w:rPr>
        <w:t xml:space="preserve"> MarkeTrak Monthly Performance Review</w:t>
      </w:r>
    </w:p>
    <w:p w:rsidR="00C33E4E" w:rsidRDefault="000C319D" w:rsidP="00A241ED">
      <w:pPr>
        <w:pStyle w:val="NoSpacing"/>
        <w:numPr>
          <w:ilvl w:val="0"/>
          <w:numId w:val="1"/>
        </w:numPr>
      </w:pPr>
      <w:r>
        <w:t xml:space="preserve">All </w:t>
      </w:r>
      <w:r w:rsidR="008A3554">
        <w:t xml:space="preserve">Retail Market IT </w:t>
      </w:r>
      <w:r w:rsidR="00F621D1">
        <w:t xml:space="preserve">SLAs for March were </w:t>
      </w:r>
      <w:r>
        <w:t>met</w:t>
      </w:r>
    </w:p>
    <w:p w:rsidR="000C319D" w:rsidRDefault="00F621D1" w:rsidP="00A241ED">
      <w:pPr>
        <w:pStyle w:val="NoSpacing"/>
        <w:numPr>
          <w:ilvl w:val="0"/>
          <w:numId w:val="1"/>
        </w:numPr>
      </w:pPr>
      <w:r>
        <w:t>2/7 – 3/21 incident impacting MarkeTrak performance</w:t>
      </w:r>
    </w:p>
    <w:p w:rsidR="00384273" w:rsidRDefault="00F621D1" w:rsidP="00A241ED">
      <w:pPr>
        <w:pStyle w:val="NoSpacing"/>
        <w:numPr>
          <w:ilvl w:val="0"/>
          <w:numId w:val="1"/>
        </w:numPr>
      </w:pPr>
      <w:r>
        <w:t xml:space="preserve">MT </w:t>
      </w:r>
      <w:r w:rsidR="008A3554">
        <w:t xml:space="preserve">API update – found a site failover was running slower, a debug was turned ‘on’ which impacted Feb and March performance </w:t>
      </w:r>
      <w:r>
        <w:t>through 3/21</w:t>
      </w:r>
      <w:r w:rsidR="00384273">
        <w:t xml:space="preserve"> – normally 200-400 records are running, while ‘debug’ was ‘on’ 50K to 60K records were running degrading API MT performance thus not meeting monthly SLO</w:t>
      </w:r>
    </w:p>
    <w:p w:rsidR="008A3554" w:rsidRDefault="00384273" w:rsidP="00A241ED">
      <w:pPr>
        <w:pStyle w:val="NoSpacing"/>
        <w:numPr>
          <w:ilvl w:val="0"/>
          <w:numId w:val="1"/>
        </w:numPr>
      </w:pPr>
      <w:r>
        <w:t>Lesson Learned on MT performance – system will need to restart when logs associated with a failover are changed</w:t>
      </w:r>
      <w:r w:rsidR="008A3554">
        <w:t xml:space="preserve"> </w:t>
      </w:r>
      <w:r>
        <w:t xml:space="preserve">to reset the records </w:t>
      </w:r>
    </w:p>
    <w:p w:rsidR="00384273" w:rsidRDefault="00384273" w:rsidP="00A241ED">
      <w:pPr>
        <w:pStyle w:val="NoSpacing"/>
        <w:numPr>
          <w:ilvl w:val="0"/>
          <w:numId w:val="1"/>
        </w:numPr>
      </w:pPr>
      <w:r>
        <w:t xml:space="preserve">March SLOs were not met for API Query, however, </w:t>
      </w:r>
      <w:proofErr w:type="gramStart"/>
      <w:r>
        <w:t>12 month</w:t>
      </w:r>
      <w:proofErr w:type="gramEnd"/>
      <w:r>
        <w:t xml:space="preserve"> average remains on target</w:t>
      </w:r>
    </w:p>
    <w:p w:rsidR="00384273" w:rsidRDefault="00384273" w:rsidP="00384273">
      <w:pPr>
        <w:pStyle w:val="NoSpacing"/>
        <w:ind w:left="2880" w:firstLine="720"/>
      </w:pPr>
      <w:r>
        <w:rPr>
          <w:noProof/>
        </w:rPr>
        <w:drawing>
          <wp:inline distT="0" distB="0" distL="0" distR="0" wp14:anchorId="2AFC9194">
            <wp:extent cx="2822575" cy="338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9516" cy="348013"/>
                    </a:xfrm>
                    <a:prstGeom prst="rect">
                      <a:avLst/>
                    </a:prstGeom>
                    <a:noFill/>
                  </pic:spPr>
                </pic:pic>
              </a:graphicData>
            </a:graphic>
          </wp:inline>
        </w:drawing>
      </w:r>
    </w:p>
    <w:p w:rsidR="000C319D" w:rsidRDefault="000C319D" w:rsidP="000C319D">
      <w:pPr>
        <w:pStyle w:val="NoSpacing"/>
      </w:pPr>
    </w:p>
    <w:p w:rsidR="002F5B65" w:rsidRDefault="00384273" w:rsidP="00331FF3">
      <w:pPr>
        <w:pStyle w:val="NoSpacing"/>
        <w:ind w:left="720" w:firstLine="720"/>
        <w:rPr>
          <w:b/>
          <w:u w:val="single"/>
        </w:rPr>
      </w:pPr>
      <w:r>
        <w:rPr>
          <w:b/>
          <w:noProof/>
          <w:u w:val="single"/>
        </w:rPr>
        <w:drawing>
          <wp:inline distT="0" distB="0" distL="0" distR="0" wp14:anchorId="570D2C64">
            <wp:extent cx="5852795" cy="13814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305" cy="1384833"/>
                    </a:xfrm>
                    <a:prstGeom prst="rect">
                      <a:avLst/>
                    </a:prstGeom>
                    <a:noFill/>
                  </pic:spPr>
                </pic:pic>
              </a:graphicData>
            </a:graphic>
          </wp:inline>
        </w:drawing>
      </w:r>
    </w:p>
    <w:p w:rsidR="005B05BD" w:rsidRDefault="005B05BD" w:rsidP="00331FF3">
      <w:pPr>
        <w:pStyle w:val="NoSpacing"/>
        <w:ind w:left="720" w:firstLine="720"/>
        <w:rPr>
          <w:b/>
          <w:u w:val="single"/>
        </w:rPr>
      </w:pPr>
    </w:p>
    <w:p w:rsidR="00384273" w:rsidRPr="005B05BD" w:rsidRDefault="005B05BD" w:rsidP="00384273">
      <w:pPr>
        <w:pStyle w:val="NoSpacing"/>
        <w:numPr>
          <w:ilvl w:val="0"/>
          <w:numId w:val="20"/>
        </w:numPr>
        <w:rPr>
          <w:b/>
          <w:u w:val="single"/>
        </w:rPr>
      </w:pPr>
      <w:r>
        <w:rPr>
          <w:u w:val="single"/>
        </w:rPr>
        <w:t xml:space="preserve">Future API performance:  </w:t>
      </w:r>
      <w:r>
        <w:t xml:space="preserve">Dave M noted we could see upward pressure on API response times as </w:t>
      </w:r>
      <w:proofErr w:type="gramStart"/>
      <w:r>
        <w:t>a half a dozen new entities</w:t>
      </w:r>
      <w:proofErr w:type="gramEnd"/>
      <w:r>
        <w:t xml:space="preserve"> will be joining production with their APIs – GUI performance should improve, while API performance may decrease.  Question was asked if the SLO may be compromised due to possible degradation issues.  ERCOT’s response was NO – ERCOT will maintain SLO and API performance despite new market participant additions</w:t>
      </w:r>
    </w:p>
    <w:p w:rsidR="005B05BD" w:rsidRPr="00384273" w:rsidRDefault="005B05BD" w:rsidP="005B05BD">
      <w:pPr>
        <w:pStyle w:val="NoSpacing"/>
        <w:ind w:left="360"/>
        <w:rPr>
          <w:b/>
          <w:u w:val="single"/>
        </w:rPr>
      </w:pPr>
    </w:p>
    <w:p w:rsidR="00331FF3" w:rsidRPr="000C319D" w:rsidRDefault="000C319D" w:rsidP="000C319D">
      <w:pPr>
        <w:pStyle w:val="NoSpacing"/>
        <w:numPr>
          <w:ilvl w:val="0"/>
          <w:numId w:val="12"/>
        </w:numPr>
        <w:rPr>
          <w:b/>
          <w:u w:val="single"/>
        </w:rPr>
      </w:pPr>
      <w:r w:rsidRPr="005B05BD">
        <w:rPr>
          <w:u w:val="single"/>
        </w:rPr>
        <w:t>May retail release</w:t>
      </w:r>
      <w:r>
        <w:t xml:space="preserve"> extended outage 5/1 to 5/2</w:t>
      </w:r>
    </w:p>
    <w:p w:rsidR="008C13D1" w:rsidRDefault="005B05BD" w:rsidP="005B05BD">
      <w:pPr>
        <w:pStyle w:val="NoSpacing"/>
        <w:numPr>
          <w:ilvl w:val="1"/>
          <w:numId w:val="12"/>
        </w:numPr>
      </w:pPr>
      <w:r>
        <w:t>Market notice has been sent outlining the extended outage that will impact production and operational hours of 2 – 7 PM on Saturday, May 1</w:t>
      </w:r>
      <w:r w:rsidRPr="005B05BD">
        <w:rPr>
          <w:vertAlign w:val="superscript"/>
        </w:rPr>
        <w:t>st</w:t>
      </w:r>
    </w:p>
    <w:p w:rsidR="005B05BD" w:rsidRDefault="005B05BD" w:rsidP="005B05BD">
      <w:pPr>
        <w:pStyle w:val="NoSpacing"/>
        <w:numPr>
          <w:ilvl w:val="1"/>
          <w:numId w:val="12"/>
        </w:numPr>
      </w:pPr>
      <w:r>
        <w:lastRenderedPageBreak/>
        <w:t xml:space="preserve">ERCOT will include safety net information highlighted on final market notices – Oncor/AEP/TNMP safety nets to be submitted via </w:t>
      </w:r>
      <w:proofErr w:type="gramStart"/>
      <w:r>
        <w:t>portal;  CNP</w:t>
      </w:r>
      <w:proofErr w:type="gramEnd"/>
      <w:r>
        <w:t xml:space="preserve"> safety nets will be monitored via email </w:t>
      </w:r>
    </w:p>
    <w:p w:rsidR="005B05BD" w:rsidRDefault="005B05BD" w:rsidP="005B05BD">
      <w:pPr>
        <w:pStyle w:val="NoSpacing"/>
      </w:pPr>
    </w:p>
    <w:p w:rsidR="005B05BD" w:rsidRPr="005B05BD" w:rsidRDefault="005B05BD" w:rsidP="005B05BD">
      <w:pPr>
        <w:pStyle w:val="NoSpacing"/>
        <w:rPr>
          <w:b/>
          <w:u w:val="single"/>
        </w:rPr>
      </w:pPr>
      <w:r>
        <w:rPr>
          <w:b/>
          <w:u w:val="single"/>
        </w:rPr>
        <w:t xml:space="preserve">ERCOT </w:t>
      </w:r>
      <w:r w:rsidR="004F3A5D">
        <w:rPr>
          <w:b/>
          <w:u w:val="single"/>
        </w:rPr>
        <w:t xml:space="preserve">Communications - </w:t>
      </w:r>
      <w:proofErr w:type="spellStart"/>
      <w:r w:rsidR="004F3A5D">
        <w:rPr>
          <w:b/>
          <w:u w:val="single"/>
        </w:rPr>
        <w:t>Listserves</w:t>
      </w:r>
      <w:proofErr w:type="spellEnd"/>
    </w:p>
    <w:p w:rsidR="008C13D1" w:rsidRDefault="004F3A5D" w:rsidP="008C13D1">
      <w:pPr>
        <w:pStyle w:val="NoSpacing"/>
      </w:pPr>
      <w:r>
        <w:t xml:space="preserve">As remanded by RMS, the discussion of alternative communications if </w:t>
      </w:r>
      <w:proofErr w:type="spellStart"/>
      <w:r>
        <w:t>listserve</w:t>
      </w:r>
      <w:proofErr w:type="spellEnd"/>
      <w:r>
        <w:t xml:space="preserve"> functionality experiences an outage was taken up.</w:t>
      </w:r>
    </w:p>
    <w:p w:rsidR="004F3A5D" w:rsidRDefault="004F3A5D" w:rsidP="004F3A5D">
      <w:pPr>
        <w:pStyle w:val="NoSpacing"/>
        <w:numPr>
          <w:ilvl w:val="0"/>
          <w:numId w:val="12"/>
        </w:numPr>
      </w:pPr>
      <w:r>
        <w:t>Mick Hanna reported ERCOT IT is reviewing alternative solution platforms and is considering bringing the functionality “on premises”</w:t>
      </w:r>
    </w:p>
    <w:p w:rsidR="004F3A5D" w:rsidRDefault="004F3A5D" w:rsidP="004F3A5D">
      <w:pPr>
        <w:pStyle w:val="NoSpacing"/>
        <w:numPr>
          <w:ilvl w:val="0"/>
          <w:numId w:val="12"/>
        </w:numPr>
      </w:pPr>
      <w:r>
        <w:t xml:space="preserve">While the above represents long-term solutions, the question was raised what short-term solutions were being brought forth.   It was suggested to leverage distribution lists for the Client Services team </w:t>
      </w:r>
    </w:p>
    <w:p w:rsidR="004F3A5D" w:rsidRDefault="004F3A5D" w:rsidP="004F3A5D">
      <w:pPr>
        <w:pStyle w:val="NoSpacing"/>
        <w:numPr>
          <w:ilvl w:val="0"/>
          <w:numId w:val="12"/>
        </w:numPr>
      </w:pPr>
      <w:r>
        <w:t xml:space="preserve">ERCOT IT and TDTMS agreed a </w:t>
      </w:r>
      <w:proofErr w:type="spellStart"/>
      <w:r>
        <w:t>listserve</w:t>
      </w:r>
      <w:proofErr w:type="spellEnd"/>
      <w:r>
        <w:t xml:space="preserve"> SLO could easily fold into the Market Data Transparency SLOs currently under the purview of TDTMS</w:t>
      </w:r>
    </w:p>
    <w:p w:rsidR="004F3A5D" w:rsidRDefault="00690321" w:rsidP="004F3A5D">
      <w:pPr>
        <w:pStyle w:val="NoSpacing"/>
        <w:numPr>
          <w:ilvl w:val="0"/>
          <w:numId w:val="12"/>
        </w:numPr>
      </w:pPr>
      <w:r w:rsidRPr="00690321">
        <w:rPr>
          <w:highlight w:val="yellow"/>
        </w:rPr>
        <w:t>ACTION</w:t>
      </w:r>
      <w:r>
        <w:t xml:space="preserve">:  </w:t>
      </w:r>
      <w:r w:rsidR="004F3A5D">
        <w:t xml:space="preserve">With the </w:t>
      </w:r>
      <w:proofErr w:type="spellStart"/>
      <w:r w:rsidR="004F3A5D">
        <w:t>listserve</w:t>
      </w:r>
      <w:proofErr w:type="spellEnd"/>
      <w:r w:rsidR="004F3A5D">
        <w:t xml:space="preserve"> topic being addressed at the upcoming TAC</w:t>
      </w:r>
      <w:r>
        <w:t xml:space="preserve"> meeting, Sheri will draft an email to Ted Hailu framing TDTMS’s questions and offering to monitor performance SLOs around </w:t>
      </w:r>
      <w:proofErr w:type="spellStart"/>
      <w:r>
        <w:t>listserves</w:t>
      </w:r>
      <w:proofErr w:type="spellEnd"/>
      <w:r w:rsidR="004F3A5D">
        <w:t xml:space="preserve"> </w:t>
      </w:r>
    </w:p>
    <w:p w:rsidR="00690321" w:rsidRDefault="00690321" w:rsidP="004222C3">
      <w:pPr>
        <w:pStyle w:val="NoSpacing"/>
        <w:rPr>
          <w:b/>
          <w:u w:val="single"/>
        </w:rPr>
      </w:pPr>
    </w:p>
    <w:p w:rsidR="00690321" w:rsidRPr="008C13D1" w:rsidRDefault="00690321" w:rsidP="00690321">
      <w:pPr>
        <w:pStyle w:val="NoSpacing"/>
        <w:rPr>
          <w:b/>
          <w:u w:val="single"/>
        </w:rPr>
      </w:pPr>
      <w:r w:rsidRPr="008C13D1">
        <w:rPr>
          <w:b/>
          <w:u w:val="single"/>
        </w:rPr>
        <w:t>ERCOT MIS API Functionality</w:t>
      </w:r>
    </w:p>
    <w:p w:rsidR="00690321" w:rsidRDefault="00690321" w:rsidP="00690321">
      <w:pPr>
        <w:pStyle w:val="NoSpacing"/>
      </w:pPr>
      <w:r>
        <w:t xml:space="preserve">Mick Hanna followed up </w:t>
      </w:r>
      <w:r w:rsidR="00EE6D3E">
        <w:t>on ERCOT’s support of API functionality and integration.  ERCOT is not staffed to provide customer support of API connectivity</w:t>
      </w:r>
      <w:r w:rsidR="00DF4C02">
        <w:t>.   ERCOT provides certificates and SSLs, yet not in</w:t>
      </w:r>
      <w:r w:rsidR="00DF0E46">
        <w:t>-</w:t>
      </w:r>
      <w:r w:rsidR="00DF4C02">
        <w:t xml:space="preserve">depth customer support when market participants are adding API connectivity.  Regarding an MIS API that would look </w:t>
      </w:r>
      <w:proofErr w:type="gramStart"/>
      <w:r w:rsidR="00DF4C02">
        <w:t>similar to</w:t>
      </w:r>
      <w:proofErr w:type="gramEnd"/>
      <w:r w:rsidR="00DF4C02">
        <w:t xml:space="preserve"> the GUI, Mick indicated ERCOT may sponsor </w:t>
      </w:r>
      <w:r w:rsidR="00C06E4C">
        <w:t xml:space="preserve">a workshop </w:t>
      </w:r>
      <w:r w:rsidR="00DF0E46">
        <w:t xml:space="preserve">to offer a broad reach to market participants.  Mick was seeking an email outlining the ask.  </w:t>
      </w:r>
      <w:r w:rsidR="00DF0E46" w:rsidRPr="00DF0E46">
        <w:rPr>
          <w:highlight w:val="yellow"/>
        </w:rPr>
        <w:t>ACTION</w:t>
      </w:r>
      <w:r w:rsidR="00DF0E46">
        <w:t>:  Kyle Patrick offered to draft the email outlining the request for a revision to the original architecture.</w:t>
      </w:r>
    </w:p>
    <w:p w:rsidR="00E26300" w:rsidRDefault="00E26300" w:rsidP="00F83FF7">
      <w:pPr>
        <w:pStyle w:val="NoSpacing"/>
      </w:pPr>
    </w:p>
    <w:p w:rsidR="00780949" w:rsidRDefault="00DF0E46" w:rsidP="00F83FF7">
      <w:pPr>
        <w:pStyle w:val="NoSpacing"/>
        <w:rPr>
          <w:b/>
          <w:u w:val="single"/>
        </w:rPr>
      </w:pPr>
      <w:r>
        <w:rPr>
          <w:b/>
          <w:u w:val="single"/>
        </w:rPr>
        <w:t xml:space="preserve">DRAFT RMGRR </w:t>
      </w:r>
      <w:r w:rsidR="00780949">
        <w:rPr>
          <w:b/>
          <w:u w:val="single"/>
        </w:rPr>
        <w:t xml:space="preserve">Switch Hold </w:t>
      </w:r>
      <w:r>
        <w:rPr>
          <w:b/>
          <w:u w:val="single"/>
        </w:rPr>
        <w:t xml:space="preserve">Removal </w:t>
      </w:r>
      <w:r w:rsidR="00780949">
        <w:rPr>
          <w:b/>
          <w:u w:val="single"/>
        </w:rPr>
        <w:t>Documentation</w:t>
      </w:r>
    </w:p>
    <w:p w:rsidR="00EC4002" w:rsidRDefault="00DF0E46" w:rsidP="00DF0E46">
      <w:pPr>
        <w:pStyle w:val="NoSpacing"/>
        <w:rPr>
          <w:rFonts w:cstheme="minorHAnsi"/>
          <w:iCs/>
        </w:rPr>
      </w:pPr>
      <w:r>
        <w:t xml:space="preserve">Steven Pliler presented </w:t>
      </w:r>
      <w:proofErr w:type="spellStart"/>
      <w:r>
        <w:t>Vistra’s</w:t>
      </w:r>
      <w:proofErr w:type="spellEnd"/>
      <w:r>
        <w:t xml:space="preserve"> proposal for clarification/revisions to the Switch Hold Removal documentation </w:t>
      </w:r>
      <w:r w:rsidR="00EC4002">
        <w:t xml:space="preserve">required, including Sections </w:t>
      </w:r>
      <w:r w:rsidR="00EC4002">
        <w:rPr>
          <w:rFonts w:ascii="Arial" w:hAnsi="Arial"/>
          <w:i/>
          <w:iCs/>
        </w:rPr>
        <w:t xml:space="preserve">7.16.4.3.2 </w:t>
      </w:r>
      <w:r w:rsidR="00EC4002">
        <w:rPr>
          <w:rFonts w:cstheme="minorHAnsi"/>
          <w:iCs/>
        </w:rPr>
        <w:t xml:space="preserve">and </w:t>
      </w:r>
      <w:r w:rsidR="00EC4002" w:rsidRPr="00F26555">
        <w:rPr>
          <w:rFonts w:ascii="Arial" w:hAnsi="Arial"/>
          <w:i/>
          <w:iCs/>
        </w:rPr>
        <w:t xml:space="preserve">7.17.3.3.2 </w:t>
      </w:r>
      <w:r w:rsidR="00EC4002">
        <w:rPr>
          <w:rFonts w:cstheme="minorHAnsi"/>
          <w:iCs/>
        </w:rPr>
        <w:t>and NOS Appendices 9: J2 and J3.</w:t>
      </w:r>
    </w:p>
    <w:p w:rsidR="00DF0E46" w:rsidRDefault="00EC4002" w:rsidP="00EC4002">
      <w:pPr>
        <w:pStyle w:val="NoSpacing"/>
        <w:numPr>
          <w:ilvl w:val="0"/>
          <w:numId w:val="22"/>
        </w:numPr>
      </w:pPr>
      <w:r>
        <w:t>Oncor referenced PUC Rule 25.126(h)(2)’s reference to closing documents.  A suggested addition is to add “alone” to the draft “Warranty Deed</w:t>
      </w:r>
      <w:r w:rsidR="004F5F8C">
        <w:t>s</w:t>
      </w:r>
      <w:r>
        <w:t xml:space="preserve"> </w:t>
      </w:r>
      <w:r w:rsidRPr="004F5F8C">
        <w:rPr>
          <w:highlight w:val="yellow"/>
        </w:rPr>
        <w:t>alone</w:t>
      </w:r>
      <w:r>
        <w:t xml:space="preserve"> </w:t>
      </w:r>
      <w:r w:rsidR="004F5F8C">
        <w:t>are not acceptable closing documents”</w:t>
      </w:r>
    </w:p>
    <w:p w:rsidR="004F5F8C" w:rsidRDefault="004F5F8C" w:rsidP="00EC4002">
      <w:pPr>
        <w:pStyle w:val="NoSpacing"/>
        <w:numPr>
          <w:ilvl w:val="0"/>
          <w:numId w:val="22"/>
        </w:numPr>
      </w:pPr>
      <w:r>
        <w:t xml:space="preserve">One concern about requiring all fields to be completed by the customer is that ESI may not be known.  One suggestion is to </w:t>
      </w:r>
      <w:r w:rsidRPr="004F5F8C">
        <w:rPr>
          <w:highlight w:val="yellow"/>
        </w:rPr>
        <w:t>*</w:t>
      </w:r>
      <w:r>
        <w:t xml:space="preserve"> after ESI noting “*if known or to be completed by submitting REP”</w:t>
      </w:r>
    </w:p>
    <w:p w:rsidR="004F5F8C" w:rsidRDefault="004F5F8C" w:rsidP="00EC4002">
      <w:pPr>
        <w:pStyle w:val="NoSpacing"/>
        <w:numPr>
          <w:ilvl w:val="0"/>
          <w:numId w:val="22"/>
        </w:numPr>
      </w:pPr>
      <w:r>
        <w:t xml:space="preserve">TDSPs noted they have unexecuted requests if the service address does not match ESI </w:t>
      </w:r>
    </w:p>
    <w:p w:rsidR="00780949" w:rsidRDefault="00780949" w:rsidP="00F83FF7">
      <w:pPr>
        <w:pStyle w:val="NoSpacing"/>
      </w:pPr>
      <w:r w:rsidRPr="005D1EE7">
        <w:rPr>
          <w:highlight w:val="yellow"/>
          <w:u w:val="single"/>
        </w:rPr>
        <w:t>ACTION</w:t>
      </w:r>
      <w:r>
        <w:t xml:space="preserve">:  </w:t>
      </w:r>
      <w:r w:rsidR="004F5F8C">
        <w:t>All market participants will review with internal shops for any additional suggested revisions and will be discussed at the next meeting</w:t>
      </w:r>
      <w:r>
        <w:t xml:space="preserve">  </w:t>
      </w:r>
    </w:p>
    <w:p w:rsidR="005D1EE7" w:rsidRDefault="005D1EE7" w:rsidP="005D1EE7">
      <w:pPr>
        <w:pStyle w:val="NoSpacing"/>
      </w:pPr>
    </w:p>
    <w:p w:rsidR="00DF0E46" w:rsidRDefault="00DF0E46" w:rsidP="00DF0E46">
      <w:pPr>
        <w:pStyle w:val="NoSpacing"/>
        <w:rPr>
          <w:b/>
          <w:u w:val="single"/>
        </w:rPr>
      </w:pPr>
      <w:r>
        <w:rPr>
          <w:b/>
          <w:u w:val="single"/>
        </w:rPr>
        <w:t>Proposal for daily Switch Hold Daily files to post to ERCOT</w:t>
      </w:r>
      <w:r w:rsidRPr="004222C3">
        <w:rPr>
          <w:b/>
          <w:u w:val="single"/>
        </w:rPr>
        <w:t xml:space="preserve"> </w:t>
      </w:r>
    </w:p>
    <w:p w:rsidR="00DF0E46" w:rsidRDefault="00DF0E46" w:rsidP="004F5F8C">
      <w:pPr>
        <w:pStyle w:val="NoSpacing"/>
        <w:numPr>
          <w:ilvl w:val="0"/>
          <w:numId w:val="23"/>
        </w:numPr>
      </w:pPr>
      <w:r>
        <w:t xml:space="preserve">Dave Michelson reported </w:t>
      </w:r>
      <w:r w:rsidR="004F5F8C">
        <w:t xml:space="preserve">ERCOT </w:t>
      </w:r>
      <w:r w:rsidR="008953BF">
        <w:t>unfortunately was unable to</w:t>
      </w:r>
      <w:r w:rsidR="004F5F8C">
        <w:t xml:space="preserve"> integrate request with other processes and will need to be submitted as an SCR.  Dave drafted the SCR based on the email sent outlin</w:t>
      </w:r>
      <w:r w:rsidR="008953BF">
        <w:t>ing specifications of request with the goal to build a smarter process that could be retrievable via an API</w:t>
      </w:r>
    </w:p>
    <w:p w:rsidR="004F5F8C" w:rsidRDefault="004F5F8C" w:rsidP="004F5F8C">
      <w:pPr>
        <w:pStyle w:val="NoSpacing"/>
        <w:numPr>
          <w:ilvl w:val="0"/>
          <w:numId w:val="23"/>
        </w:numPr>
      </w:pPr>
      <w:r>
        <w:t xml:space="preserve">The SCR will </w:t>
      </w:r>
      <w:proofErr w:type="gramStart"/>
      <w:r>
        <w:t>voted</w:t>
      </w:r>
      <w:proofErr w:type="gramEnd"/>
      <w:r>
        <w:t xml:space="preserve"> upon at RMS in May.  RMS can recommend a rank and priority and note an effective date “no earlier than…”</w:t>
      </w:r>
    </w:p>
    <w:p w:rsidR="004F5F8C" w:rsidRDefault="004F5F8C" w:rsidP="004F5F8C">
      <w:pPr>
        <w:pStyle w:val="NoSpacing"/>
        <w:numPr>
          <w:ilvl w:val="0"/>
          <w:numId w:val="23"/>
        </w:numPr>
      </w:pPr>
      <w:r>
        <w:t>Then will be presented at PRS who owns SCRs at the June meeting.</w:t>
      </w:r>
    </w:p>
    <w:p w:rsidR="004F5F8C" w:rsidRDefault="004F5F8C" w:rsidP="004F5F8C">
      <w:pPr>
        <w:pStyle w:val="NoSpacing"/>
        <w:numPr>
          <w:ilvl w:val="0"/>
          <w:numId w:val="23"/>
        </w:numPr>
      </w:pPr>
      <w:r>
        <w:t>Impact Analysis will be presented @ July PRS where the rank and priority will be determined</w:t>
      </w:r>
    </w:p>
    <w:p w:rsidR="004F5F8C" w:rsidRDefault="004F5F8C" w:rsidP="004F5F8C">
      <w:pPr>
        <w:pStyle w:val="NoSpacing"/>
        <w:numPr>
          <w:ilvl w:val="0"/>
          <w:numId w:val="23"/>
        </w:numPr>
      </w:pPr>
      <w:r>
        <w:t>Any SCR will need to be presented to the Board – August Board meeting</w:t>
      </w:r>
    </w:p>
    <w:p w:rsidR="008953BF" w:rsidRDefault="008953BF" w:rsidP="004F5F8C">
      <w:pPr>
        <w:pStyle w:val="NoSpacing"/>
        <w:numPr>
          <w:ilvl w:val="0"/>
          <w:numId w:val="23"/>
        </w:numPr>
        <w:rPr>
          <w:i/>
        </w:rPr>
      </w:pPr>
      <w:r w:rsidRPr="008953BF">
        <w:rPr>
          <w:highlight w:val="yellow"/>
        </w:rPr>
        <w:t>ACTION</w:t>
      </w:r>
      <w:r>
        <w:t xml:space="preserve">:  Jordan will confirm if URGENT status is needed </w:t>
      </w:r>
      <w:r w:rsidR="00EA1F8B">
        <w:t xml:space="preserve">to vote at RMS.  </w:t>
      </w:r>
      <w:r w:rsidR="00EA1F8B" w:rsidRPr="00EA1F8B">
        <w:rPr>
          <w:i/>
        </w:rPr>
        <w:t>FOLLOW UP (</w:t>
      </w:r>
      <w:r w:rsidR="004D5B2D">
        <w:rPr>
          <w:i/>
        </w:rPr>
        <w:t>after the meeting</w:t>
      </w:r>
      <w:r w:rsidR="00EA1F8B" w:rsidRPr="00EA1F8B">
        <w:rPr>
          <w:i/>
        </w:rPr>
        <w:t>)</w:t>
      </w:r>
      <w:r w:rsidR="00EA1F8B">
        <w:t xml:space="preserve"> – </w:t>
      </w:r>
      <w:r w:rsidR="00EA1F8B" w:rsidRPr="00EA1F8B">
        <w:rPr>
          <w:i/>
        </w:rPr>
        <w:t>no urgent status is required.</w:t>
      </w:r>
    </w:p>
    <w:p w:rsidR="004D5B2D" w:rsidRDefault="004D5B2D" w:rsidP="004D5B2D">
      <w:pPr>
        <w:pStyle w:val="NoSpacing"/>
        <w:rPr>
          <w:i/>
        </w:rPr>
      </w:pPr>
    </w:p>
    <w:p w:rsidR="004D5B2D" w:rsidRPr="00323CE5" w:rsidRDefault="004D5B2D" w:rsidP="004D5B2D">
      <w:pPr>
        <w:pStyle w:val="NoSpacing"/>
        <w:rPr>
          <w:b/>
          <w:u w:val="single"/>
        </w:rPr>
      </w:pPr>
      <w:r w:rsidRPr="00323CE5">
        <w:rPr>
          <w:b/>
          <w:u w:val="single"/>
        </w:rPr>
        <w:t>DRAFT SCR for Administrative MT Enhancements</w:t>
      </w:r>
      <w:r>
        <w:rPr>
          <w:b/>
          <w:u w:val="single"/>
        </w:rPr>
        <w:t xml:space="preserve"> &amp; MarkeTrak Upgrade 2021</w:t>
      </w:r>
    </w:p>
    <w:p w:rsidR="004D5B2D" w:rsidRDefault="004D5B2D" w:rsidP="004D5B2D">
      <w:pPr>
        <w:pStyle w:val="NoSpacing"/>
        <w:numPr>
          <w:ilvl w:val="0"/>
          <w:numId w:val="24"/>
        </w:numPr>
      </w:pPr>
      <w:r>
        <w:t xml:space="preserve">The </w:t>
      </w:r>
      <w:r>
        <w:t xml:space="preserve">proposed SCR </w:t>
      </w:r>
      <w:r>
        <w:t xml:space="preserve">was sent to </w:t>
      </w:r>
      <w:r>
        <w:t xml:space="preserve">Dave Michelson and Tammy Stewart for their comments.  </w:t>
      </w:r>
    </w:p>
    <w:p w:rsidR="004D5B2D" w:rsidRDefault="004D5B2D" w:rsidP="004D5B2D">
      <w:pPr>
        <w:pStyle w:val="NoSpacing"/>
        <w:numPr>
          <w:ilvl w:val="0"/>
          <w:numId w:val="24"/>
        </w:numPr>
      </w:pPr>
      <w:r w:rsidRPr="004D5B2D">
        <w:rPr>
          <w:highlight w:val="yellow"/>
        </w:rPr>
        <w:t>ACTION:</w:t>
      </w:r>
      <w:r>
        <w:t xml:space="preserve">  All market participants are to review SCR internally for any additional comments/clarifications to be discussed at the next meeting.</w:t>
      </w:r>
    </w:p>
    <w:p w:rsidR="004D5B2D" w:rsidRDefault="004D5B2D" w:rsidP="004D5B2D">
      <w:pPr>
        <w:pStyle w:val="NoSpacing"/>
        <w:numPr>
          <w:ilvl w:val="0"/>
          <w:numId w:val="24"/>
        </w:numPr>
      </w:pPr>
      <w:r>
        <w:t>Next meeting the WG will finalize DRAFT SCR for submittal.</w:t>
      </w:r>
    </w:p>
    <w:p w:rsidR="004D5B2D" w:rsidRDefault="004D5B2D" w:rsidP="004D5B2D">
      <w:pPr>
        <w:pStyle w:val="NoSpacing"/>
        <w:numPr>
          <w:ilvl w:val="0"/>
          <w:numId w:val="24"/>
        </w:numPr>
      </w:pPr>
      <w:r>
        <w:t>RMS would need to approve the final SCR then it would move to PRS to begin the voting process and assign rank and priority.</w:t>
      </w:r>
    </w:p>
    <w:p w:rsidR="004D5B2D" w:rsidRDefault="004D5B2D" w:rsidP="004D5B2D">
      <w:pPr>
        <w:pStyle w:val="NoSpacing"/>
        <w:numPr>
          <w:ilvl w:val="0"/>
          <w:numId w:val="24"/>
        </w:numPr>
      </w:pPr>
      <w:r>
        <w:lastRenderedPageBreak/>
        <w:t xml:space="preserve">Dave M provided an update on the proposed </w:t>
      </w:r>
      <w:r w:rsidRPr="00D8669C">
        <w:rPr>
          <w:u w:val="single"/>
        </w:rPr>
        <w:t>MarkeTrak Upgrade</w:t>
      </w:r>
      <w:r>
        <w:t xml:space="preserve"> scheduled for end of 2021.  He explained this is a “tech project” to keep in compliance and perform database upgrades.  The question was asked if the proposed MarkeTrak enhancements can be “folded into” the tech project.  Dave explained these are separate streams, however, if the SCR is approved, ERCOT will check for alignment and any efficiencies that may occur simultaneously.</w:t>
      </w:r>
    </w:p>
    <w:p w:rsidR="00D8669C" w:rsidRDefault="00D8669C" w:rsidP="00D8669C">
      <w:pPr>
        <w:pStyle w:val="NoSpacing"/>
        <w:numPr>
          <w:ilvl w:val="1"/>
          <w:numId w:val="24"/>
        </w:numPr>
      </w:pPr>
      <w:r>
        <w:t>T</w:t>
      </w:r>
      <w:r w:rsidR="004D5B2D">
        <w:t xml:space="preserve">he MT upgrade will have the look and feel of </w:t>
      </w:r>
      <w:proofErr w:type="spellStart"/>
      <w:r w:rsidR="004D5B2D">
        <w:t>FlighTrak</w:t>
      </w:r>
      <w:proofErr w:type="spellEnd"/>
      <w:r>
        <w:t xml:space="preserve"> yet function as MarkeTrak where underlying data structures are the same.  </w:t>
      </w:r>
    </w:p>
    <w:p w:rsidR="00D8669C" w:rsidRDefault="00D8669C" w:rsidP="00D8669C">
      <w:pPr>
        <w:pStyle w:val="NoSpacing"/>
        <w:numPr>
          <w:ilvl w:val="1"/>
          <w:numId w:val="24"/>
        </w:numPr>
      </w:pPr>
      <w:r>
        <w:t xml:space="preserve">The User Interface would be the same as </w:t>
      </w:r>
      <w:proofErr w:type="spellStart"/>
      <w:r>
        <w:t>FlighTrak</w:t>
      </w:r>
      <w:proofErr w:type="spellEnd"/>
      <w:r>
        <w:t xml:space="preserve">, where tabs vs dropdowns may be utilized.  </w:t>
      </w:r>
    </w:p>
    <w:p w:rsidR="00D8669C" w:rsidRDefault="00D8669C" w:rsidP="00D8669C">
      <w:pPr>
        <w:pStyle w:val="NoSpacing"/>
        <w:numPr>
          <w:ilvl w:val="1"/>
          <w:numId w:val="24"/>
        </w:numPr>
      </w:pPr>
      <w:r>
        <w:t xml:space="preserve">The API may or may not have to be changed, expect API upgrade and possible </w:t>
      </w:r>
      <w:proofErr w:type="spellStart"/>
      <w:r>
        <w:t>clean up</w:t>
      </w:r>
      <w:proofErr w:type="spellEnd"/>
      <w:r>
        <w:t xml:space="preserve"> of WSDLs  </w:t>
      </w:r>
    </w:p>
    <w:p w:rsidR="00D8669C" w:rsidRDefault="00D8669C" w:rsidP="00D8669C">
      <w:pPr>
        <w:pStyle w:val="NoSpacing"/>
        <w:numPr>
          <w:ilvl w:val="1"/>
          <w:numId w:val="24"/>
        </w:numPr>
      </w:pPr>
      <w:r>
        <w:t xml:space="preserve">Plan is to introduce the upgrade late Q2 with early Q3 visibility.  </w:t>
      </w:r>
    </w:p>
    <w:p w:rsidR="00D8669C" w:rsidRDefault="00D8669C" w:rsidP="00D8669C">
      <w:pPr>
        <w:pStyle w:val="NoSpacing"/>
        <w:numPr>
          <w:ilvl w:val="1"/>
          <w:numId w:val="24"/>
        </w:numPr>
      </w:pPr>
      <w:r>
        <w:t xml:space="preserve">Impact Analysis will be performed </w:t>
      </w:r>
      <w:proofErr w:type="gramStart"/>
      <w:r>
        <w:t>soon</w:t>
      </w:r>
      <w:proofErr w:type="gramEnd"/>
      <w:r>
        <w:t xml:space="preserve"> and project may take six – eight months (estimate)</w:t>
      </w:r>
    </w:p>
    <w:p w:rsidR="00D8669C" w:rsidRDefault="00D8669C" w:rsidP="00D8669C">
      <w:pPr>
        <w:pStyle w:val="NoSpacing"/>
        <w:numPr>
          <w:ilvl w:val="1"/>
          <w:numId w:val="24"/>
        </w:numPr>
      </w:pPr>
      <w:r>
        <w:t>Some features of possible alignment with SCR:</w:t>
      </w:r>
    </w:p>
    <w:p w:rsidR="00DF0E46" w:rsidRDefault="004D5B2D" w:rsidP="00B12056">
      <w:pPr>
        <w:pStyle w:val="NoSpacing"/>
        <w:numPr>
          <w:ilvl w:val="2"/>
          <w:numId w:val="24"/>
        </w:numPr>
      </w:pPr>
      <w:r>
        <w:t>the rolodex</w:t>
      </w:r>
      <w:r w:rsidR="00D8669C">
        <w:t xml:space="preserve"> would require re-creation and efficiencies might be gained </w:t>
      </w:r>
    </w:p>
    <w:p w:rsidR="00D8669C" w:rsidRDefault="00D8669C" w:rsidP="00B12056">
      <w:pPr>
        <w:pStyle w:val="NoSpacing"/>
        <w:numPr>
          <w:ilvl w:val="2"/>
          <w:numId w:val="24"/>
        </w:numPr>
      </w:pPr>
      <w:r>
        <w:t>removal of subtypes (clean up)</w:t>
      </w:r>
    </w:p>
    <w:p w:rsidR="00D8669C" w:rsidRDefault="00D8669C" w:rsidP="00B12056">
      <w:pPr>
        <w:pStyle w:val="NoSpacing"/>
        <w:numPr>
          <w:ilvl w:val="2"/>
          <w:numId w:val="24"/>
        </w:numPr>
      </w:pPr>
      <w:r>
        <w:t>align market training of tech upgrade and proposed enhancements</w:t>
      </w:r>
    </w:p>
    <w:p w:rsidR="00D8669C" w:rsidRDefault="00D8669C" w:rsidP="00D8669C">
      <w:pPr>
        <w:pStyle w:val="NoSpacing"/>
      </w:pPr>
    </w:p>
    <w:p w:rsidR="00AB5B26" w:rsidRDefault="005D1EE7" w:rsidP="00D8669C">
      <w:pPr>
        <w:pStyle w:val="NoSpacing"/>
        <w:rPr>
          <w:b/>
          <w:u w:val="single"/>
        </w:rPr>
      </w:pPr>
      <w:r w:rsidRPr="005D1EE7">
        <w:rPr>
          <w:b/>
          <w:u w:val="single"/>
        </w:rPr>
        <w:t xml:space="preserve">Review of ERCOT’s IAG report </w:t>
      </w:r>
    </w:p>
    <w:p w:rsidR="00D8669C" w:rsidRPr="00D8669C" w:rsidRDefault="00D8669C" w:rsidP="00D8669C">
      <w:pPr>
        <w:pStyle w:val="NoSpacing"/>
      </w:pPr>
      <w:r>
        <w:t xml:space="preserve">Report will be reviewed at least once per quarter by TDTMS and reported to RMS at least 2x per year </w:t>
      </w:r>
    </w:p>
    <w:p w:rsidR="00307922" w:rsidRDefault="00307922" w:rsidP="00307922">
      <w:pPr>
        <w:pStyle w:val="NoSpacing"/>
      </w:pPr>
    </w:p>
    <w:p w:rsidR="00D70538" w:rsidRPr="00D8669C" w:rsidRDefault="00D8669C" w:rsidP="00D70538">
      <w:pPr>
        <w:pStyle w:val="NoSpacing"/>
        <w:rPr>
          <w:b/>
          <w:u w:val="single"/>
        </w:rPr>
      </w:pPr>
      <w:r w:rsidRPr="00D8669C">
        <w:rPr>
          <w:b/>
          <w:u w:val="single"/>
        </w:rPr>
        <w:t xml:space="preserve">Next Steps – MarkeTrak Analysis – Data points </w:t>
      </w:r>
    </w:p>
    <w:p w:rsidR="00AA104F" w:rsidRDefault="00D8669C" w:rsidP="006B7779">
      <w:pPr>
        <w:pStyle w:val="NoSpacing"/>
      </w:pPr>
      <w:r>
        <w:t xml:space="preserve">Last year, the WG developed a list of data points for ERCOT MT analysis for various subtypes.  </w:t>
      </w:r>
      <w:r w:rsidR="00304812">
        <w:t xml:space="preserve">The WG agreed this was a lower priority for now as the focus was on IAG process and aligning with TXSET 5.0 support.  These data points can be pursued </w:t>
      </w:r>
      <w:proofErr w:type="gramStart"/>
      <w:r w:rsidR="00304812">
        <w:t>at a later date</w:t>
      </w:r>
      <w:proofErr w:type="gramEnd"/>
      <w:r w:rsidR="00304812">
        <w:t xml:space="preserve"> if the biannual MT review warrants further analysis.</w:t>
      </w:r>
    </w:p>
    <w:p w:rsidR="00323CE5" w:rsidRPr="00780949" w:rsidRDefault="00323CE5" w:rsidP="00323CE5">
      <w:pPr>
        <w:pStyle w:val="NoSpacing"/>
      </w:pPr>
    </w:p>
    <w:p w:rsidR="007660CA" w:rsidRPr="007660CA" w:rsidRDefault="007660CA" w:rsidP="00F145EE">
      <w:pPr>
        <w:pStyle w:val="NoSpacing"/>
        <w:rPr>
          <w:b/>
          <w:u w:val="single"/>
        </w:rPr>
      </w:pPr>
      <w:r w:rsidRPr="007660CA">
        <w:rPr>
          <w:b/>
          <w:u w:val="single"/>
        </w:rPr>
        <w:t xml:space="preserve">AGENDA for </w:t>
      </w:r>
      <w:r w:rsidR="00304812">
        <w:rPr>
          <w:b/>
          <w:u w:val="single"/>
        </w:rPr>
        <w:t>5</w:t>
      </w:r>
      <w:r w:rsidR="005719FD">
        <w:rPr>
          <w:b/>
          <w:u w:val="single"/>
        </w:rPr>
        <w:t>/</w:t>
      </w:r>
      <w:r w:rsidR="00304812">
        <w:rPr>
          <w:b/>
          <w:u w:val="single"/>
        </w:rPr>
        <w:t>20</w:t>
      </w:r>
      <w:r w:rsidR="005719FD">
        <w:rPr>
          <w:b/>
          <w:u w:val="single"/>
        </w:rPr>
        <w:t>/2</w:t>
      </w:r>
      <w:r w:rsidR="00323CE5">
        <w:rPr>
          <w:b/>
          <w:u w:val="single"/>
        </w:rPr>
        <w:t>1</w:t>
      </w:r>
      <w:r w:rsidRPr="007660CA">
        <w:rPr>
          <w:b/>
          <w:u w:val="single"/>
        </w:rPr>
        <w:t xml:space="preserve"> Meeting</w:t>
      </w:r>
    </w:p>
    <w:p w:rsidR="00257783" w:rsidRPr="00257783" w:rsidRDefault="00257783" w:rsidP="00245452">
      <w:pPr>
        <w:pStyle w:val="NoSpacing"/>
        <w:numPr>
          <w:ilvl w:val="0"/>
          <w:numId w:val="5"/>
        </w:numPr>
        <w:rPr>
          <w:b/>
          <w:u w:val="single"/>
        </w:rPr>
      </w:pPr>
      <w:r>
        <w:t>ERCOT Update</w:t>
      </w:r>
    </w:p>
    <w:p w:rsidR="00257783" w:rsidRPr="00304812" w:rsidRDefault="00257783" w:rsidP="00245452">
      <w:pPr>
        <w:pStyle w:val="NoSpacing"/>
        <w:numPr>
          <w:ilvl w:val="1"/>
          <w:numId w:val="5"/>
        </w:numPr>
        <w:rPr>
          <w:b/>
          <w:u w:val="single"/>
        </w:rPr>
      </w:pPr>
      <w:r>
        <w:t>System Instances and MarkeTrak Monthly Performance Review</w:t>
      </w:r>
    </w:p>
    <w:p w:rsidR="00304812" w:rsidRPr="00304812" w:rsidRDefault="00304812" w:rsidP="00245452">
      <w:pPr>
        <w:pStyle w:val="NoSpacing"/>
        <w:numPr>
          <w:ilvl w:val="1"/>
          <w:numId w:val="5"/>
        </w:numPr>
        <w:rPr>
          <w:b/>
          <w:u w:val="single"/>
        </w:rPr>
      </w:pPr>
      <w:r>
        <w:t>Market Data Transparency SLOs</w:t>
      </w:r>
    </w:p>
    <w:p w:rsidR="00304812" w:rsidRPr="00304812" w:rsidRDefault="00304812" w:rsidP="00245452">
      <w:pPr>
        <w:pStyle w:val="NoSpacing"/>
        <w:numPr>
          <w:ilvl w:val="1"/>
          <w:numId w:val="5"/>
        </w:numPr>
        <w:rPr>
          <w:b/>
          <w:u w:val="single"/>
        </w:rPr>
      </w:pPr>
      <w:r>
        <w:t>ERCOT Communications update – modify SLOs?</w:t>
      </w:r>
    </w:p>
    <w:p w:rsidR="00304812" w:rsidRPr="00304812" w:rsidRDefault="00304812" w:rsidP="00245452">
      <w:pPr>
        <w:pStyle w:val="NoSpacing"/>
        <w:numPr>
          <w:ilvl w:val="1"/>
          <w:numId w:val="5"/>
        </w:numPr>
        <w:rPr>
          <w:b/>
          <w:u w:val="single"/>
        </w:rPr>
      </w:pPr>
      <w:r>
        <w:t xml:space="preserve">ERCOT MIS API Workshop </w:t>
      </w:r>
    </w:p>
    <w:p w:rsidR="00304812" w:rsidRPr="00304812" w:rsidRDefault="00304812" w:rsidP="00304812">
      <w:pPr>
        <w:pStyle w:val="NoSpacing"/>
        <w:numPr>
          <w:ilvl w:val="0"/>
          <w:numId w:val="5"/>
        </w:numPr>
        <w:rPr>
          <w:b/>
          <w:u w:val="single"/>
        </w:rPr>
      </w:pPr>
      <w:r>
        <w:t>DRAFT RMGRR Switch Hold Removal Documentation requirements</w:t>
      </w:r>
    </w:p>
    <w:p w:rsidR="00304812" w:rsidRPr="00323CE5" w:rsidRDefault="00304812" w:rsidP="00304812">
      <w:pPr>
        <w:pStyle w:val="NoSpacing"/>
        <w:numPr>
          <w:ilvl w:val="0"/>
          <w:numId w:val="5"/>
        </w:numPr>
        <w:rPr>
          <w:b/>
          <w:u w:val="single"/>
        </w:rPr>
      </w:pPr>
      <w:r>
        <w:t>Update SCR ERCOT Switch Hold Process Repository</w:t>
      </w:r>
      <w:bookmarkStart w:id="0" w:name="_GoBack"/>
      <w:bookmarkEnd w:id="0"/>
    </w:p>
    <w:p w:rsidR="00323CE5" w:rsidRPr="00323CE5" w:rsidRDefault="00304812" w:rsidP="0004131D">
      <w:pPr>
        <w:pStyle w:val="NoSpacing"/>
        <w:numPr>
          <w:ilvl w:val="0"/>
          <w:numId w:val="5"/>
        </w:numPr>
        <w:rPr>
          <w:b/>
          <w:u w:val="single"/>
        </w:rPr>
      </w:pPr>
      <w:r>
        <w:t>DRAFT SCR Administrative MarkeTrak Enhancements</w:t>
      </w:r>
      <w:r w:rsidR="00323CE5">
        <w:t xml:space="preserve"> </w:t>
      </w:r>
      <w:r>
        <w:t>/ MarkeTrak Upgrade 2021</w:t>
      </w:r>
    </w:p>
    <w:sectPr w:rsidR="00323CE5" w:rsidRPr="00323CE5" w:rsidSect="008C13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1C3"/>
    <w:multiLevelType w:val="hybridMultilevel"/>
    <w:tmpl w:val="98C4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6F6A"/>
    <w:multiLevelType w:val="hybridMultilevel"/>
    <w:tmpl w:val="F97A49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111921B9"/>
    <w:multiLevelType w:val="hybridMultilevel"/>
    <w:tmpl w:val="D87E0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17502"/>
    <w:multiLevelType w:val="hybridMultilevel"/>
    <w:tmpl w:val="7258F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F09B5"/>
    <w:multiLevelType w:val="hybridMultilevel"/>
    <w:tmpl w:val="3DBC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B6E25"/>
    <w:multiLevelType w:val="hybridMultilevel"/>
    <w:tmpl w:val="BEE25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3DD"/>
    <w:multiLevelType w:val="hybridMultilevel"/>
    <w:tmpl w:val="E3C0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D6B07"/>
    <w:multiLevelType w:val="hybridMultilevel"/>
    <w:tmpl w:val="5A4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D6877"/>
    <w:multiLevelType w:val="hybridMultilevel"/>
    <w:tmpl w:val="4F3E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21146"/>
    <w:multiLevelType w:val="hybridMultilevel"/>
    <w:tmpl w:val="D08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355"/>
    <w:multiLevelType w:val="hybridMultilevel"/>
    <w:tmpl w:val="9E8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A7C3F"/>
    <w:multiLevelType w:val="hybridMultilevel"/>
    <w:tmpl w:val="B6545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70D13"/>
    <w:multiLevelType w:val="hybridMultilevel"/>
    <w:tmpl w:val="7C262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B546F"/>
    <w:multiLevelType w:val="hybridMultilevel"/>
    <w:tmpl w:val="B768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B5990"/>
    <w:multiLevelType w:val="hybridMultilevel"/>
    <w:tmpl w:val="5748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378D8"/>
    <w:multiLevelType w:val="hybridMultilevel"/>
    <w:tmpl w:val="7FA8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D6749"/>
    <w:multiLevelType w:val="hybridMultilevel"/>
    <w:tmpl w:val="6986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C40BBD"/>
    <w:multiLevelType w:val="hybridMultilevel"/>
    <w:tmpl w:val="F5F8DE6E"/>
    <w:lvl w:ilvl="0" w:tplc="83A4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942925"/>
    <w:multiLevelType w:val="hybridMultilevel"/>
    <w:tmpl w:val="6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F1F33"/>
    <w:multiLevelType w:val="hybridMultilevel"/>
    <w:tmpl w:val="DE48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C4A10"/>
    <w:multiLevelType w:val="hybridMultilevel"/>
    <w:tmpl w:val="108E6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5"/>
  </w:num>
  <w:num w:numId="4">
    <w:abstractNumId w:val="9"/>
  </w:num>
  <w:num w:numId="5">
    <w:abstractNumId w:val="17"/>
  </w:num>
  <w:num w:numId="6">
    <w:abstractNumId w:val="20"/>
  </w:num>
  <w:num w:numId="7">
    <w:abstractNumId w:val="8"/>
  </w:num>
  <w:num w:numId="8">
    <w:abstractNumId w:val="14"/>
  </w:num>
  <w:num w:numId="9">
    <w:abstractNumId w:val="12"/>
  </w:num>
  <w:num w:numId="10">
    <w:abstractNumId w:val="0"/>
  </w:num>
  <w:num w:numId="11">
    <w:abstractNumId w:val="7"/>
  </w:num>
  <w:num w:numId="12">
    <w:abstractNumId w:val="3"/>
  </w:num>
  <w:num w:numId="13">
    <w:abstractNumId w:val="13"/>
  </w:num>
  <w:num w:numId="14">
    <w:abstractNumId w:val="23"/>
  </w:num>
  <w:num w:numId="15">
    <w:abstractNumId w:val="19"/>
  </w:num>
  <w:num w:numId="16">
    <w:abstractNumId w:val="6"/>
  </w:num>
  <w:num w:numId="17">
    <w:abstractNumId w:val="16"/>
  </w:num>
  <w:num w:numId="18">
    <w:abstractNumId w:val="4"/>
  </w:num>
  <w:num w:numId="19">
    <w:abstractNumId w:val="2"/>
  </w:num>
  <w:num w:numId="20">
    <w:abstractNumId w:val="18"/>
  </w:num>
  <w:num w:numId="21">
    <w:abstractNumId w:val="11"/>
  </w:num>
  <w:num w:numId="22">
    <w:abstractNumId w:val="1"/>
  </w:num>
  <w:num w:numId="23">
    <w:abstractNumId w:val="15"/>
  </w:num>
  <w:num w:numId="2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153D5"/>
    <w:rsid w:val="00020312"/>
    <w:rsid w:val="00020E68"/>
    <w:rsid w:val="00021FA8"/>
    <w:rsid w:val="00022185"/>
    <w:rsid w:val="00023998"/>
    <w:rsid w:val="00025B49"/>
    <w:rsid w:val="0004131D"/>
    <w:rsid w:val="000A1F65"/>
    <w:rsid w:val="000C0AF2"/>
    <w:rsid w:val="000C20CF"/>
    <w:rsid w:val="000C319D"/>
    <w:rsid w:val="000C5FAB"/>
    <w:rsid w:val="000D3187"/>
    <w:rsid w:val="000E13F8"/>
    <w:rsid w:val="00110EA2"/>
    <w:rsid w:val="00123FEE"/>
    <w:rsid w:val="001303F8"/>
    <w:rsid w:val="001313EA"/>
    <w:rsid w:val="00131DDA"/>
    <w:rsid w:val="00136DF5"/>
    <w:rsid w:val="00153056"/>
    <w:rsid w:val="00171E07"/>
    <w:rsid w:val="00194107"/>
    <w:rsid w:val="001B1170"/>
    <w:rsid w:val="001C225E"/>
    <w:rsid w:val="001C3FE4"/>
    <w:rsid w:val="001C4664"/>
    <w:rsid w:val="001D16C1"/>
    <w:rsid w:val="001E1FBF"/>
    <w:rsid w:val="001E2F5F"/>
    <w:rsid w:val="001E6DA0"/>
    <w:rsid w:val="00210956"/>
    <w:rsid w:val="0022539C"/>
    <w:rsid w:val="00227F00"/>
    <w:rsid w:val="002417F6"/>
    <w:rsid w:val="00245452"/>
    <w:rsid w:val="00257783"/>
    <w:rsid w:val="00266626"/>
    <w:rsid w:val="00275BB9"/>
    <w:rsid w:val="002B73B5"/>
    <w:rsid w:val="002C5F35"/>
    <w:rsid w:val="002E188E"/>
    <w:rsid w:val="002E4A02"/>
    <w:rsid w:val="002E4AA8"/>
    <w:rsid w:val="002E52F7"/>
    <w:rsid w:val="002E6D10"/>
    <w:rsid w:val="002F12FE"/>
    <w:rsid w:val="002F5B65"/>
    <w:rsid w:val="002F6A98"/>
    <w:rsid w:val="00304812"/>
    <w:rsid w:val="00307922"/>
    <w:rsid w:val="00310E34"/>
    <w:rsid w:val="003147A9"/>
    <w:rsid w:val="0032177A"/>
    <w:rsid w:val="003224FF"/>
    <w:rsid w:val="00323CE5"/>
    <w:rsid w:val="00326666"/>
    <w:rsid w:val="0032714F"/>
    <w:rsid w:val="00327A45"/>
    <w:rsid w:val="00331770"/>
    <w:rsid w:val="00331FF3"/>
    <w:rsid w:val="0033302E"/>
    <w:rsid w:val="00345EA2"/>
    <w:rsid w:val="0035068E"/>
    <w:rsid w:val="00351211"/>
    <w:rsid w:val="00356955"/>
    <w:rsid w:val="00370FAA"/>
    <w:rsid w:val="00384273"/>
    <w:rsid w:val="0038504B"/>
    <w:rsid w:val="00387FDB"/>
    <w:rsid w:val="003939F4"/>
    <w:rsid w:val="00397D90"/>
    <w:rsid w:val="003A0149"/>
    <w:rsid w:val="003A4C4B"/>
    <w:rsid w:val="003B2CDB"/>
    <w:rsid w:val="003C2B32"/>
    <w:rsid w:val="003D3023"/>
    <w:rsid w:val="003D62FC"/>
    <w:rsid w:val="003D7918"/>
    <w:rsid w:val="00402166"/>
    <w:rsid w:val="00402D16"/>
    <w:rsid w:val="00404E6C"/>
    <w:rsid w:val="00420104"/>
    <w:rsid w:val="004222C3"/>
    <w:rsid w:val="00423A26"/>
    <w:rsid w:val="00446742"/>
    <w:rsid w:val="004510BA"/>
    <w:rsid w:val="00453CB9"/>
    <w:rsid w:val="0046383E"/>
    <w:rsid w:val="00463A02"/>
    <w:rsid w:val="00473E06"/>
    <w:rsid w:val="00474281"/>
    <w:rsid w:val="004852C1"/>
    <w:rsid w:val="00487203"/>
    <w:rsid w:val="00496BC3"/>
    <w:rsid w:val="004A02A5"/>
    <w:rsid w:val="004B0BD3"/>
    <w:rsid w:val="004C5528"/>
    <w:rsid w:val="004C672D"/>
    <w:rsid w:val="004D5B2D"/>
    <w:rsid w:val="004F3A5D"/>
    <w:rsid w:val="004F3B6C"/>
    <w:rsid w:val="004F5F8C"/>
    <w:rsid w:val="005101FF"/>
    <w:rsid w:val="0051096F"/>
    <w:rsid w:val="00517D7C"/>
    <w:rsid w:val="00527ADA"/>
    <w:rsid w:val="00540840"/>
    <w:rsid w:val="0054333F"/>
    <w:rsid w:val="00543BB4"/>
    <w:rsid w:val="00544D4C"/>
    <w:rsid w:val="00546D6E"/>
    <w:rsid w:val="00547B3B"/>
    <w:rsid w:val="00553D72"/>
    <w:rsid w:val="005572E8"/>
    <w:rsid w:val="00562FBA"/>
    <w:rsid w:val="005645B7"/>
    <w:rsid w:val="005719FD"/>
    <w:rsid w:val="005A25C3"/>
    <w:rsid w:val="005B05BD"/>
    <w:rsid w:val="005D1EE7"/>
    <w:rsid w:val="005D1F24"/>
    <w:rsid w:val="005D5510"/>
    <w:rsid w:val="006149AB"/>
    <w:rsid w:val="0062681D"/>
    <w:rsid w:val="00637F5C"/>
    <w:rsid w:val="00643E89"/>
    <w:rsid w:val="00653F95"/>
    <w:rsid w:val="006758D3"/>
    <w:rsid w:val="006816F8"/>
    <w:rsid w:val="00683CC7"/>
    <w:rsid w:val="00690321"/>
    <w:rsid w:val="006B7779"/>
    <w:rsid w:val="006F0C42"/>
    <w:rsid w:val="00702CF5"/>
    <w:rsid w:val="00707132"/>
    <w:rsid w:val="00720A5D"/>
    <w:rsid w:val="00733038"/>
    <w:rsid w:val="00733B41"/>
    <w:rsid w:val="007533E9"/>
    <w:rsid w:val="0076567B"/>
    <w:rsid w:val="007660CA"/>
    <w:rsid w:val="00766AED"/>
    <w:rsid w:val="00766E5D"/>
    <w:rsid w:val="00770025"/>
    <w:rsid w:val="00780949"/>
    <w:rsid w:val="0079359B"/>
    <w:rsid w:val="007966CC"/>
    <w:rsid w:val="007C090E"/>
    <w:rsid w:val="007C5998"/>
    <w:rsid w:val="007D1BE9"/>
    <w:rsid w:val="007E4B3E"/>
    <w:rsid w:val="007F145E"/>
    <w:rsid w:val="007F3FC1"/>
    <w:rsid w:val="00806140"/>
    <w:rsid w:val="00807049"/>
    <w:rsid w:val="00815480"/>
    <w:rsid w:val="00820B4A"/>
    <w:rsid w:val="008217FD"/>
    <w:rsid w:val="008451D6"/>
    <w:rsid w:val="00860321"/>
    <w:rsid w:val="00862522"/>
    <w:rsid w:val="008636F7"/>
    <w:rsid w:val="00875092"/>
    <w:rsid w:val="00887CAB"/>
    <w:rsid w:val="00891A72"/>
    <w:rsid w:val="008953BF"/>
    <w:rsid w:val="008A3554"/>
    <w:rsid w:val="008B5C93"/>
    <w:rsid w:val="008C13D1"/>
    <w:rsid w:val="008D78D2"/>
    <w:rsid w:val="008E6934"/>
    <w:rsid w:val="008F2439"/>
    <w:rsid w:val="008F4DC4"/>
    <w:rsid w:val="008F6D8F"/>
    <w:rsid w:val="0090152E"/>
    <w:rsid w:val="00932C1B"/>
    <w:rsid w:val="009361FE"/>
    <w:rsid w:val="0095114C"/>
    <w:rsid w:val="00963F70"/>
    <w:rsid w:val="0096742E"/>
    <w:rsid w:val="009805C2"/>
    <w:rsid w:val="009921EF"/>
    <w:rsid w:val="009A0B03"/>
    <w:rsid w:val="009A6188"/>
    <w:rsid w:val="009B2EE9"/>
    <w:rsid w:val="009C4583"/>
    <w:rsid w:val="009D07DF"/>
    <w:rsid w:val="009D5ECB"/>
    <w:rsid w:val="009D7657"/>
    <w:rsid w:val="009D7D5C"/>
    <w:rsid w:val="009F63FD"/>
    <w:rsid w:val="009F7D81"/>
    <w:rsid w:val="00A00502"/>
    <w:rsid w:val="00A01863"/>
    <w:rsid w:val="00A14B4A"/>
    <w:rsid w:val="00A150C2"/>
    <w:rsid w:val="00A17B5F"/>
    <w:rsid w:val="00A241ED"/>
    <w:rsid w:val="00A24868"/>
    <w:rsid w:val="00A274B3"/>
    <w:rsid w:val="00A27E45"/>
    <w:rsid w:val="00A367C4"/>
    <w:rsid w:val="00A42563"/>
    <w:rsid w:val="00A43FBD"/>
    <w:rsid w:val="00A47BA1"/>
    <w:rsid w:val="00A5566F"/>
    <w:rsid w:val="00A5593F"/>
    <w:rsid w:val="00A60FAD"/>
    <w:rsid w:val="00A67EE2"/>
    <w:rsid w:val="00A86140"/>
    <w:rsid w:val="00A86544"/>
    <w:rsid w:val="00A95E96"/>
    <w:rsid w:val="00AA104F"/>
    <w:rsid w:val="00AA3CAF"/>
    <w:rsid w:val="00AA7CB2"/>
    <w:rsid w:val="00AB4932"/>
    <w:rsid w:val="00AB5B26"/>
    <w:rsid w:val="00AC7F6D"/>
    <w:rsid w:val="00AE38A9"/>
    <w:rsid w:val="00AE3E48"/>
    <w:rsid w:val="00AF56A0"/>
    <w:rsid w:val="00AF71B5"/>
    <w:rsid w:val="00B05A4F"/>
    <w:rsid w:val="00B22277"/>
    <w:rsid w:val="00B22D19"/>
    <w:rsid w:val="00B303A3"/>
    <w:rsid w:val="00B31199"/>
    <w:rsid w:val="00B33AC5"/>
    <w:rsid w:val="00B57B56"/>
    <w:rsid w:val="00B64B2E"/>
    <w:rsid w:val="00B66384"/>
    <w:rsid w:val="00B749BF"/>
    <w:rsid w:val="00B877FC"/>
    <w:rsid w:val="00B90882"/>
    <w:rsid w:val="00BB0367"/>
    <w:rsid w:val="00BB094F"/>
    <w:rsid w:val="00BB571E"/>
    <w:rsid w:val="00BC33B9"/>
    <w:rsid w:val="00C06E4C"/>
    <w:rsid w:val="00C1359E"/>
    <w:rsid w:val="00C21A42"/>
    <w:rsid w:val="00C27CC0"/>
    <w:rsid w:val="00C32B22"/>
    <w:rsid w:val="00C33E4E"/>
    <w:rsid w:val="00C41BC0"/>
    <w:rsid w:val="00C44212"/>
    <w:rsid w:val="00C5225F"/>
    <w:rsid w:val="00C66CDF"/>
    <w:rsid w:val="00C70FD8"/>
    <w:rsid w:val="00C7529A"/>
    <w:rsid w:val="00C9361E"/>
    <w:rsid w:val="00CA0ED7"/>
    <w:rsid w:val="00CA1A12"/>
    <w:rsid w:val="00CA1C81"/>
    <w:rsid w:val="00CA2667"/>
    <w:rsid w:val="00CB2304"/>
    <w:rsid w:val="00CB68ED"/>
    <w:rsid w:val="00CD26E3"/>
    <w:rsid w:val="00CD7EFB"/>
    <w:rsid w:val="00CE3D30"/>
    <w:rsid w:val="00D00FE4"/>
    <w:rsid w:val="00D021DD"/>
    <w:rsid w:val="00D05935"/>
    <w:rsid w:val="00D059C5"/>
    <w:rsid w:val="00D15CA5"/>
    <w:rsid w:val="00D17997"/>
    <w:rsid w:val="00D17CF3"/>
    <w:rsid w:val="00D21886"/>
    <w:rsid w:val="00D24CFB"/>
    <w:rsid w:val="00D30343"/>
    <w:rsid w:val="00D30503"/>
    <w:rsid w:val="00D40728"/>
    <w:rsid w:val="00D66857"/>
    <w:rsid w:val="00D70538"/>
    <w:rsid w:val="00D734CD"/>
    <w:rsid w:val="00D77953"/>
    <w:rsid w:val="00D848CA"/>
    <w:rsid w:val="00D8669C"/>
    <w:rsid w:val="00D86915"/>
    <w:rsid w:val="00DA1B12"/>
    <w:rsid w:val="00DC64DC"/>
    <w:rsid w:val="00DD1441"/>
    <w:rsid w:val="00DE49C2"/>
    <w:rsid w:val="00DF0E46"/>
    <w:rsid w:val="00DF4C02"/>
    <w:rsid w:val="00E03B9B"/>
    <w:rsid w:val="00E12C6D"/>
    <w:rsid w:val="00E26300"/>
    <w:rsid w:val="00E44630"/>
    <w:rsid w:val="00E522FE"/>
    <w:rsid w:val="00E65CE9"/>
    <w:rsid w:val="00E7036C"/>
    <w:rsid w:val="00E72A60"/>
    <w:rsid w:val="00E761AD"/>
    <w:rsid w:val="00E822B6"/>
    <w:rsid w:val="00E871A3"/>
    <w:rsid w:val="00EA1F8B"/>
    <w:rsid w:val="00EA742D"/>
    <w:rsid w:val="00EB2B86"/>
    <w:rsid w:val="00EB3273"/>
    <w:rsid w:val="00EB6375"/>
    <w:rsid w:val="00EC285D"/>
    <w:rsid w:val="00EC4002"/>
    <w:rsid w:val="00EC7CD0"/>
    <w:rsid w:val="00ED1739"/>
    <w:rsid w:val="00ED6B55"/>
    <w:rsid w:val="00ED7D16"/>
    <w:rsid w:val="00EE0F52"/>
    <w:rsid w:val="00EE6D3E"/>
    <w:rsid w:val="00EE7981"/>
    <w:rsid w:val="00EF31E0"/>
    <w:rsid w:val="00EF48D4"/>
    <w:rsid w:val="00F021C5"/>
    <w:rsid w:val="00F02BDF"/>
    <w:rsid w:val="00F145EE"/>
    <w:rsid w:val="00F14D1F"/>
    <w:rsid w:val="00F2039B"/>
    <w:rsid w:val="00F44DF8"/>
    <w:rsid w:val="00F51CAB"/>
    <w:rsid w:val="00F56237"/>
    <w:rsid w:val="00F621D1"/>
    <w:rsid w:val="00F81867"/>
    <w:rsid w:val="00F83FF7"/>
    <w:rsid w:val="00F8406C"/>
    <w:rsid w:val="00F8712A"/>
    <w:rsid w:val="00F873FF"/>
    <w:rsid w:val="00F93EB7"/>
    <w:rsid w:val="00FA647E"/>
    <w:rsid w:val="00FB04C0"/>
    <w:rsid w:val="00FD4DD1"/>
    <w:rsid w:val="00FD7895"/>
    <w:rsid w:val="00FE0C3D"/>
    <w:rsid w:val="00FE2C19"/>
    <w:rsid w:val="00FE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BDAD"/>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872A93-D398-4CD1-81B9-B6B45740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2</cp:revision>
  <dcterms:created xsi:type="dcterms:W3CDTF">2021-04-27T22:23:00Z</dcterms:created>
  <dcterms:modified xsi:type="dcterms:W3CDTF">2021-04-27T22:23:00Z</dcterms:modified>
</cp:coreProperties>
</file>