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7AF54D" w14:textId="77777777" w:rsidR="0098347E" w:rsidRDefault="0098347E" w:rsidP="000C15E1">
      <w:pPr>
        <w:widowControl w:val="0"/>
        <w:jc w:val="right"/>
      </w:pPr>
      <w:r>
        <w:rPr>
          <w:noProof/>
          <w:lang w:eastAsia="ko-KR"/>
        </w:rPr>
        <w:drawing>
          <wp:inline distT="0" distB="0" distL="0" distR="0" wp14:anchorId="147AF584" wp14:editId="147AF585">
            <wp:extent cx="1009510" cy="390525"/>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ColorSm"/>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009510" cy="390525"/>
                    </a:xfrm>
                    <a:prstGeom prst="rect">
                      <a:avLst/>
                    </a:prstGeom>
                    <a:noFill/>
                    <a:ln>
                      <a:noFill/>
                    </a:ln>
                  </pic:spPr>
                </pic:pic>
              </a:graphicData>
            </a:graphic>
          </wp:inline>
        </w:drawing>
      </w:r>
    </w:p>
    <w:p w14:paraId="147AF54E" w14:textId="77777777" w:rsidR="0098347E" w:rsidRDefault="0098347E" w:rsidP="000C15E1">
      <w:pPr>
        <w:widowControl w:val="0"/>
        <w:jc w:val="right"/>
      </w:pPr>
    </w:p>
    <w:p w14:paraId="147AF54F" w14:textId="77777777" w:rsidR="0098347E" w:rsidRDefault="0098347E" w:rsidP="000C15E1">
      <w:pPr>
        <w:widowControl w:val="0"/>
        <w:jc w:val="right"/>
      </w:pPr>
    </w:p>
    <w:p w14:paraId="147AF550" w14:textId="77777777" w:rsidR="0098347E" w:rsidRDefault="0098347E" w:rsidP="000C15E1">
      <w:pPr>
        <w:widowControl w:val="0"/>
        <w:jc w:val="right"/>
      </w:pPr>
    </w:p>
    <w:p w14:paraId="147AF551" w14:textId="77777777" w:rsidR="0098347E" w:rsidRDefault="0098347E" w:rsidP="000C15E1">
      <w:pPr>
        <w:widowControl w:val="0"/>
        <w:jc w:val="right"/>
      </w:pPr>
    </w:p>
    <w:p w14:paraId="147AF552" w14:textId="77777777" w:rsidR="0098347E" w:rsidRDefault="0098347E" w:rsidP="000C15E1">
      <w:pPr>
        <w:widowControl w:val="0"/>
        <w:jc w:val="right"/>
      </w:pPr>
    </w:p>
    <w:p w14:paraId="147AF553" w14:textId="77777777" w:rsidR="0098347E" w:rsidRDefault="0098347E" w:rsidP="000C15E1">
      <w:pPr>
        <w:widowControl w:val="0"/>
        <w:jc w:val="right"/>
      </w:pPr>
    </w:p>
    <w:p w14:paraId="147AF554" w14:textId="77777777" w:rsidR="0098347E" w:rsidRDefault="0098347E" w:rsidP="000C15E1">
      <w:pPr>
        <w:widowControl w:val="0"/>
        <w:jc w:val="right"/>
      </w:pPr>
    </w:p>
    <w:p w14:paraId="147AF555" w14:textId="77777777" w:rsidR="0098347E" w:rsidRDefault="0098347E" w:rsidP="000C15E1">
      <w:pPr>
        <w:widowControl w:val="0"/>
        <w:jc w:val="right"/>
      </w:pPr>
    </w:p>
    <w:p w14:paraId="147AF556" w14:textId="77777777" w:rsidR="0098347E" w:rsidRDefault="0098347E" w:rsidP="000C15E1">
      <w:pPr>
        <w:widowControl w:val="0"/>
        <w:jc w:val="right"/>
      </w:pPr>
    </w:p>
    <w:p w14:paraId="147AF557" w14:textId="77777777" w:rsidR="0098347E" w:rsidRDefault="0098347E" w:rsidP="000C15E1">
      <w:pPr>
        <w:widowControl w:val="0"/>
        <w:jc w:val="right"/>
      </w:pPr>
    </w:p>
    <w:p w14:paraId="147AF558" w14:textId="77777777" w:rsidR="0098347E" w:rsidRDefault="0098347E" w:rsidP="000C15E1">
      <w:pPr>
        <w:widowControl w:val="0"/>
        <w:jc w:val="right"/>
      </w:pPr>
    </w:p>
    <w:p w14:paraId="147AF559" w14:textId="77777777" w:rsidR="0098347E" w:rsidRDefault="0098347E" w:rsidP="000C15E1">
      <w:pPr>
        <w:widowControl w:val="0"/>
        <w:jc w:val="right"/>
      </w:pPr>
    </w:p>
    <w:p w14:paraId="147AF55A" w14:textId="77777777" w:rsidR="0098347E" w:rsidRDefault="0098347E" w:rsidP="000C15E1">
      <w:pPr>
        <w:widowControl w:val="0"/>
        <w:jc w:val="right"/>
      </w:pPr>
    </w:p>
    <w:p w14:paraId="147AF55B" w14:textId="77777777" w:rsidR="0098347E" w:rsidRDefault="0098347E" w:rsidP="000C15E1">
      <w:pPr>
        <w:widowControl w:val="0"/>
        <w:jc w:val="right"/>
      </w:pPr>
    </w:p>
    <w:p w14:paraId="147AF55C" w14:textId="77777777" w:rsidR="0098347E" w:rsidRDefault="0098347E" w:rsidP="000C15E1">
      <w:pPr>
        <w:widowControl w:val="0"/>
        <w:jc w:val="right"/>
      </w:pPr>
    </w:p>
    <w:p w14:paraId="147AF55D" w14:textId="77777777" w:rsidR="0098347E" w:rsidRDefault="0098347E" w:rsidP="000C15E1">
      <w:pPr>
        <w:widowControl w:val="0"/>
        <w:jc w:val="right"/>
      </w:pPr>
    </w:p>
    <w:p w14:paraId="147AF55E" w14:textId="77777777" w:rsidR="0098347E" w:rsidRDefault="0098347E" w:rsidP="000C15E1">
      <w:pPr>
        <w:widowControl w:val="0"/>
        <w:jc w:val="right"/>
      </w:pPr>
    </w:p>
    <w:p w14:paraId="147AF55F" w14:textId="77777777" w:rsidR="0098347E" w:rsidRDefault="0098347E" w:rsidP="000C15E1">
      <w:pPr>
        <w:widowControl w:val="0"/>
        <w:jc w:val="right"/>
      </w:pPr>
    </w:p>
    <w:p w14:paraId="147AF560" w14:textId="77777777" w:rsidR="0098347E" w:rsidRPr="00646598" w:rsidRDefault="0098347E" w:rsidP="000C15E1">
      <w:pPr>
        <w:widowControl w:val="0"/>
        <w:jc w:val="right"/>
      </w:pPr>
      <w:r w:rsidRPr="00646598">
        <w:br/>
      </w:r>
    </w:p>
    <w:p w14:paraId="147AF561" w14:textId="7ECCDD19" w:rsidR="0098347E" w:rsidRPr="00646598" w:rsidRDefault="00AB07EA" w:rsidP="000C15E1">
      <w:pPr>
        <w:pStyle w:val="StyleArial18ptBoldText2Right"/>
        <w:widowControl w:val="0"/>
      </w:pPr>
      <w:r>
        <w:t>202</w:t>
      </w:r>
      <w:r w:rsidR="00B75120">
        <w:t>1</w:t>
      </w:r>
      <w:r w:rsidR="00D368E3">
        <w:t xml:space="preserve"> Benchmark</w:t>
      </w:r>
      <w:r w:rsidR="00FE1BF2">
        <w:t xml:space="preserve"> and Supplemental</w:t>
      </w:r>
      <w:r w:rsidR="00D368E3">
        <w:t xml:space="preserve"> GMD Vulnerability Assessment Scope and Process</w:t>
      </w:r>
    </w:p>
    <w:p w14:paraId="147AF562" w14:textId="3AA8C46E" w:rsidR="0098347E" w:rsidRPr="00646598" w:rsidRDefault="0098347E" w:rsidP="000C15E1">
      <w:pPr>
        <w:pStyle w:val="spacer"/>
        <w:widowControl w:val="0"/>
        <w:spacing w:before="240"/>
        <w:jc w:val="right"/>
        <w:rPr>
          <w:b/>
          <w:sz w:val="24"/>
          <w:szCs w:val="24"/>
        </w:rPr>
      </w:pPr>
      <w:r w:rsidRPr="00646598">
        <w:rPr>
          <w:b/>
          <w:sz w:val="24"/>
          <w:szCs w:val="24"/>
        </w:rPr>
        <w:t xml:space="preserve">Version </w:t>
      </w:r>
      <w:r w:rsidR="00AB07EA">
        <w:rPr>
          <w:b/>
          <w:sz w:val="24"/>
          <w:szCs w:val="24"/>
        </w:rPr>
        <w:t>1</w:t>
      </w:r>
      <w:r>
        <w:rPr>
          <w:b/>
          <w:sz w:val="24"/>
          <w:szCs w:val="24"/>
        </w:rPr>
        <w:t>.0</w:t>
      </w:r>
    </w:p>
    <w:p w14:paraId="147AF563" w14:textId="77777777" w:rsidR="0098347E" w:rsidRPr="00AE70F7" w:rsidRDefault="0098347E" w:rsidP="000C15E1">
      <w:pPr>
        <w:pStyle w:val="spacer"/>
        <w:widowControl w:val="0"/>
        <w:spacing w:before="240"/>
        <w:jc w:val="right"/>
        <w:rPr>
          <w:sz w:val="24"/>
          <w:szCs w:val="24"/>
        </w:rPr>
      </w:pPr>
    </w:p>
    <w:p w14:paraId="147AF564" w14:textId="77777777" w:rsidR="0098347E" w:rsidRDefault="0098347E" w:rsidP="000C15E1">
      <w:pPr>
        <w:pStyle w:val="TOCHead"/>
        <w:widowControl w:val="0"/>
        <w:sectPr w:rsidR="0098347E" w:rsidSect="006D7974">
          <w:headerReference w:type="default" r:id="rId12"/>
          <w:footerReference w:type="default" r:id="rId13"/>
          <w:headerReference w:type="first" r:id="rId14"/>
          <w:footerReference w:type="first" r:id="rId15"/>
          <w:pgSz w:w="12240" w:h="15840"/>
          <w:pgMar w:top="1440" w:right="1440" w:bottom="1440" w:left="1440" w:header="720" w:footer="720" w:gutter="0"/>
          <w:pgNumType w:start="1"/>
          <w:cols w:space="720"/>
          <w:titlePg/>
          <w:docGrid w:linePitch="360"/>
        </w:sectPr>
      </w:pPr>
    </w:p>
    <w:p w14:paraId="147AF565" w14:textId="77777777" w:rsidR="00B02A88" w:rsidRPr="00646598" w:rsidRDefault="00B02A88" w:rsidP="000C15E1">
      <w:pPr>
        <w:pStyle w:val="StyleTOCHeadAccent1"/>
        <w:widowControl w:val="0"/>
      </w:pPr>
      <w:r w:rsidRPr="00646598">
        <w:lastRenderedPageBreak/>
        <w:t>Document Revisions</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134"/>
        <w:gridCol w:w="1998"/>
        <w:gridCol w:w="3708"/>
      </w:tblGrid>
      <w:tr w:rsidR="00B02A88" w14:paraId="147AF56A" w14:textId="77777777" w:rsidTr="00B01CD8">
        <w:tc>
          <w:tcPr>
            <w:tcW w:w="1800" w:type="dxa"/>
            <w:tcBorders>
              <w:top w:val="nil"/>
              <w:left w:val="nil"/>
              <w:bottom w:val="single" w:sz="4" w:space="0" w:color="auto"/>
              <w:right w:val="nil"/>
            </w:tcBorders>
            <w:shd w:val="clear" w:color="auto" w:fill="auto"/>
          </w:tcPr>
          <w:p w14:paraId="147AF566" w14:textId="77777777" w:rsidR="00B02A88" w:rsidRPr="00FA1221" w:rsidRDefault="00B02A88" w:rsidP="000C15E1">
            <w:pPr>
              <w:pStyle w:val="tablehead"/>
              <w:widowControl w:val="0"/>
            </w:pPr>
            <w:r w:rsidRPr="00FA1221">
              <w:t>Date</w:t>
            </w:r>
          </w:p>
        </w:tc>
        <w:tc>
          <w:tcPr>
            <w:tcW w:w="1134" w:type="dxa"/>
            <w:tcBorders>
              <w:top w:val="nil"/>
              <w:left w:val="nil"/>
              <w:bottom w:val="single" w:sz="4" w:space="0" w:color="auto"/>
              <w:right w:val="nil"/>
            </w:tcBorders>
            <w:shd w:val="clear" w:color="auto" w:fill="auto"/>
          </w:tcPr>
          <w:p w14:paraId="147AF567" w14:textId="77777777" w:rsidR="00B02A88" w:rsidRPr="00FA1221" w:rsidRDefault="00B02A88" w:rsidP="000C15E1">
            <w:pPr>
              <w:pStyle w:val="tablehead"/>
              <w:widowControl w:val="0"/>
            </w:pPr>
            <w:r w:rsidRPr="00FA1221">
              <w:t>Version</w:t>
            </w:r>
          </w:p>
        </w:tc>
        <w:tc>
          <w:tcPr>
            <w:tcW w:w="1998" w:type="dxa"/>
            <w:tcBorders>
              <w:top w:val="nil"/>
              <w:left w:val="nil"/>
              <w:bottom w:val="single" w:sz="4" w:space="0" w:color="auto"/>
              <w:right w:val="nil"/>
            </w:tcBorders>
            <w:shd w:val="clear" w:color="auto" w:fill="auto"/>
          </w:tcPr>
          <w:p w14:paraId="147AF568" w14:textId="77777777" w:rsidR="00B02A88" w:rsidRPr="00FA1221" w:rsidRDefault="00B02A88" w:rsidP="000C15E1">
            <w:pPr>
              <w:pStyle w:val="tablehead"/>
              <w:widowControl w:val="0"/>
            </w:pPr>
            <w:r w:rsidRPr="00FA1221">
              <w:t>Description</w:t>
            </w:r>
          </w:p>
        </w:tc>
        <w:tc>
          <w:tcPr>
            <w:tcW w:w="3708" w:type="dxa"/>
            <w:tcBorders>
              <w:top w:val="nil"/>
              <w:left w:val="nil"/>
              <w:bottom w:val="single" w:sz="4" w:space="0" w:color="auto"/>
              <w:right w:val="nil"/>
            </w:tcBorders>
            <w:shd w:val="clear" w:color="auto" w:fill="auto"/>
          </w:tcPr>
          <w:p w14:paraId="147AF569" w14:textId="77777777" w:rsidR="00B02A88" w:rsidRPr="00FA1221" w:rsidRDefault="00B02A88" w:rsidP="000C15E1">
            <w:pPr>
              <w:pStyle w:val="tablehead"/>
              <w:widowControl w:val="0"/>
            </w:pPr>
            <w:r w:rsidRPr="00FA1221">
              <w:t>Author(s)</w:t>
            </w:r>
          </w:p>
        </w:tc>
      </w:tr>
      <w:tr w:rsidR="001A16F9" w14:paraId="147AF56F" w14:textId="77777777" w:rsidTr="007D24FF">
        <w:trPr>
          <w:trHeight w:val="570"/>
        </w:trPr>
        <w:tc>
          <w:tcPr>
            <w:tcW w:w="1800" w:type="dxa"/>
            <w:tcBorders>
              <w:top w:val="single" w:sz="4" w:space="0" w:color="auto"/>
              <w:left w:val="nil"/>
              <w:right w:val="single" w:sz="4" w:space="0" w:color="auto"/>
            </w:tcBorders>
          </w:tcPr>
          <w:p w14:paraId="147AF56B" w14:textId="47DB2888" w:rsidR="001A16F9" w:rsidRDefault="001A16F9" w:rsidP="00AB07EA">
            <w:pPr>
              <w:pStyle w:val="table"/>
              <w:widowControl w:val="0"/>
              <w:jc w:val="both"/>
            </w:pPr>
            <w:r>
              <w:t>05/10/2021</w:t>
            </w:r>
          </w:p>
        </w:tc>
        <w:tc>
          <w:tcPr>
            <w:tcW w:w="1134" w:type="dxa"/>
            <w:tcBorders>
              <w:top w:val="single" w:sz="4" w:space="0" w:color="auto"/>
              <w:left w:val="single" w:sz="4" w:space="0" w:color="auto"/>
              <w:right w:val="single" w:sz="4" w:space="0" w:color="auto"/>
            </w:tcBorders>
          </w:tcPr>
          <w:p w14:paraId="147AF56C" w14:textId="3D1F5F52" w:rsidR="001A16F9" w:rsidRDefault="001A16F9" w:rsidP="000C15E1">
            <w:pPr>
              <w:pStyle w:val="table"/>
              <w:widowControl w:val="0"/>
              <w:jc w:val="both"/>
            </w:pPr>
            <w:r>
              <w:t>1.0</w:t>
            </w:r>
          </w:p>
        </w:tc>
        <w:tc>
          <w:tcPr>
            <w:tcW w:w="1998" w:type="dxa"/>
            <w:tcBorders>
              <w:top w:val="single" w:sz="4" w:space="0" w:color="auto"/>
              <w:left w:val="single" w:sz="4" w:space="0" w:color="auto"/>
              <w:right w:val="single" w:sz="4" w:space="0" w:color="auto"/>
            </w:tcBorders>
          </w:tcPr>
          <w:p w14:paraId="147AF56D" w14:textId="1A496546" w:rsidR="001A16F9" w:rsidRDefault="001A16F9" w:rsidP="000C15E1">
            <w:pPr>
              <w:pStyle w:val="table"/>
              <w:widowControl w:val="0"/>
              <w:jc w:val="both"/>
            </w:pPr>
            <w:r>
              <w:t>First draft</w:t>
            </w:r>
          </w:p>
        </w:tc>
        <w:tc>
          <w:tcPr>
            <w:tcW w:w="3708" w:type="dxa"/>
            <w:tcBorders>
              <w:top w:val="single" w:sz="4" w:space="0" w:color="auto"/>
              <w:left w:val="single" w:sz="4" w:space="0" w:color="auto"/>
              <w:right w:val="nil"/>
            </w:tcBorders>
          </w:tcPr>
          <w:p w14:paraId="147AF56E" w14:textId="28894FE3" w:rsidR="001A16F9" w:rsidRDefault="001A16F9" w:rsidP="00AB07EA">
            <w:pPr>
              <w:pStyle w:val="table"/>
              <w:widowControl w:val="0"/>
              <w:jc w:val="both"/>
            </w:pPr>
            <w:r>
              <w:t>Minnie Han</w:t>
            </w:r>
          </w:p>
        </w:tc>
      </w:tr>
    </w:tbl>
    <w:p w14:paraId="147AF575" w14:textId="77777777" w:rsidR="00B02A88" w:rsidRPr="00CF3A3E" w:rsidRDefault="00B02A88" w:rsidP="000C15E1">
      <w:pPr>
        <w:pStyle w:val="BodyText"/>
        <w:widowControl w:val="0"/>
        <w:sectPr w:rsidR="00B02A88" w:rsidRPr="00CF3A3E" w:rsidSect="004500EC">
          <w:pgSz w:w="12240" w:h="15840"/>
          <w:pgMar w:top="1440" w:right="1440" w:bottom="1440" w:left="1440" w:header="720" w:footer="720" w:gutter="0"/>
          <w:pgNumType w:start="1"/>
          <w:cols w:space="720"/>
          <w:docGrid w:linePitch="360"/>
        </w:sectPr>
      </w:pPr>
    </w:p>
    <w:p w14:paraId="147AF576" w14:textId="77777777" w:rsidR="00142B7A" w:rsidRDefault="00142B7A" w:rsidP="000C15E1">
      <w:pPr>
        <w:pStyle w:val="StyleTOCHeadAccent1"/>
        <w:widowControl w:val="0"/>
      </w:pPr>
      <w:bookmarkStart w:id="0" w:name="_Toc85269770"/>
      <w:r w:rsidRPr="00F923C7">
        <w:lastRenderedPageBreak/>
        <w:t>Table of Contents</w:t>
      </w:r>
      <w:bookmarkEnd w:id="0"/>
    </w:p>
    <w:sdt>
      <w:sdtPr>
        <w:rPr>
          <w:rFonts w:ascii="Arial" w:eastAsia="Times New Roman" w:hAnsi="Arial" w:cs="Times New Roman"/>
          <w:color w:val="5B6770" w:themeColor="text2"/>
          <w:sz w:val="24"/>
          <w:szCs w:val="24"/>
        </w:rPr>
        <w:id w:val="1641533804"/>
        <w:docPartObj>
          <w:docPartGallery w:val="Table of Contents"/>
          <w:docPartUnique/>
        </w:docPartObj>
      </w:sdtPr>
      <w:sdtEndPr>
        <w:rPr>
          <w:b/>
          <w:bCs/>
          <w:noProof/>
        </w:rPr>
      </w:sdtEndPr>
      <w:sdtContent>
        <w:p w14:paraId="4117831C" w14:textId="0D662B7B" w:rsidR="00B762E1" w:rsidRDefault="00B762E1">
          <w:pPr>
            <w:pStyle w:val="TOCHeading"/>
          </w:pPr>
        </w:p>
        <w:p w14:paraId="085A32DD" w14:textId="77777777" w:rsidR="001A16F9" w:rsidRDefault="00B762E1">
          <w:pPr>
            <w:pStyle w:val="TOC1"/>
            <w:rPr>
              <w:rFonts w:asciiTheme="minorHAnsi" w:eastAsiaTheme="minorEastAsia" w:hAnsiTheme="minorHAnsi" w:cstheme="minorBidi"/>
              <w:noProof/>
              <w:color w:val="auto"/>
              <w:sz w:val="22"/>
              <w:szCs w:val="22"/>
              <w:lang w:eastAsia="ko-KR"/>
            </w:rPr>
          </w:pPr>
          <w:r>
            <w:rPr>
              <w:b/>
              <w:bCs/>
              <w:noProof/>
            </w:rPr>
            <w:fldChar w:fldCharType="begin"/>
          </w:r>
          <w:r>
            <w:rPr>
              <w:b/>
              <w:bCs/>
              <w:noProof/>
            </w:rPr>
            <w:instrText xml:space="preserve"> TOC \o "1-3" \h \z \u </w:instrText>
          </w:r>
          <w:r>
            <w:rPr>
              <w:b/>
              <w:bCs/>
              <w:noProof/>
            </w:rPr>
            <w:fldChar w:fldCharType="separate"/>
          </w:r>
          <w:hyperlink w:anchor="_Toc71547245" w:history="1">
            <w:r w:rsidR="001A16F9" w:rsidRPr="007B56F1">
              <w:rPr>
                <w:rStyle w:val="Hyperlink"/>
                <w:noProof/>
              </w:rPr>
              <w:t>1.</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Introduction</w:t>
            </w:r>
            <w:r w:rsidR="001A16F9">
              <w:rPr>
                <w:noProof/>
                <w:webHidden/>
              </w:rPr>
              <w:tab/>
            </w:r>
            <w:r w:rsidR="001A16F9">
              <w:rPr>
                <w:noProof/>
                <w:webHidden/>
              </w:rPr>
              <w:fldChar w:fldCharType="begin"/>
            </w:r>
            <w:r w:rsidR="001A16F9">
              <w:rPr>
                <w:noProof/>
                <w:webHidden/>
              </w:rPr>
              <w:instrText xml:space="preserve"> PAGEREF _Toc71547245 \h </w:instrText>
            </w:r>
            <w:r w:rsidR="001A16F9">
              <w:rPr>
                <w:noProof/>
                <w:webHidden/>
              </w:rPr>
            </w:r>
            <w:r w:rsidR="001A16F9">
              <w:rPr>
                <w:noProof/>
                <w:webHidden/>
              </w:rPr>
              <w:fldChar w:fldCharType="separate"/>
            </w:r>
            <w:r w:rsidR="001A16F9">
              <w:rPr>
                <w:noProof/>
                <w:webHidden/>
              </w:rPr>
              <w:t>3</w:t>
            </w:r>
            <w:r w:rsidR="001A16F9">
              <w:rPr>
                <w:noProof/>
                <w:webHidden/>
              </w:rPr>
              <w:fldChar w:fldCharType="end"/>
            </w:r>
          </w:hyperlink>
        </w:p>
        <w:p w14:paraId="075E0282" w14:textId="77777777" w:rsidR="001A16F9" w:rsidRDefault="003F469E">
          <w:pPr>
            <w:pStyle w:val="TOC1"/>
            <w:rPr>
              <w:rFonts w:asciiTheme="minorHAnsi" w:eastAsiaTheme="minorEastAsia" w:hAnsiTheme="minorHAnsi" w:cstheme="minorBidi"/>
              <w:noProof/>
              <w:color w:val="auto"/>
              <w:sz w:val="22"/>
              <w:szCs w:val="22"/>
              <w:lang w:eastAsia="ko-KR"/>
            </w:rPr>
          </w:pPr>
          <w:hyperlink w:anchor="_Toc71547246" w:history="1">
            <w:r w:rsidR="001A16F9" w:rsidRPr="007B56F1">
              <w:rPr>
                <w:rStyle w:val="Hyperlink"/>
                <w:noProof/>
              </w:rPr>
              <w:t>2.</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Scope</w:t>
            </w:r>
            <w:r w:rsidR="001A16F9">
              <w:rPr>
                <w:noProof/>
                <w:webHidden/>
              </w:rPr>
              <w:tab/>
            </w:r>
            <w:r w:rsidR="001A16F9">
              <w:rPr>
                <w:noProof/>
                <w:webHidden/>
              </w:rPr>
              <w:fldChar w:fldCharType="begin"/>
            </w:r>
            <w:r w:rsidR="001A16F9">
              <w:rPr>
                <w:noProof/>
                <w:webHidden/>
              </w:rPr>
              <w:instrText xml:space="preserve"> PAGEREF _Toc71547246 \h </w:instrText>
            </w:r>
            <w:r w:rsidR="001A16F9">
              <w:rPr>
                <w:noProof/>
                <w:webHidden/>
              </w:rPr>
            </w:r>
            <w:r w:rsidR="001A16F9">
              <w:rPr>
                <w:noProof/>
                <w:webHidden/>
              </w:rPr>
              <w:fldChar w:fldCharType="separate"/>
            </w:r>
            <w:r w:rsidR="001A16F9">
              <w:rPr>
                <w:noProof/>
                <w:webHidden/>
              </w:rPr>
              <w:t>3</w:t>
            </w:r>
            <w:r w:rsidR="001A16F9">
              <w:rPr>
                <w:noProof/>
                <w:webHidden/>
              </w:rPr>
              <w:fldChar w:fldCharType="end"/>
            </w:r>
          </w:hyperlink>
        </w:p>
        <w:p w14:paraId="3C92EDDF" w14:textId="77777777" w:rsidR="001A16F9" w:rsidRDefault="003F469E">
          <w:pPr>
            <w:pStyle w:val="TOC1"/>
            <w:rPr>
              <w:rFonts w:asciiTheme="minorHAnsi" w:eastAsiaTheme="minorEastAsia" w:hAnsiTheme="minorHAnsi" w:cstheme="minorBidi"/>
              <w:noProof/>
              <w:color w:val="auto"/>
              <w:sz w:val="22"/>
              <w:szCs w:val="22"/>
              <w:lang w:eastAsia="ko-KR"/>
            </w:rPr>
          </w:pPr>
          <w:hyperlink w:anchor="_Toc71547247" w:history="1">
            <w:r w:rsidR="001A16F9" w:rsidRPr="007B56F1">
              <w:rPr>
                <w:rStyle w:val="Hyperlink"/>
                <w:noProof/>
              </w:rPr>
              <w:t>3.</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Input Assumptions</w:t>
            </w:r>
            <w:r w:rsidR="001A16F9">
              <w:rPr>
                <w:noProof/>
                <w:webHidden/>
              </w:rPr>
              <w:tab/>
            </w:r>
            <w:r w:rsidR="001A16F9">
              <w:rPr>
                <w:noProof/>
                <w:webHidden/>
              </w:rPr>
              <w:fldChar w:fldCharType="begin"/>
            </w:r>
            <w:r w:rsidR="001A16F9">
              <w:rPr>
                <w:noProof/>
                <w:webHidden/>
              </w:rPr>
              <w:instrText xml:space="preserve"> PAGEREF _Toc71547247 \h </w:instrText>
            </w:r>
            <w:r w:rsidR="001A16F9">
              <w:rPr>
                <w:noProof/>
                <w:webHidden/>
              </w:rPr>
            </w:r>
            <w:r w:rsidR="001A16F9">
              <w:rPr>
                <w:noProof/>
                <w:webHidden/>
              </w:rPr>
              <w:fldChar w:fldCharType="separate"/>
            </w:r>
            <w:r w:rsidR="001A16F9">
              <w:rPr>
                <w:noProof/>
                <w:webHidden/>
              </w:rPr>
              <w:t>3</w:t>
            </w:r>
            <w:r w:rsidR="001A16F9">
              <w:rPr>
                <w:noProof/>
                <w:webHidden/>
              </w:rPr>
              <w:fldChar w:fldCharType="end"/>
            </w:r>
          </w:hyperlink>
        </w:p>
        <w:p w14:paraId="6BBC6A23" w14:textId="77777777" w:rsidR="001A16F9" w:rsidRDefault="003F469E">
          <w:pPr>
            <w:pStyle w:val="TOC2"/>
            <w:rPr>
              <w:rFonts w:asciiTheme="minorHAnsi" w:eastAsiaTheme="minorEastAsia" w:hAnsiTheme="minorHAnsi" w:cstheme="minorBidi"/>
              <w:noProof/>
              <w:color w:val="auto"/>
              <w:sz w:val="22"/>
              <w:szCs w:val="22"/>
              <w:lang w:eastAsia="ko-KR"/>
            </w:rPr>
          </w:pPr>
          <w:hyperlink w:anchor="_Toc71547248" w:history="1">
            <w:r w:rsidR="001A16F9" w:rsidRPr="007B56F1">
              <w:rPr>
                <w:rStyle w:val="Hyperlink"/>
                <w:noProof/>
              </w:rPr>
              <w:t>3.1.</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Benchmark and Supplemental GMDVA Start Case</w:t>
            </w:r>
            <w:r w:rsidR="001A16F9">
              <w:rPr>
                <w:noProof/>
                <w:webHidden/>
              </w:rPr>
              <w:tab/>
            </w:r>
            <w:r w:rsidR="001A16F9">
              <w:rPr>
                <w:noProof/>
                <w:webHidden/>
              </w:rPr>
              <w:fldChar w:fldCharType="begin"/>
            </w:r>
            <w:r w:rsidR="001A16F9">
              <w:rPr>
                <w:noProof/>
                <w:webHidden/>
              </w:rPr>
              <w:instrText xml:space="preserve"> PAGEREF _Toc71547248 \h </w:instrText>
            </w:r>
            <w:r w:rsidR="001A16F9">
              <w:rPr>
                <w:noProof/>
                <w:webHidden/>
              </w:rPr>
            </w:r>
            <w:r w:rsidR="001A16F9">
              <w:rPr>
                <w:noProof/>
                <w:webHidden/>
              </w:rPr>
              <w:fldChar w:fldCharType="separate"/>
            </w:r>
            <w:r w:rsidR="001A16F9">
              <w:rPr>
                <w:noProof/>
                <w:webHidden/>
              </w:rPr>
              <w:t>3</w:t>
            </w:r>
            <w:r w:rsidR="001A16F9">
              <w:rPr>
                <w:noProof/>
                <w:webHidden/>
              </w:rPr>
              <w:fldChar w:fldCharType="end"/>
            </w:r>
          </w:hyperlink>
        </w:p>
        <w:p w14:paraId="3640B0A9" w14:textId="77777777" w:rsidR="001A16F9" w:rsidRDefault="003F469E">
          <w:pPr>
            <w:pStyle w:val="TOC2"/>
            <w:rPr>
              <w:rFonts w:asciiTheme="minorHAnsi" w:eastAsiaTheme="minorEastAsia" w:hAnsiTheme="minorHAnsi" w:cstheme="minorBidi"/>
              <w:noProof/>
              <w:color w:val="auto"/>
              <w:sz w:val="22"/>
              <w:szCs w:val="22"/>
              <w:lang w:eastAsia="ko-KR"/>
            </w:rPr>
          </w:pPr>
          <w:hyperlink w:anchor="_Toc71547249" w:history="1">
            <w:r w:rsidR="001A16F9" w:rsidRPr="007B56F1">
              <w:rPr>
                <w:rStyle w:val="Hyperlink"/>
                <w:noProof/>
              </w:rPr>
              <w:t>3.2.</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GMD Event</w:t>
            </w:r>
            <w:r w:rsidR="001A16F9">
              <w:rPr>
                <w:noProof/>
                <w:webHidden/>
              </w:rPr>
              <w:tab/>
            </w:r>
            <w:r w:rsidR="001A16F9">
              <w:rPr>
                <w:noProof/>
                <w:webHidden/>
              </w:rPr>
              <w:fldChar w:fldCharType="begin"/>
            </w:r>
            <w:r w:rsidR="001A16F9">
              <w:rPr>
                <w:noProof/>
                <w:webHidden/>
              </w:rPr>
              <w:instrText xml:space="preserve"> PAGEREF _Toc71547249 \h </w:instrText>
            </w:r>
            <w:r w:rsidR="001A16F9">
              <w:rPr>
                <w:noProof/>
                <w:webHidden/>
              </w:rPr>
            </w:r>
            <w:r w:rsidR="001A16F9">
              <w:rPr>
                <w:noProof/>
                <w:webHidden/>
              </w:rPr>
              <w:fldChar w:fldCharType="separate"/>
            </w:r>
            <w:r w:rsidR="001A16F9">
              <w:rPr>
                <w:noProof/>
                <w:webHidden/>
              </w:rPr>
              <w:t>3</w:t>
            </w:r>
            <w:r w:rsidR="001A16F9">
              <w:rPr>
                <w:noProof/>
                <w:webHidden/>
              </w:rPr>
              <w:fldChar w:fldCharType="end"/>
            </w:r>
          </w:hyperlink>
        </w:p>
        <w:p w14:paraId="6AC60541" w14:textId="77777777" w:rsidR="001A16F9" w:rsidRDefault="003F469E">
          <w:pPr>
            <w:pStyle w:val="TOC2"/>
            <w:rPr>
              <w:rFonts w:asciiTheme="minorHAnsi" w:eastAsiaTheme="minorEastAsia" w:hAnsiTheme="minorHAnsi" w:cstheme="minorBidi"/>
              <w:noProof/>
              <w:color w:val="auto"/>
              <w:sz w:val="22"/>
              <w:szCs w:val="22"/>
              <w:lang w:eastAsia="ko-KR"/>
            </w:rPr>
          </w:pPr>
          <w:hyperlink w:anchor="_Toc71547250" w:history="1">
            <w:r w:rsidR="001A16F9" w:rsidRPr="007B56F1">
              <w:rPr>
                <w:rStyle w:val="Hyperlink"/>
                <w:noProof/>
              </w:rPr>
              <w:t>3.3.</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Geomagnetically Induced Reactive Power Losses</w:t>
            </w:r>
            <w:r w:rsidR="001A16F9">
              <w:rPr>
                <w:noProof/>
                <w:webHidden/>
              </w:rPr>
              <w:tab/>
            </w:r>
            <w:r w:rsidR="001A16F9">
              <w:rPr>
                <w:noProof/>
                <w:webHidden/>
              </w:rPr>
              <w:fldChar w:fldCharType="begin"/>
            </w:r>
            <w:r w:rsidR="001A16F9">
              <w:rPr>
                <w:noProof/>
                <w:webHidden/>
              </w:rPr>
              <w:instrText xml:space="preserve"> PAGEREF _Toc71547250 \h </w:instrText>
            </w:r>
            <w:r w:rsidR="001A16F9">
              <w:rPr>
                <w:noProof/>
                <w:webHidden/>
              </w:rPr>
            </w:r>
            <w:r w:rsidR="001A16F9">
              <w:rPr>
                <w:noProof/>
                <w:webHidden/>
              </w:rPr>
              <w:fldChar w:fldCharType="separate"/>
            </w:r>
            <w:r w:rsidR="001A16F9">
              <w:rPr>
                <w:noProof/>
                <w:webHidden/>
              </w:rPr>
              <w:t>4</w:t>
            </w:r>
            <w:r w:rsidR="001A16F9">
              <w:rPr>
                <w:noProof/>
                <w:webHidden/>
              </w:rPr>
              <w:fldChar w:fldCharType="end"/>
            </w:r>
          </w:hyperlink>
        </w:p>
        <w:p w14:paraId="49C481DA" w14:textId="77777777" w:rsidR="001A16F9" w:rsidRDefault="003F469E">
          <w:pPr>
            <w:pStyle w:val="TOC2"/>
            <w:rPr>
              <w:rFonts w:asciiTheme="minorHAnsi" w:eastAsiaTheme="minorEastAsia" w:hAnsiTheme="minorHAnsi" w:cstheme="minorBidi"/>
              <w:noProof/>
              <w:color w:val="auto"/>
              <w:sz w:val="22"/>
              <w:szCs w:val="22"/>
              <w:lang w:eastAsia="ko-KR"/>
            </w:rPr>
          </w:pPr>
          <w:hyperlink w:anchor="_Toc71547251" w:history="1">
            <w:r w:rsidR="001A16F9" w:rsidRPr="007B56F1">
              <w:rPr>
                <w:rStyle w:val="Hyperlink"/>
                <w:noProof/>
              </w:rPr>
              <w:t>3.4.</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Ratings and Limits</w:t>
            </w:r>
            <w:r w:rsidR="001A16F9">
              <w:rPr>
                <w:noProof/>
                <w:webHidden/>
              </w:rPr>
              <w:tab/>
            </w:r>
            <w:r w:rsidR="001A16F9">
              <w:rPr>
                <w:noProof/>
                <w:webHidden/>
              </w:rPr>
              <w:fldChar w:fldCharType="begin"/>
            </w:r>
            <w:r w:rsidR="001A16F9">
              <w:rPr>
                <w:noProof/>
                <w:webHidden/>
              </w:rPr>
              <w:instrText xml:space="preserve"> PAGEREF _Toc71547251 \h </w:instrText>
            </w:r>
            <w:r w:rsidR="001A16F9">
              <w:rPr>
                <w:noProof/>
                <w:webHidden/>
              </w:rPr>
            </w:r>
            <w:r w:rsidR="001A16F9">
              <w:rPr>
                <w:noProof/>
                <w:webHidden/>
              </w:rPr>
              <w:fldChar w:fldCharType="separate"/>
            </w:r>
            <w:r w:rsidR="001A16F9">
              <w:rPr>
                <w:noProof/>
                <w:webHidden/>
              </w:rPr>
              <w:t>4</w:t>
            </w:r>
            <w:r w:rsidR="001A16F9">
              <w:rPr>
                <w:noProof/>
                <w:webHidden/>
              </w:rPr>
              <w:fldChar w:fldCharType="end"/>
            </w:r>
          </w:hyperlink>
        </w:p>
        <w:p w14:paraId="12B67020" w14:textId="77777777" w:rsidR="001A16F9" w:rsidRDefault="003F469E">
          <w:pPr>
            <w:pStyle w:val="TOC1"/>
            <w:rPr>
              <w:rFonts w:asciiTheme="minorHAnsi" w:eastAsiaTheme="minorEastAsia" w:hAnsiTheme="minorHAnsi" w:cstheme="minorBidi"/>
              <w:noProof/>
              <w:color w:val="auto"/>
              <w:sz w:val="22"/>
              <w:szCs w:val="22"/>
              <w:lang w:eastAsia="ko-KR"/>
            </w:rPr>
          </w:pPr>
          <w:hyperlink w:anchor="_Toc71547252" w:history="1">
            <w:r w:rsidR="001A16F9" w:rsidRPr="007B56F1">
              <w:rPr>
                <w:rStyle w:val="Hyperlink"/>
                <w:noProof/>
              </w:rPr>
              <w:t>4.</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Benchmark and Supplemental GMDVA Process and Method of Study</w:t>
            </w:r>
            <w:r w:rsidR="001A16F9">
              <w:rPr>
                <w:noProof/>
                <w:webHidden/>
              </w:rPr>
              <w:tab/>
            </w:r>
            <w:r w:rsidR="001A16F9">
              <w:rPr>
                <w:noProof/>
                <w:webHidden/>
              </w:rPr>
              <w:fldChar w:fldCharType="begin"/>
            </w:r>
            <w:r w:rsidR="001A16F9">
              <w:rPr>
                <w:noProof/>
                <w:webHidden/>
              </w:rPr>
              <w:instrText xml:space="preserve"> PAGEREF _Toc71547252 \h </w:instrText>
            </w:r>
            <w:r w:rsidR="001A16F9">
              <w:rPr>
                <w:noProof/>
                <w:webHidden/>
              </w:rPr>
            </w:r>
            <w:r w:rsidR="001A16F9">
              <w:rPr>
                <w:noProof/>
                <w:webHidden/>
              </w:rPr>
              <w:fldChar w:fldCharType="separate"/>
            </w:r>
            <w:r w:rsidR="001A16F9">
              <w:rPr>
                <w:noProof/>
                <w:webHidden/>
              </w:rPr>
              <w:t>5</w:t>
            </w:r>
            <w:r w:rsidR="001A16F9">
              <w:rPr>
                <w:noProof/>
                <w:webHidden/>
              </w:rPr>
              <w:fldChar w:fldCharType="end"/>
            </w:r>
          </w:hyperlink>
        </w:p>
        <w:p w14:paraId="7BF82CA0" w14:textId="77777777" w:rsidR="001A16F9" w:rsidRDefault="003F469E">
          <w:pPr>
            <w:pStyle w:val="TOC2"/>
            <w:rPr>
              <w:rFonts w:asciiTheme="minorHAnsi" w:eastAsiaTheme="minorEastAsia" w:hAnsiTheme="minorHAnsi" w:cstheme="minorBidi"/>
              <w:noProof/>
              <w:color w:val="auto"/>
              <w:sz w:val="22"/>
              <w:szCs w:val="22"/>
              <w:lang w:eastAsia="ko-KR"/>
            </w:rPr>
          </w:pPr>
          <w:hyperlink w:anchor="_Toc71547253" w:history="1">
            <w:r w:rsidR="001A16F9" w:rsidRPr="007B56F1">
              <w:rPr>
                <w:rStyle w:val="Hyperlink"/>
                <w:noProof/>
              </w:rPr>
              <w:t>4.1.</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GMDVA Case Preparation</w:t>
            </w:r>
            <w:r w:rsidR="001A16F9">
              <w:rPr>
                <w:noProof/>
                <w:webHidden/>
              </w:rPr>
              <w:tab/>
            </w:r>
            <w:r w:rsidR="001A16F9">
              <w:rPr>
                <w:noProof/>
                <w:webHidden/>
              </w:rPr>
              <w:fldChar w:fldCharType="begin"/>
            </w:r>
            <w:r w:rsidR="001A16F9">
              <w:rPr>
                <w:noProof/>
                <w:webHidden/>
              </w:rPr>
              <w:instrText xml:space="preserve"> PAGEREF _Toc71547253 \h </w:instrText>
            </w:r>
            <w:r w:rsidR="001A16F9">
              <w:rPr>
                <w:noProof/>
                <w:webHidden/>
              </w:rPr>
            </w:r>
            <w:r w:rsidR="001A16F9">
              <w:rPr>
                <w:noProof/>
                <w:webHidden/>
              </w:rPr>
              <w:fldChar w:fldCharType="separate"/>
            </w:r>
            <w:r w:rsidR="001A16F9">
              <w:rPr>
                <w:noProof/>
                <w:webHidden/>
              </w:rPr>
              <w:t>5</w:t>
            </w:r>
            <w:r w:rsidR="001A16F9">
              <w:rPr>
                <w:noProof/>
                <w:webHidden/>
              </w:rPr>
              <w:fldChar w:fldCharType="end"/>
            </w:r>
          </w:hyperlink>
        </w:p>
        <w:p w14:paraId="7AD4EE62" w14:textId="77777777" w:rsidR="001A16F9" w:rsidRDefault="003F469E">
          <w:pPr>
            <w:pStyle w:val="TOC3"/>
            <w:tabs>
              <w:tab w:val="left" w:pos="1320"/>
            </w:tabs>
            <w:rPr>
              <w:rFonts w:asciiTheme="minorHAnsi" w:eastAsiaTheme="minorEastAsia" w:hAnsiTheme="minorHAnsi" w:cstheme="minorBidi"/>
              <w:noProof/>
              <w:color w:val="auto"/>
              <w:sz w:val="22"/>
              <w:szCs w:val="22"/>
              <w:lang w:eastAsia="ko-KR"/>
            </w:rPr>
          </w:pPr>
          <w:hyperlink w:anchor="_Toc71547254" w:history="1">
            <w:r w:rsidR="001A16F9" w:rsidRPr="007B56F1">
              <w:rPr>
                <w:rStyle w:val="Hyperlink"/>
                <w:noProof/>
              </w:rPr>
              <w:t>4.1.1.</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Transformer Thermal Impact Assessment Results</w:t>
            </w:r>
            <w:r w:rsidR="001A16F9">
              <w:rPr>
                <w:noProof/>
                <w:webHidden/>
              </w:rPr>
              <w:tab/>
            </w:r>
            <w:r w:rsidR="001A16F9">
              <w:rPr>
                <w:noProof/>
                <w:webHidden/>
              </w:rPr>
              <w:fldChar w:fldCharType="begin"/>
            </w:r>
            <w:r w:rsidR="001A16F9">
              <w:rPr>
                <w:noProof/>
                <w:webHidden/>
              </w:rPr>
              <w:instrText xml:space="preserve"> PAGEREF _Toc71547254 \h </w:instrText>
            </w:r>
            <w:r w:rsidR="001A16F9">
              <w:rPr>
                <w:noProof/>
                <w:webHidden/>
              </w:rPr>
            </w:r>
            <w:r w:rsidR="001A16F9">
              <w:rPr>
                <w:noProof/>
                <w:webHidden/>
              </w:rPr>
              <w:fldChar w:fldCharType="separate"/>
            </w:r>
            <w:r w:rsidR="001A16F9">
              <w:rPr>
                <w:noProof/>
                <w:webHidden/>
              </w:rPr>
              <w:t>6</w:t>
            </w:r>
            <w:r w:rsidR="001A16F9">
              <w:rPr>
                <w:noProof/>
                <w:webHidden/>
              </w:rPr>
              <w:fldChar w:fldCharType="end"/>
            </w:r>
          </w:hyperlink>
        </w:p>
        <w:p w14:paraId="55CA13F8" w14:textId="77777777" w:rsidR="001A16F9" w:rsidRDefault="003F469E">
          <w:pPr>
            <w:pStyle w:val="TOC3"/>
            <w:tabs>
              <w:tab w:val="left" w:pos="1320"/>
            </w:tabs>
            <w:rPr>
              <w:rFonts w:asciiTheme="minorHAnsi" w:eastAsiaTheme="minorEastAsia" w:hAnsiTheme="minorHAnsi" w:cstheme="minorBidi"/>
              <w:noProof/>
              <w:color w:val="auto"/>
              <w:sz w:val="22"/>
              <w:szCs w:val="22"/>
              <w:lang w:eastAsia="ko-KR"/>
            </w:rPr>
          </w:pPr>
          <w:hyperlink w:anchor="_Toc71547255" w:history="1">
            <w:r w:rsidR="001A16F9" w:rsidRPr="007B56F1">
              <w:rPr>
                <w:rStyle w:val="Hyperlink"/>
                <w:noProof/>
              </w:rPr>
              <w:t>4.1.2.</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Benchmark and Supplemental GMD Event Caused Outages</w:t>
            </w:r>
            <w:r w:rsidR="001A16F9">
              <w:rPr>
                <w:noProof/>
                <w:webHidden/>
              </w:rPr>
              <w:tab/>
            </w:r>
            <w:r w:rsidR="001A16F9">
              <w:rPr>
                <w:noProof/>
                <w:webHidden/>
              </w:rPr>
              <w:fldChar w:fldCharType="begin"/>
            </w:r>
            <w:r w:rsidR="001A16F9">
              <w:rPr>
                <w:noProof/>
                <w:webHidden/>
              </w:rPr>
              <w:instrText xml:space="preserve"> PAGEREF _Toc71547255 \h </w:instrText>
            </w:r>
            <w:r w:rsidR="001A16F9">
              <w:rPr>
                <w:noProof/>
                <w:webHidden/>
              </w:rPr>
            </w:r>
            <w:r w:rsidR="001A16F9">
              <w:rPr>
                <w:noProof/>
                <w:webHidden/>
              </w:rPr>
              <w:fldChar w:fldCharType="separate"/>
            </w:r>
            <w:r w:rsidR="001A16F9">
              <w:rPr>
                <w:noProof/>
                <w:webHidden/>
              </w:rPr>
              <w:t>6</w:t>
            </w:r>
            <w:r w:rsidR="001A16F9">
              <w:rPr>
                <w:noProof/>
                <w:webHidden/>
              </w:rPr>
              <w:fldChar w:fldCharType="end"/>
            </w:r>
          </w:hyperlink>
        </w:p>
        <w:p w14:paraId="446D005D" w14:textId="77777777" w:rsidR="001A16F9" w:rsidRDefault="003F469E">
          <w:pPr>
            <w:pStyle w:val="TOC2"/>
            <w:rPr>
              <w:rFonts w:asciiTheme="minorHAnsi" w:eastAsiaTheme="minorEastAsia" w:hAnsiTheme="minorHAnsi" w:cstheme="minorBidi"/>
              <w:noProof/>
              <w:color w:val="auto"/>
              <w:sz w:val="22"/>
              <w:szCs w:val="22"/>
              <w:lang w:eastAsia="ko-KR"/>
            </w:rPr>
          </w:pPr>
          <w:hyperlink w:anchor="_Toc71547256" w:history="1">
            <w:r w:rsidR="001A16F9" w:rsidRPr="007B56F1">
              <w:rPr>
                <w:rStyle w:val="Hyperlink"/>
                <w:noProof/>
              </w:rPr>
              <w:t>4.2.</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Method of Study</w:t>
            </w:r>
            <w:r w:rsidR="001A16F9">
              <w:rPr>
                <w:noProof/>
                <w:webHidden/>
              </w:rPr>
              <w:tab/>
            </w:r>
            <w:r w:rsidR="001A16F9">
              <w:rPr>
                <w:noProof/>
                <w:webHidden/>
              </w:rPr>
              <w:fldChar w:fldCharType="begin"/>
            </w:r>
            <w:r w:rsidR="001A16F9">
              <w:rPr>
                <w:noProof/>
                <w:webHidden/>
              </w:rPr>
              <w:instrText xml:space="preserve"> PAGEREF _Toc71547256 \h </w:instrText>
            </w:r>
            <w:r w:rsidR="001A16F9">
              <w:rPr>
                <w:noProof/>
                <w:webHidden/>
              </w:rPr>
            </w:r>
            <w:r w:rsidR="001A16F9">
              <w:rPr>
                <w:noProof/>
                <w:webHidden/>
              </w:rPr>
              <w:fldChar w:fldCharType="separate"/>
            </w:r>
            <w:r w:rsidR="001A16F9">
              <w:rPr>
                <w:noProof/>
                <w:webHidden/>
              </w:rPr>
              <w:t>7</w:t>
            </w:r>
            <w:r w:rsidR="001A16F9">
              <w:rPr>
                <w:noProof/>
                <w:webHidden/>
              </w:rPr>
              <w:fldChar w:fldCharType="end"/>
            </w:r>
          </w:hyperlink>
        </w:p>
        <w:p w14:paraId="24B3BF83" w14:textId="77777777" w:rsidR="001A16F9" w:rsidRDefault="003F469E">
          <w:pPr>
            <w:pStyle w:val="TOC3"/>
            <w:tabs>
              <w:tab w:val="left" w:pos="1320"/>
            </w:tabs>
            <w:rPr>
              <w:rFonts w:asciiTheme="minorHAnsi" w:eastAsiaTheme="minorEastAsia" w:hAnsiTheme="minorHAnsi" w:cstheme="minorBidi"/>
              <w:noProof/>
              <w:color w:val="auto"/>
              <w:sz w:val="22"/>
              <w:szCs w:val="22"/>
              <w:lang w:eastAsia="ko-KR"/>
            </w:rPr>
          </w:pPr>
          <w:hyperlink w:anchor="_Toc71547257" w:history="1">
            <w:r w:rsidR="001A16F9" w:rsidRPr="007B56F1">
              <w:rPr>
                <w:rStyle w:val="Hyperlink"/>
                <w:noProof/>
              </w:rPr>
              <w:t>4.2.1.</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Reactive Losses</w:t>
            </w:r>
            <w:r w:rsidR="001A16F9">
              <w:rPr>
                <w:noProof/>
                <w:webHidden/>
              </w:rPr>
              <w:tab/>
            </w:r>
            <w:r w:rsidR="001A16F9">
              <w:rPr>
                <w:noProof/>
                <w:webHidden/>
              </w:rPr>
              <w:fldChar w:fldCharType="begin"/>
            </w:r>
            <w:r w:rsidR="001A16F9">
              <w:rPr>
                <w:noProof/>
                <w:webHidden/>
              </w:rPr>
              <w:instrText xml:space="preserve"> PAGEREF _Toc71547257 \h </w:instrText>
            </w:r>
            <w:r w:rsidR="001A16F9">
              <w:rPr>
                <w:noProof/>
                <w:webHidden/>
              </w:rPr>
            </w:r>
            <w:r w:rsidR="001A16F9">
              <w:rPr>
                <w:noProof/>
                <w:webHidden/>
              </w:rPr>
              <w:fldChar w:fldCharType="separate"/>
            </w:r>
            <w:r w:rsidR="001A16F9">
              <w:rPr>
                <w:noProof/>
                <w:webHidden/>
              </w:rPr>
              <w:t>7</w:t>
            </w:r>
            <w:r w:rsidR="001A16F9">
              <w:rPr>
                <w:noProof/>
                <w:webHidden/>
              </w:rPr>
              <w:fldChar w:fldCharType="end"/>
            </w:r>
          </w:hyperlink>
        </w:p>
        <w:p w14:paraId="1EC6C242" w14:textId="77777777" w:rsidR="001A16F9" w:rsidRDefault="003F469E">
          <w:pPr>
            <w:pStyle w:val="TOC3"/>
            <w:tabs>
              <w:tab w:val="left" w:pos="1320"/>
            </w:tabs>
            <w:rPr>
              <w:rFonts w:asciiTheme="minorHAnsi" w:eastAsiaTheme="minorEastAsia" w:hAnsiTheme="minorHAnsi" w:cstheme="minorBidi"/>
              <w:noProof/>
              <w:color w:val="auto"/>
              <w:sz w:val="22"/>
              <w:szCs w:val="22"/>
              <w:lang w:eastAsia="ko-KR"/>
            </w:rPr>
          </w:pPr>
          <w:hyperlink w:anchor="_Toc71547258" w:history="1">
            <w:r w:rsidR="001A16F9" w:rsidRPr="007B56F1">
              <w:rPr>
                <w:rStyle w:val="Hyperlink"/>
                <w:noProof/>
              </w:rPr>
              <w:t>4.2.2.</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Steady State Voltage Performance Analysis</w:t>
            </w:r>
            <w:r w:rsidR="001A16F9">
              <w:rPr>
                <w:noProof/>
                <w:webHidden/>
              </w:rPr>
              <w:tab/>
            </w:r>
            <w:r w:rsidR="001A16F9">
              <w:rPr>
                <w:noProof/>
                <w:webHidden/>
              </w:rPr>
              <w:fldChar w:fldCharType="begin"/>
            </w:r>
            <w:r w:rsidR="001A16F9">
              <w:rPr>
                <w:noProof/>
                <w:webHidden/>
              </w:rPr>
              <w:instrText xml:space="preserve"> PAGEREF _Toc71547258 \h </w:instrText>
            </w:r>
            <w:r w:rsidR="001A16F9">
              <w:rPr>
                <w:noProof/>
                <w:webHidden/>
              </w:rPr>
            </w:r>
            <w:r w:rsidR="001A16F9">
              <w:rPr>
                <w:noProof/>
                <w:webHidden/>
              </w:rPr>
              <w:fldChar w:fldCharType="separate"/>
            </w:r>
            <w:r w:rsidR="001A16F9">
              <w:rPr>
                <w:noProof/>
                <w:webHidden/>
              </w:rPr>
              <w:t>7</w:t>
            </w:r>
            <w:r w:rsidR="001A16F9">
              <w:rPr>
                <w:noProof/>
                <w:webHidden/>
              </w:rPr>
              <w:fldChar w:fldCharType="end"/>
            </w:r>
          </w:hyperlink>
        </w:p>
        <w:p w14:paraId="4A172442" w14:textId="77777777" w:rsidR="001A16F9" w:rsidRDefault="003F469E">
          <w:pPr>
            <w:pStyle w:val="TOC3"/>
            <w:tabs>
              <w:tab w:val="left" w:pos="1320"/>
            </w:tabs>
            <w:rPr>
              <w:rFonts w:asciiTheme="minorHAnsi" w:eastAsiaTheme="minorEastAsia" w:hAnsiTheme="minorHAnsi" w:cstheme="minorBidi"/>
              <w:noProof/>
              <w:color w:val="auto"/>
              <w:sz w:val="22"/>
              <w:szCs w:val="22"/>
              <w:lang w:eastAsia="ko-KR"/>
            </w:rPr>
          </w:pPr>
          <w:hyperlink w:anchor="_Toc71547259" w:history="1">
            <w:r w:rsidR="001A16F9" w:rsidRPr="007B56F1">
              <w:rPr>
                <w:rStyle w:val="Hyperlink"/>
                <w:noProof/>
              </w:rPr>
              <w:t>4.2.3.</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Cascading Analysis</w:t>
            </w:r>
            <w:r w:rsidR="001A16F9">
              <w:rPr>
                <w:noProof/>
                <w:webHidden/>
              </w:rPr>
              <w:tab/>
            </w:r>
            <w:r w:rsidR="001A16F9">
              <w:rPr>
                <w:noProof/>
                <w:webHidden/>
              </w:rPr>
              <w:fldChar w:fldCharType="begin"/>
            </w:r>
            <w:r w:rsidR="001A16F9">
              <w:rPr>
                <w:noProof/>
                <w:webHidden/>
              </w:rPr>
              <w:instrText xml:space="preserve"> PAGEREF _Toc71547259 \h </w:instrText>
            </w:r>
            <w:r w:rsidR="001A16F9">
              <w:rPr>
                <w:noProof/>
                <w:webHidden/>
              </w:rPr>
            </w:r>
            <w:r w:rsidR="001A16F9">
              <w:rPr>
                <w:noProof/>
                <w:webHidden/>
              </w:rPr>
              <w:fldChar w:fldCharType="separate"/>
            </w:r>
            <w:r w:rsidR="001A16F9">
              <w:rPr>
                <w:noProof/>
                <w:webHidden/>
              </w:rPr>
              <w:t>7</w:t>
            </w:r>
            <w:r w:rsidR="001A16F9">
              <w:rPr>
                <w:noProof/>
                <w:webHidden/>
              </w:rPr>
              <w:fldChar w:fldCharType="end"/>
            </w:r>
          </w:hyperlink>
        </w:p>
        <w:p w14:paraId="74D6E059" w14:textId="77777777" w:rsidR="001A16F9" w:rsidRDefault="003F469E">
          <w:pPr>
            <w:pStyle w:val="TOC1"/>
            <w:rPr>
              <w:rFonts w:asciiTheme="minorHAnsi" w:eastAsiaTheme="minorEastAsia" w:hAnsiTheme="minorHAnsi" w:cstheme="minorBidi"/>
              <w:noProof/>
              <w:color w:val="auto"/>
              <w:sz w:val="22"/>
              <w:szCs w:val="22"/>
              <w:lang w:eastAsia="ko-KR"/>
            </w:rPr>
          </w:pPr>
          <w:hyperlink w:anchor="_Toc71547260" w:history="1">
            <w:r w:rsidR="001A16F9" w:rsidRPr="007B56F1">
              <w:rPr>
                <w:rStyle w:val="Hyperlink"/>
                <w:noProof/>
              </w:rPr>
              <w:t>5.</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Corrective Action Plans</w:t>
            </w:r>
            <w:r w:rsidR="001A16F9">
              <w:rPr>
                <w:noProof/>
                <w:webHidden/>
              </w:rPr>
              <w:tab/>
            </w:r>
            <w:r w:rsidR="001A16F9">
              <w:rPr>
                <w:noProof/>
                <w:webHidden/>
              </w:rPr>
              <w:fldChar w:fldCharType="begin"/>
            </w:r>
            <w:r w:rsidR="001A16F9">
              <w:rPr>
                <w:noProof/>
                <w:webHidden/>
              </w:rPr>
              <w:instrText xml:space="preserve"> PAGEREF _Toc71547260 \h </w:instrText>
            </w:r>
            <w:r w:rsidR="001A16F9">
              <w:rPr>
                <w:noProof/>
                <w:webHidden/>
              </w:rPr>
            </w:r>
            <w:r w:rsidR="001A16F9">
              <w:rPr>
                <w:noProof/>
                <w:webHidden/>
              </w:rPr>
              <w:fldChar w:fldCharType="separate"/>
            </w:r>
            <w:r w:rsidR="001A16F9">
              <w:rPr>
                <w:noProof/>
                <w:webHidden/>
              </w:rPr>
              <w:t>8</w:t>
            </w:r>
            <w:r w:rsidR="001A16F9">
              <w:rPr>
                <w:noProof/>
                <w:webHidden/>
              </w:rPr>
              <w:fldChar w:fldCharType="end"/>
            </w:r>
          </w:hyperlink>
        </w:p>
        <w:p w14:paraId="7269B781" w14:textId="77777777" w:rsidR="001A16F9" w:rsidRDefault="003F469E">
          <w:pPr>
            <w:pStyle w:val="TOC2"/>
            <w:rPr>
              <w:rFonts w:asciiTheme="minorHAnsi" w:eastAsiaTheme="minorEastAsia" w:hAnsiTheme="minorHAnsi" w:cstheme="minorBidi"/>
              <w:noProof/>
              <w:color w:val="auto"/>
              <w:sz w:val="22"/>
              <w:szCs w:val="22"/>
              <w:lang w:eastAsia="ko-KR"/>
            </w:rPr>
          </w:pPr>
          <w:hyperlink w:anchor="_Toc71547261" w:history="1">
            <w:r w:rsidR="001A16F9" w:rsidRPr="007B56F1">
              <w:rPr>
                <w:rStyle w:val="Hyperlink"/>
                <w:noProof/>
              </w:rPr>
              <w:t>5.1.</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Identifying CAPs</w:t>
            </w:r>
            <w:r w:rsidR="001A16F9">
              <w:rPr>
                <w:noProof/>
                <w:webHidden/>
              </w:rPr>
              <w:tab/>
            </w:r>
            <w:r w:rsidR="001A16F9">
              <w:rPr>
                <w:noProof/>
                <w:webHidden/>
              </w:rPr>
              <w:fldChar w:fldCharType="begin"/>
            </w:r>
            <w:r w:rsidR="001A16F9">
              <w:rPr>
                <w:noProof/>
                <w:webHidden/>
              </w:rPr>
              <w:instrText xml:space="preserve"> PAGEREF _Toc71547261 \h </w:instrText>
            </w:r>
            <w:r w:rsidR="001A16F9">
              <w:rPr>
                <w:noProof/>
                <w:webHidden/>
              </w:rPr>
            </w:r>
            <w:r w:rsidR="001A16F9">
              <w:rPr>
                <w:noProof/>
                <w:webHidden/>
              </w:rPr>
              <w:fldChar w:fldCharType="separate"/>
            </w:r>
            <w:r w:rsidR="001A16F9">
              <w:rPr>
                <w:noProof/>
                <w:webHidden/>
              </w:rPr>
              <w:t>8</w:t>
            </w:r>
            <w:r w:rsidR="001A16F9">
              <w:rPr>
                <w:noProof/>
                <w:webHidden/>
              </w:rPr>
              <w:fldChar w:fldCharType="end"/>
            </w:r>
          </w:hyperlink>
        </w:p>
        <w:p w14:paraId="5CB1D5C2" w14:textId="77777777" w:rsidR="001A16F9" w:rsidRDefault="003F469E">
          <w:pPr>
            <w:pStyle w:val="TOC1"/>
            <w:rPr>
              <w:rFonts w:asciiTheme="minorHAnsi" w:eastAsiaTheme="minorEastAsia" w:hAnsiTheme="minorHAnsi" w:cstheme="minorBidi"/>
              <w:noProof/>
              <w:color w:val="auto"/>
              <w:sz w:val="22"/>
              <w:szCs w:val="22"/>
              <w:lang w:eastAsia="ko-KR"/>
            </w:rPr>
          </w:pPr>
          <w:hyperlink w:anchor="_Toc71547262" w:history="1">
            <w:r w:rsidR="001A16F9" w:rsidRPr="007B56F1">
              <w:rPr>
                <w:rStyle w:val="Hyperlink"/>
                <w:noProof/>
              </w:rPr>
              <w:t>6.</w:t>
            </w:r>
            <w:r w:rsidR="001A16F9">
              <w:rPr>
                <w:rFonts w:asciiTheme="minorHAnsi" w:eastAsiaTheme="minorEastAsia" w:hAnsiTheme="minorHAnsi" w:cstheme="minorBidi"/>
                <w:noProof/>
                <w:color w:val="auto"/>
                <w:sz w:val="22"/>
                <w:szCs w:val="22"/>
                <w:lang w:eastAsia="ko-KR"/>
              </w:rPr>
              <w:tab/>
            </w:r>
            <w:r w:rsidR="001A16F9" w:rsidRPr="007B56F1">
              <w:rPr>
                <w:rStyle w:val="Hyperlink"/>
                <w:noProof/>
              </w:rPr>
              <w:t>Deliverables</w:t>
            </w:r>
            <w:r w:rsidR="001A16F9">
              <w:rPr>
                <w:noProof/>
                <w:webHidden/>
              </w:rPr>
              <w:tab/>
            </w:r>
            <w:r w:rsidR="001A16F9">
              <w:rPr>
                <w:noProof/>
                <w:webHidden/>
              </w:rPr>
              <w:fldChar w:fldCharType="begin"/>
            </w:r>
            <w:r w:rsidR="001A16F9">
              <w:rPr>
                <w:noProof/>
                <w:webHidden/>
              </w:rPr>
              <w:instrText xml:space="preserve"> PAGEREF _Toc71547262 \h </w:instrText>
            </w:r>
            <w:r w:rsidR="001A16F9">
              <w:rPr>
                <w:noProof/>
                <w:webHidden/>
              </w:rPr>
            </w:r>
            <w:r w:rsidR="001A16F9">
              <w:rPr>
                <w:noProof/>
                <w:webHidden/>
              </w:rPr>
              <w:fldChar w:fldCharType="separate"/>
            </w:r>
            <w:r w:rsidR="001A16F9">
              <w:rPr>
                <w:noProof/>
                <w:webHidden/>
              </w:rPr>
              <w:t>9</w:t>
            </w:r>
            <w:r w:rsidR="001A16F9">
              <w:rPr>
                <w:noProof/>
                <w:webHidden/>
              </w:rPr>
              <w:fldChar w:fldCharType="end"/>
            </w:r>
          </w:hyperlink>
        </w:p>
        <w:p w14:paraId="3E0DA748" w14:textId="5E3164AA" w:rsidR="00B762E1" w:rsidRDefault="00B762E1">
          <w:r>
            <w:rPr>
              <w:b/>
              <w:bCs/>
              <w:noProof/>
            </w:rPr>
            <w:fldChar w:fldCharType="end"/>
          </w:r>
        </w:p>
      </w:sdtContent>
    </w:sdt>
    <w:p w14:paraId="147AF57B" w14:textId="77777777" w:rsidR="00D94505" w:rsidRDefault="00D94505" w:rsidP="000C15E1">
      <w:pPr>
        <w:widowControl w:val="0"/>
        <w:rPr>
          <w:noProof/>
          <w:color w:val="5B6770" w:themeColor="accent2"/>
          <w:sz w:val="21"/>
        </w:rPr>
      </w:pPr>
      <w:r>
        <w:br w:type="page"/>
      </w:r>
    </w:p>
    <w:p w14:paraId="147AF57C" w14:textId="61AA2BDD" w:rsidR="00D94505" w:rsidRDefault="00D368E3" w:rsidP="000C15E1">
      <w:pPr>
        <w:pStyle w:val="EPHeading1"/>
        <w:widowControl w:val="0"/>
      </w:pPr>
      <w:bookmarkStart w:id="1" w:name="_Toc71547245"/>
      <w:r>
        <w:lastRenderedPageBreak/>
        <w:t>Introduction</w:t>
      </w:r>
      <w:bookmarkEnd w:id="1"/>
    </w:p>
    <w:p w14:paraId="147AF57E" w14:textId="03C519B2" w:rsidR="00E77059" w:rsidRDefault="00AD7601" w:rsidP="00AD7601">
      <w:pPr>
        <w:jc w:val="both"/>
      </w:pPr>
      <w:r w:rsidRPr="00626872">
        <w:t xml:space="preserve">The </w:t>
      </w:r>
      <w:r w:rsidR="00AE5CBA">
        <w:t>B</w:t>
      </w:r>
      <w:r w:rsidR="00DA5FD8">
        <w:t>enchmark</w:t>
      </w:r>
      <w:r w:rsidR="008960C7">
        <w:t xml:space="preserve"> and Supplemental</w:t>
      </w:r>
      <w:r w:rsidR="00DA5FD8">
        <w:t xml:space="preserve"> </w:t>
      </w:r>
      <w:r w:rsidRPr="00626872">
        <w:t>Geomagnetic Disturbance Vulnerability Assessment</w:t>
      </w:r>
      <w:r w:rsidR="008960C7">
        <w:t>s</w:t>
      </w:r>
      <w:r w:rsidRPr="00626872">
        <w:t xml:space="preserve"> </w:t>
      </w:r>
      <w:r w:rsidR="001036BE">
        <w:t xml:space="preserve">(GMDVA) </w:t>
      </w:r>
      <w:r w:rsidR="008960C7">
        <w:t>are</w:t>
      </w:r>
      <w:r w:rsidRPr="00626872">
        <w:t xml:space="preserve"> the result of a coordinated planning process, performed by ERCOT </w:t>
      </w:r>
      <w:r w:rsidR="00430CB8">
        <w:t>System Planning</w:t>
      </w:r>
      <w:r w:rsidRPr="00626872">
        <w:t xml:space="preserve"> with review and input by NERC registered Transmission Planners (TPs), Transmission Owners (TOs), Generator Owners (GOs)</w:t>
      </w:r>
      <w:r w:rsidR="001036BE">
        <w:t>,</w:t>
      </w:r>
      <w:r w:rsidRPr="00626872">
        <w:t xml:space="preserve"> and other stakeholders. This process produces a region-wide </w:t>
      </w:r>
      <w:r w:rsidR="00DA5FD8">
        <w:t xml:space="preserve">GMDVA </w:t>
      </w:r>
      <w:r w:rsidRPr="00626872">
        <w:t xml:space="preserve">of the transmission system in accordance with </w:t>
      </w:r>
      <w:r w:rsidR="00AE5CBA">
        <w:t xml:space="preserve">the requirements of </w:t>
      </w:r>
      <w:r w:rsidRPr="00626872">
        <w:t xml:space="preserve">NERC </w:t>
      </w:r>
      <w:r w:rsidR="00AE5CBA">
        <w:t>Reliability Standard TPL-007</w:t>
      </w:r>
      <w:r w:rsidR="003F469E">
        <w:t>-4</w:t>
      </w:r>
      <w:r w:rsidR="00AE5CBA">
        <w:t xml:space="preserve"> </w:t>
      </w:r>
      <w:r w:rsidRPr="00626872">
        <w:t xml:space="preserve">and </w:t>
      </w:r>
      <w:r w:rsidR="00AE5CBA">
        <w:t xml:space="preserve">the </w:t>
      </w:r>
      <w:r w:rsidRPr="00626872">
        <w:t xml:space="preserve">ERCOT </w:t>
      </w:r>
      <w:r w:rsidR="00AE5CBA">
        <w:t>Planning Guide</w:t>
      </w:r>
      <w:r w:rsidRPr="00626872">
        <w:t>. The 20</w:t>
      </w:r>
      <w:r>
        <w:t>2</w:t>
      </w:r>
      <w:r w:rsidR="00B75120">
        <w:t>1</w:t>
      </w:r>
      <w:r w:rsidRPr="00626872">
        <w:t xml:space="preserve"> </w:t>
      </w:r>
      <w:r w:rsidR="008960C7">
        <w:t xml:space="preserve">Benchmark and Supplemental </w:t>
      </w:r>
      <w:r w:rsidR="00DA5FD8">
        <w:t xml:space="preserve">GMDVA </w:t>
      </w:r>
      <w:r w:rsidRPr="00626872">
        <w:t>Scope and Process document captures the scope for planning studies conducted as part of</w:t>
      </w:r>
      <w:r w:rsidR="008960C7">
        <w:t xml:space="preserve"> both</w:t>
      </w:r>
      <w:r w:rsidRPr="00626872">
        <w:t xml:space="preserve"> the 20</w:t>
      </w:r>
      <w:r w:rsidR="008960C7">
        <w:t>21</w:t>
      </w:r>
      <w:r w:rsidRPr="00626872">
        <w:t xml:space="preserve"> </w:t>
      </w:r>
      <w:r>
        <w:t>ERCOT Benchmark</w:t>
      </w:r>
      <w:r w:rsidR="008960C7">
        <w:t xml:space="preserve"> and Supplemental</w:t>
      </w:r>
      <w:r w:rsidR="00DA5FD8">
        <w:t xml:space="preserve"> GMDVA</w:t>
      </w:r>
      <w:r w:rsidR="008960C7">
        <w:t>s</w:t>
      </w:r>
      <w:r w:rsidRPr="00626872">
        <w:t>. This document also briefly describes the process and various deliverables applicabl</w:t>
      </w:r>
      <w:bookmarkStart w:id="2" w:name="_GoBack"/>
      <w:bookmarkEnd w:id="2"/>
      <w:r w:rsidRPr="00626872">
        <w:t xml:space="preserve">e </w:t>
      </w:r>
      <w:r>
        <w:t>to</w:t>
      </w:r>
      <w:r w:rsidRPr="00626872">
        <w:t xml:space="preserve"> the 20</w:t>
      </w:r>
      <w:r w:rsidR="008960C7">
        <w:t>2</w:t>
      </w:r>
      <w:r w:rsidR="00B75120">
        <w:t>1</w:t>
      </w:r>
      <w:r>
        <w:t xml:space="preserve"> ERCOT Benchmark</w:t>
      </w:r>
      <w:r w:rsidR="008960C7">
        <w:t xml:space="preserve"> and Supplemental</w:t>
      </w:r>
      <w:r w:rsidR="00B76824">
        <w:t xml:space="preserve"> </w:t>
      </w:r>
      <w:r w:rsidR="00DA5FD8">
        <w:t>GMDVA</w:t>
      </w:r>
      <w:r w:rsidR="008960C7">
        <w:t>s</w:t>
      </w:r>
      <w:r w:rsidRPr="00626872">
        <w:t>.</w:t>
      </w:r>
    </w:p>
    <w:p w14:paraId="335CF702" w14:textId="7C1EFF89" w:rsidR="000C64B0" w:rsidRDefault="000C64B0" w:rsidP="000C64B0">
      <w:pPr>
        <w:pStyle w:val="EPHeading1"/>
        <w:widowControl w:val="0"/>
      </w:pPr>
      <w:bookmarkStart w:id="3" w:name="_Toc71547246"/>
      <w:r>
        <w:t>Scope</w:t>
      </w:r>
      <w:bookmarkEnd w:id="3"/>
    </w:p>
    <w:p w14:paraId="3A02B65C" w14:textId="0FFFF153" w:rsidR="000C64B0" w:rsidRPr="00F41F69" w:rsidRDefault="00AB07EA" w:rsidP="006872BC">
      <w:pPr>
        <w:jc w:val="both"/>
      </w:pPr>
      <w:bookmarkStart w:id="4" w:name="_Toc43729866"/>
      <w:r>
        <w:t>The 202</w:t>
      </w:r>
      <w:r w:rsidR="00B75120">
        <w:t>1</w:t>
      </w:r>
      <w:r w:rsidR="000C64B0" w:rsidRPr="00F41F69">
        <w:t xml:space="preserve"> ERCOT Benchmark</w:t>
      </w:r>
      <w:r w:rsidR="008960C7">
        <w:t xml:space="preserve"> and Supplemental</w:t>
      </w:r>
      <w:r w:rsidR="000C64B0" w:rsidRPr="00F41F69">
        <w:t xml:space="preserve"> </w:t>
      </w:r>
      <w:r w:rsidR="008B778D">
        <w:t>GMDVA</w:t>
      </w:r>
      <w:r w:rsidR="008960C7">
        <w:t>s</w:t>
      </w:r>
      <w:r w:rsidR="008B778D">
        <w:t xml:space="preserve"> </w:t>
      </w:r>
      <w:r w:rsidR="00D271E3" w:rsidRPr="00F41F69">
        <w:t xml:space="preserve">shall identify reliability needs and Corrective Action Plans (CAPs) to meet those needs per </w:t>
      </w:r>
      <w:r w:rsidR="008B778D">
        <w:t xml:space="preserve">applicable performance </w:t>
      </w:r>
      <w:r w:rsidR="00AD7601" w:rsidRPr="00F41F69">
        <w:t>criteria in the ERCOT Planning Guide and</w:t>
      </w:r>
      <w:r w:rsidR="00D271E3" w:rsidRPr="00F41F69">
        <w:t xml:space="preserve"> the NERC TPL-007</w:t>
      </w:r>
      <w:r w:rsidR="00983148">
        <w:t>-4</w:t>
      </w:r>
      <w:r w:rsidR="00AD7601" w:rsidRPr="00F41F69">
        <w:t xml:space="preserve"> reliability</w:t>
      </w:r>
      <w:r w:rsidR="00D271E3" w:rsidRPr="00F41F69">
        <w:t xml:space="preserve"> standard</w:t>
      </w:r>
      <w:r w:rsidR="002944B8" w:rsidRPr="00F41F69">
        <w:t>.</w:t>
      </w:r>
      <w:bookmarkEnd w:id="4"/>
    </w:p>
    <w:p w14:paraId="1288CC51" w14:textId="77777777" w:rsidR="006746D9" w:rsidRDefault="000776D5" w:rsidP="006872BC">
      <w:pPr>
        <w:jc w:val="both"/>
      </w:pPr>
      <w:r>
        <w:tab/>
      </w:r>
      <w:bookmarkStart w:id="5" w:name="_Toc43729867"/>
    </w:p>
    <w:p w14:paraId="380F54A2" w14:textId="0FBE8A7B" w:rsidR="00F41F69" w:rsidRDefault="000776D5" w:rsidP="00EC5097">
      <w:pPr>
        <w:jc w:val="both"/>
      </w:pPr>
      <w:r>
        <w:t xml:space="preserve">The </w:t>
      </w:r>
      <w:r w:rsidR="00A21EC6">
        <w:t>202</w:t>
      </w:r>
      <w:r w:rsidR="00B75120">
        <w:t>1</w:t>
      </w:r>
      <w:r w:rsidR="00A21EC6">
        <w:t xml:space="preserve"> Benchmark</w:t>
      </w:r>
      <w:r w:rsidR="008960C7">
        <w:t xml:space="preserve"> and Supplemental</w:t>
      </w:r>
      <w:r w:rsidR="00A21EC6">
        <w:t xml:space="preserve"> GMD</w:t>
      </w:r>
      <w:r w:rsidR="00095F44">
        <w:t>VA</w:t>
      </w:r>
      <w:r w:rsidR="008960C7">
        <w:t>s</w:t>
      </w:r>
      <w:r w:rsidR="00095F44">
        <w:t xml:space="preserve"> </w:t>
      </w:r>
      <w:r w:rsidR="00F41F69" w:rsidRPr="00F41F69">
        <w:t>will be based on the following</w:t>
      </w:r>
      <w:r w:rsidR="009E7F53">
        <w:t xml:space="preserve"> </w:t>
      </w:r>
      <w:r w:rsidR="00F41F69" w:rsidRPr="00F41F69">
        <w:t>cases</w:t>
      </w:r>
      <w:r w:rsidR="009E7F53">
        <w:t xml:space="preserve"> of the final </w:t>
      </w:r>
      <w:proofErr w:type="spellStart"/>
      <w:r w:rsidR="00A174CC">
        <w:t>G</w:t>
      </w:r>
      <w:r w:rsidR="00516DFB">
        <w:t>eomagnetically</w:t>
      </w:r>
      <w:proofErr w:type="spellEnd"/>
      <w:r w:rsidR="00A174CC">
        <w:t>-I</w:t>
      </w:r>
      <w:r w:rsidR="00516DFB">
        <w:t xml:space="preserve">nduced </w:t>
      </w:r>
      <w:r w:rsidR="00A174CC">
        <w:t>C</w:t>
      </w:r>
      <w:r w:rsidR="00516DFB">
        <w:t>urrent (</w:t>
      </w:r>
      <w:r w:rsidR="009E7F53">
        <w:t>GIC</w:t>
      </w:r>
      <w:r w:rsidR="00516DFB">
        <w:t>)</w:t>
      </w:r>
      <w:r w:rsidR="009E7F53">
        <w:t xml:space="preserve"> System models </w:t>
      </w:r>
      <w:r w:rsidR="009E7F53" w:rsidRPr="00A671DF">
        <w:t>(both the GIC AC model and GIC DC model)</w:t>
      </w:r>
      <w:r w:rsidR="00966334">
        <w:t xml:space="preserve"> that were posted to the MIS Secure area</w:t>
      </w:r>
      <w:r w:rsidR="00F41F69" w:rsidRPr="00F41F69">
        <w:t>:</w:t>
      </w:r>
      <w:bookmarkEnd w:id="5"/>
    </w:p>
    <w:p w14:paraId="1B8B38FF" w14:textId="77777777" w:rsidR="000D08E0" w:rsidRPr="00F41F69" w:rsidRDefault="000D08E0" w:rsidP="006872BC">
      <w:pPr>
        <w:ind w:firstLine="720"/>
        <w:jc w:val="both"/>
      </w:pPr>
    </w:p>
    <w:p w14:paraId="1C47EE0E" w14:textId="404B8A80" w:rsidR="00F41F69" w:rsidRPr="00F41F69" w:rsidRDefault="00F41F69" w:rsidP="006872BC">
      <w:pPr>
        <w:pStyle w:val="ListParagraph"/>
        <w:numPr>
          <w:ilvl w:val="0"/>
          <w:numId w:val="21"/>
        </w:numPr>
        <w:jc w:val="both"/>
      </w:pPr>
      <w:bookmarkStart w:id="6" w:name="_Toc43729868"/>
      <w:r w:rsidRPr="00F41F69">
        <w:t>2022 Summer peak load case</w:t>
      </w:r>
      <w:bookmarkEnd w:id="6"/>
    </w:p>
    <w:p w14:paraId="6F9D3ED4" w14:textId="2D0D1D27" w:rsidR="00F41F69" w:rsidRPr="00F41F69" w:rsidRDefault="000776D5" w:rsidP="006872BC">
      <w:pPr>
        <w:pStyle w:val="ListParagraph"/>
        <w:numPr>
          <w:ilvl w:val="0"/>
          <w:numId w:val="21"/>
        </w:numPr>
        <w:jc w:val="both"/>
      </w:pPr>
      <w:bookmarkStart w:id="7" w:name="_Toc43729869"/>
      <w:r>
        <w:t xml:space="preserve">2022 </w:t>
      </w:r>
      <w:r w:rsidR="00F41F69" w:rsidRPr="00F41F69">
        <w:t>Minimum load case</w:t>
      </w:r>
      <w:bookmarkEnd w:id="7"/>
    </w:p>
    <w:p w14:paraId="5F2C3914" w14:textId="77777777" w:rsidR="006746D9" w:rsidRDefault="006746D9" w:rsidP="006872BC">
      <w:pPr>
        <w:jc w:val="both"/>
      </w:pPr>
      <w:bookmarkStart w:id="8" w:name="_Toc43729870"/>
    </w:p>
    <w:p w14:paraId="435E42AE" w14:textId="76B310B0" w:rsidR="00D62570" w:rsidRDefault="00D62570" w:rsidP="006872BC">
      <w:pPr>
        <w:jc w:val="both"/>
      </w:pPr>
      <w:r>
        <w:t>To the extent practical, CAPs identified in</w:t>
      </w:r>
      <w:r w:rsidR="00AB07EA">
        <w:t xml:space="preserve"> both the 202</w:t>
      </w:r>
      <w:r w:rsidR="00B75120">
        <w:t>1</w:t>
      </w:r>
      <w:r>
        <w:t xml:space="preserve"> Benchmark</w:t>
      </w:r>
      <w:r w:rsidR="008960C7">
        <w:t xml:space="preserve"> and Supplemental </w:t>
      </w:r>
      <w:r w:rsidR="008B778D">
        <w:t>GMDVA</w:t>
      </w:r>
      <w:r w:rsidR="008960C7">
        <w:t>s</w:t>
      </w:r>
      <w:r w:rsidR="008B778D">
        <w:t xml:space="preserve"> </w:t>
      </w:r>
      <w:r>
        <w:t>will be based on consensus between ERCOT and th</w:t>
      </w:r>
      <w:r w:rsidR="004632AF">
        <w:t xml:space="preserve">e </w:t>
      </w:r>
      <w:r>
        <w:t>T</w:t>
      </w:r>
      <w:r w:rsidR="00516DFB">
        <w:t>S</w:t>
      </w:r>
      <w:r>
        <w:t>Ps</w:t>
      </w:r>
      <w:r w:rsidR="00516DFB">
        <w:t xml:space="preserve"> and Resource Entities</w:t>
      </w:r>
      <w:r>
        <w:t xml:space="preserve"> with input from other market participants.</w:t>
      </w:r>
      <w:bookmarkEnd w:id="8"/>
    </w:p>
    <w:p w14:paraId="65789D02" w14:textId="77777777" w:rsidR="006746D9" w:rsidRDefault="006746D9" w:rsidP="006872BC">
      <w:pPr>
        <w:jc w:val="both"/>
      </w:pPr>
      <w:bookmarkStart w:id="9" w:name="_Toc43729871"/>
    </w:p>
    <w:p w14:paraId="167F5C2C" w14:textId="7E321054" w:rsidR="00A21EC6" w:rsidRPr="00A21EC6" w:rsidRDefault="00A21EC6" w:rsidP="006872BC">
      <w:pPr>
        <w:jc w:val="both"/>
      </w:pPr>
      <w:r>
        <w:t xml:space="preserve">Start cases and assessment results will be made available for review via </w:t>
      </w:r>
      <w:r w:rsidR="00D5434E">
        <w:t xml:space="preserve">the </w:t>
      </w:r>
      <w:r w:rsidR="00FD725D">
        <w:t>MIS Secure</w:t>
      </w:r>
      <w:r w:rsidR="00D558BD">
        <w:t xml:space="preserve"> Area</w:t>
      </w:r>
      <w:r w:rsidR="00573102">
        <w:t xml:space="preserve"> and </w:t>
      </w:r>
      <w:r w:rsidR="00D558BD">
        <w:t xml:space="preserve">the MIS </w:t>
      </w:r>
      <w:r w:rsidR="00573102">
        <w:t>Certified</w:t>
      </w:r>
      <w:r w:rsidR="00D5434E">
        <w:t xml:space="preserve"> </w:t>
      </w:r>
      <w:r w:rsidR="00D558BD">
        <w:t>A</w:t>
      </w:r>
      <w:r w:rsidR="00D5434E">
        <w:t>rea</w:t>
      </w:r>
      <w:r w:rsidR="00D558BD">
        <w:t xml:space="preserve"> for </w:t>
      </w:r>
      <w:proofErr w:type="spellStart"/>
      <w:r w:rsidR="00D558BD">
        <w:t>TSPs</w:t>
      </w:r>
      <w:r>
        <w:t>.</w:t>
      </w:r>
      <w:bookmarkEnd w:id="9"/>
      <w:proofErr w:type="spellEnd"/>
    </w:p>
    <w:p w14:paraId="19FDAF77" w14:textId="0004D201" w:rsidR="00F41F69" w:rsidRDefault="000C64B0" w:rsidP="00F41F69">
      <w:pPr>
        <w:pStyle w:val="EPHeading1"/>
        <w:widowControl w:val="0"/>
      </w:pPr>
      <w:bookmarkStart w:id="10" w:name="_Toc71547247"/>
      <w:r>
        <w:t>Input Assumptions</w:t>
      </w:r>
      <w:bookmarkEnd w:id="10"/>
    </w:p>
    <w:p w14:paraId="04E8ECF6" w14:textId="7C12EC4E" w:rsidR="00A21EC6" w:rsidRDefault="00F96FD5" w:rsidP="00A21EC6">
      <w:pPr>
        <w:pStyle w:val="Heading2"/>
        <w:numPr>
          <w:ilvl w:val="1"/>
          <w:numId w:val="1"/>
        </w:numPr>
      </w:pPr>
      <w:bookmarkStart w:id="11" w:name="_Toc71547248"/>
      <w:r>
        <w:t>Benchmark</w:t>
      </w:r>
      <w:r w:rsidR="008960C7">
        <w:t xml:space="preserve"> and Supplemental</w:t>
      </w:r>
      <w:r>
        <w:t xml:space="preserve"> GMDVA </w:t>
      </w:r>
      <w:r w:rsidR="00A21EC6">
        <w:t>Start Case</w:t>
      </w:r>
      <w:bookmarkEnd w:id="11"/>
    </w:p>
    <w:p w14:paraId="76D7499E" w14:textId="131D40B9" w:rsidR="00A21EC6" w:rsidRPr="00F576EC" w:rsidRDefault="00A21EC6" w:rsidP="00D62570">
      <w:pPr>
        <w:jc w:val="both"/>
      </w:pPr>
      <w:r>
        <w:t>The 2022 Summer Peak and Minimum Load GIC</w:t>
      </w:r>
      <w:r w:rsidR="00CB2222">
        <w:t xml:space="preserve"> System</w:t>
      </w:r>
      <w:r>
        <w:t xml:space="preserve"> models developed by the ERCOT Planning Geomagnetic Disturbance Task Force (PGDTF) will be used as the starting cases for the Benchmark</w:t>
      </w:r>
      <w:r w:rsidR="008960C7">
        <w:t xml:space="preserve"> and Supplemental</w:t>
      </w:r>
      <w:r>
        <w:t xml:space="preserve"> </w:t>
      </w:r>
      <w:r w:rsidR="008B778D">
        <w:t>GMDVA</w:t>
      </w:r>
      <w:r w:rsidR="008960C7">
        <w:t>s</w:t>
      </w:r>
      <w:r>
        <w:t>.</w:t>
      </w:r>
      <w:r w:rsidR="000776D5">
        <w:t xml:space="preserve"> </w:t>
      </w:r>
    </w:p>
    <w:p w14:paraId="3C3031B4" w14:textId="056BC452" w:rsidR="00A21EC6" w:rsidRDefault="00FD725D" w:rsidP="00A21EC6">
      <w:pPr>
        <w:pStyle w:val="Heading2"/>
        <w:numPr>
          <w:ilvl w:val="1"/>
          <w:numId w:val="1"/>
        </w:numPr>
      </w:pPr>
      <w:bookmarkStart w:id="12" w:name="_Toc71547249"/>
      <w:r>
        <w:t>GMD Event</w:t>
      </w:r>
      <w:bookmarkEnd w:id="12"/>
    </w:p>
    <w:p w14:paraId="1FEF913F" w14:textId="2EE3C172" w:rsidR="00A21EC6" w:rsidRDefault="00D558BD" w:rsidP="00D62570">
      <w:pPr>
        <w:jc w:val="both"/>
      </w:pPr>
      <w:r>
        <w:t xml:space="preserve">A </w:t>
      </w:r>
      <w:r w:rsidR="00D62570">
        <w:t xml:space="preserve">reference peak </w:t>
      </w:r>
      <w:proofErr w:type="spellStart"/>
      <w:r w:rsidR="00D62570">
        <w:t>geoelectric</w:t>
      </w:r>
      <w:proofErr w:type="spellEnd"/>
      <w:r w:rsidR="00D62570">
        <w:t xml:space="preserve"> field amplitude of 8 V/km will be used in the GMD simulations for the 202</w:t>
      </w:r>
      <w:r w:rsidR="00B75120">
        <w:t>1</w:t>
      </w:r>
      <w:r w:rsidR="00D62570">
        <w:t xml:space="preserve"> ERCOT Benchmark </w:t>
      </w:r>
      <w:r w:rsidR="008B778D">
        <w:t>GMDVA</w:t>
      </w:r>
      <w:r w:rsidR="00D62570">
        <w:t>.</w:t>
      </w:r>
      <w:r w:rsidR="008960C7">
        <w:t xml:space="preserve"> </w:t>
      </w:r>
      <w:r w:rsidR="00AA2A5F">
        <w:t>A</w:t>
      </w:r>
      <w:r w:rsidR="008960C7">
        <w:t xml:space="preserve"> reference peak </w:t>
      </w:r>
      <w:proofErr w:type="spellStart"/>
      <w:r w:rsidR="008960C7">
        <w:t>geoelectric</w:t>
      </w:r>
      <w:proofErr w:type="spellEnd"/>
      <w:r w:rsidR="008960C7">
        <w:t xml:space="preserve"> field </w:t>
      </w:r>
      <w:r w:rsidR="008960C7">
        <w:lastRenderedPageBreak/>
        <w:t>of 12 V/km</w:t>
      </w:r>
      <w:r w:rsidR="00AA2A5F">
        <w:t xml:space="preserve"> will be used</w:t>
      </w:r>
      <w:r w:rsidR="00AB07EA">
        <w:t xml:space="preserve"> over the footprint of the ERCOT system</w:t>
      </w:r>
      <w:r w:rsidR="00AA2A5F">
        <w:t xml:space="preserve"> in the GMD simulations for the 202</w:t>
      </w:r>
      <w:r w:rsidR="00B75120">
        <w:t>1</w:t>
      </w:r>
      <w:r w:rsidR="00AB07EA">
        <w:t xml:space="preserve"> </w:t>
      </w:r>
      <w:r w:rsidR="00AA2A5F">
        <w:t>ERCOT Supplemental GMDVA.</w:t>
      </w:r>
    </w:p>
    <w:p w14:paraId="751FAC31" w14:textId="77777777" w:rsidR="00873F39" w:rsidRDefault="00873F39" w:rsidP="00D62570">
      <w:pPr>
        <w:jc w:val="both"/>
      </w:pPr>
    </w:p>
    <w:p w14:paraId="229B84D8" w14:textId="77777777" w:rsidR="0081736C" w:rsidRDefault="00873F39" w:rsidP="0081736C">
      <w:pPr>
        <w:pStyle w:val="Heading2"/>
      </w:pPr>
      <w:bookmarkStart w:id="13" w:name="_Toc71547250"/>
      <w:proofErr w:type="spellStart"/>
      <w:r>
        <w:t>Geomagnetically</w:t>
      </w:r>
      <w:proofErr w:type="spellEnd"/>
      <w:r>
        <w:t xml:space="preserve"> Induced Reactive Power Losses</w:t>
      </w:r>
      <w:bookmarkEnd w:id="13"/>
    </w:p>
    <w:p w14:paraId="4EA5D952" w14:textId="4901801C" w:rsidR="00133B35" w:rsidRDefault="0081736C" w:rsidP="006872BC">
      <w:pPr>
        <w:jc w:val="both"/>
      </w:pPr>
      <w:r>
        <w:t>The reactive power losses produced by transformers modeled in the system are automatically generated by the GIC analysis software</w:t>
      </w:r>
      <w:r w:rsidR="004500EC">
        <w:t>; however, the r</w:t>
      </w:r>
      <w:r w:rsidR="004432AD" w:rsidRPr="00D16B57">
        <w:t>eactive power losses produced by DC Ties modeled without transformers</w:t>
      </w:r>
      <w:r w:rsidR="004432AD">
        <w:t xml:space="preserve"> are not</w:t>
      </w:r>
      <w:r w:rsidR="004500EC">
        <w:t xml:space="preserve"> automatically generated</w:t>
      </w:r>
      <w:r w:rsidR="004432AD">
        <w:t>. The calculation of those losses will be incorporated</w:t>
      </w:r>
      <w:r w:rsidR="00A47568">
        <w:t xml:space="preserve"> using the following equation </w:t>
      </w:r>
      <w:r w:rsidR="00133B35">
        <w:t>from the PSS</w:t>
      </w:r>
      <w:r w:rsidR="009A68D7">
        <w:t>/</w:t>
      </w:r>
      <w:r w:rsidR="00133B35">
        <w:t xml:space="preserve">E Program Operation Manual: </w:t>
      </w:r>
    </w:p>
    <w:p w14:paraId="4E2B2C7D" w14:textId="77777777" w:rsidR="00D46A32" w:rsidRDefault="00D46A32" w:rsidP="00873F39"/>
    <w:p w14:paraId="420C1ABA" w14:textId="7280F5C6" w:rsidR="00133B35" w:rsidRDefault="00133B35" w:rsidP="00873F39">
      <w:r>
        <w:tab/>
      </w:r>
      <w:r>
        <w:tab/>
      </w:r>
      <w:r>
        <w:tab/>
      </w:r>
      <m:oMath>
        <m:r>
          <w:rPr>
            <w:rFonts w:ascii="Cambria Math" w:hAnsi="Cambria Math"/>
          </w:rPr>
          <m:t>Three-Phase Mvar Losses=</m:t>
        </m:r>
        <m:sSub>
          <m:sSubPr>
            <m:ctrlPr>
              <w:rPr>
                <w:rFonts w:ascii="Cambria Math" w:hAnsi="Cambria Math"/>
                <w:i/>
              </w:rPr>
            </m:ctrlPr>
          </m:sSubPr>
          <m:e>
            <m:r>
              <w:rPr>
                <w:rFonts w:ascii="Cambria Math" w:hAnsi="Cambria Math"/>
              </w:rPr>
              <m:t>I</m:t>
            </m:r>
          </m:e>
          <m:sub>
            <m:r>
              <w:rPr>
                <w:rFonts w:ascii="Cambria Math" w:hAnsi="Cambria Math"/>
              </w:rPr>
              <m:t>eff</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factor</m:t>
            </m:r>
          </m:sub>
        </m:sSub>
        <m:r>
          <w:rPr>
            <w:rFonts w:ascii="Cambria Math" w:hAnsi="Cambria Math"/>
          </w:rPr>
          <m:t>×</m:t>
        </m:r>
        <m:f>
          <m:fPr>
            <m:ctrlPr>
              <w:rPr>
                <w:rFonts w:ascii="Cambria Math" w:hAnsi="Cambria Math"/>
                <w:i/>
              </w:rPr>
            </m:ctrlPr>
          </m:fPr>
          <m:num>
            <m:sSub>
              <m:sSubPr>
                <m:ctrlPr>
                  <w:rPr>
                    <w:rFonts w:ascii="Cambria Math" w:hAnsi="Cambria Math"/>
                    <w:i/>
                  </w:rPr>
                </m:ctrlPr>
              </m:sSubPr>
              <m:e>
                <m:r>
                  <w:rPr>
                    <w:rFonts w:ascii="Cambria Math" w:hAnsi="Cambria Math"/>
                  </w:rPr>
                  <m:t>V</m:t>
                </m:r>
              </m:e>
              <m:sub>
                <m:r>
                  <w:rPr>
                    <w:rFonts w:ascii="Cambria Math" w:hAnsi="Cambria Math"/>
                  </w:rPr>
                  <m:t>H</m:t>
                </m:r>
              </m:sub>
            </m:sSub>
          </m:num>
          <m:den>
            <m:r>
              <w:rPr>
                <w:rFonts w:ascii="Cambria Math" w:hAnsi="Cambria Math"/>
              </w:rPr>
              <m:t>500</m:t>
            </m:r>
          </m:den>
        </m:f>
      </m:oMath>
    </w:p>
    <w:p w14:paraId="4FE94EFE" w14:textId="77777777" w:rsidR="00134F82" w:rsidRPr="00133B35" w:rsidRDefault="00134F82" w:rsidP="00873F39"/>
    <w:p w14:paraId="695684A9" w14:textId="372C2BA6" w:rsidR="00D46A32" w:rsidRDefault="00133B35" w:rsidP="00133B35">
      <w:r>
        <w:tab/>
      </w:r>
      <w:r>
        <w:tab/>
      </w:r>
      <w:r>
        <w:tab/>
      </w:r>
      <w:r>
        <w:tab/>
      </w:r>
      <w:r>
        <w:tab/>
      </w:r>
      <w:r>
        <w:tab/>
      </w:r>
      <w:r>
        <w:tab/>
      </w:r>
      <m:oMath>
        <m:r>
          <w:rPr>
            <w:rFonts w:ascii="Cambria Math" w:hAnsi="Cambria Math"/>
          </w:rPr>
          <m:t xml:space="preserve">= </m:t>
        </m:r>
        <m:sSub>
          <m:sSubPr>
            <m:ctrlPr>
              <w:rPr>
                <w:rFonts w:ascii="Cambria Math" w:hAnsi="Cambria Math"/>
                <w:i/>
              </w:rPr>
            </m:ctrlPr>
          </m:sSubPr>
          <m:e>
            <m:r>
              <w:rPr>
                <w:rFonts w:ascii="Cambria Math" w:hAnsi="Cambria Math"/>
              </w:rPr>
              <m:t>I</m:t>
            </m:r>
          </m:e>
          <m:sub>
            <m:r>
              <w:rPr>
                <w:rFonts w:ascii="Cambria Math" w:hAnsi="Cambria Math"/>
              </w:rPr>
              <m:t>eff</m:t>
            </m:r>
          </m:sub>
        </m:sSub>
        <m:r>
          <w:rPr>
            <w:rFonts w:ascii="Cambria Math" w:hAnsi="Cambria Math"/>
          </w:rPr>
          <m:t>×</m:t>
        </m:r>
        <m:sSub>
          <m:sSubPr>
            <m:ctrlPr>
              <w:rPr>
                <w:rFonts w:ascii="Cambria Math" w:hAnsi="Cambria Math"/>
                <w:i/>
              </w:rPr>
            </m:ctrlPr>
          </m:sSubPr>
          <m:e>
            <m:r>
              <w:rPr>
                <w:rFonts w:ascii="Cambria Math" w:hAnsi="Cambria Math"/>
              </w:rPr>
              <m:t>K</m:t>
            </m:r>
          </m:e>
          <m:sub>
            <m:r>
              <w:rPr>
                <w:rFonts w:ascii="Cambria Math" w:hAnsi="Cambria Math"/>
              </w:rPr>
              <m:t>factor(2)</m:t>
            </m:r>
          </m:sub>
        </m:sSub>
      </m:oMath>
    </w:p>
    <w:p w14:paraId="1EF2D3C0" w14:textId="23FABB2C" w:rsidR="00133B35" w:rsidRDefault="00133B35" w:rsidP="00133B35">
      <w:r>
        <w:t>Where:</w:t>
      </w:r>
    </w:p>
    <w:p w14:paraId="64B23727" w14:textId="737AA6C8" w:rsidR="00133B35" w:rsidRPr="00133B35" w:rsidRDefault="003F469E" w:rsidP="00133B35">
      <w:pPr>
        <w:pStyle w:val="ListParagraph"/>
        <w:numPr>
          <w:ilvl w:val="0"/>
          <w:numId w:val="17"/>
        </w:numPr>
      </w:pPr>
      <m:oMath>
        <m:sSub>
          <m:sSubPr>
            <m:ctrlPr>
              <w:rPr>
                <w:rFonts w:ascii="Cambria Math" w:hAnsi="Cambria Math"/>
                <w:i/>
              </w:rPr>
            </m:ctrlPr>
          </m:sSubPr>
          <m:e>
            <m:r>
              <w:rPr>
                <w:rFonts w:ascii="Cambria Math" w:hAnsi="Cambria Math"/>
              </w:rPr>
              <m:t>I</m:t>
            </m:r>
          </m:e>
          <m:sub>
            <m:r>
              <w:rPr>
                <w:rFonts w:ascii="Cambria Math" w:hAnsi="Cambria Math"/>
              </w:rPr>
              <m:t>eff</m:t>
            </m:r>
          </m:sub>
        </m:sSub>
      </m:oMath>
      <w:r w:rsidR="0019471A">
        <w:rPr>
          <w:rFonts w:eastAsiaTheme="minorEastAsia"/>
        </w:rPr>
        <w:t xml:space="preserve"> = Effective GIC flow </w:t>
      </w:r>
      <w:r w:rsidR="00133B35">
        <w:rPr>
          <w:rFonts w:eastAsiaTheme="minorEastAsia"/>
        </w:rPr>
        <w:t>(amp/phase)</w:t>
      </w:r>
    </w:p>
    <w:p w14:paraId="581585F4" w14:textId="44CA9A36" w:rsidR="00133B35" w:rsidRPr="00133B35" w:rsidRDefault="003F469E" w:rsidP="00133B35">
      <w:pPr>
        <w:pStyle w:val="ListParagraph"/>
        <w:numPr>
          <w:ilvl w:val="0"/>
          <w:numId w:val="17"/>
        </w:numPr>
      </w:pPr>
      <m:oMath>
        <m:sSub>
          <m:sSubPr>
            <m:ctrlPr>
              <w:rPr>
                <w:rFonts w:ascii="Cambria Math" w:hAnsi="Cambria Math"/>
                <w:i/>
              </w:rPr>
            </m:ctrlPr>
          </m:sSubPr>
          <m:e>
            <m:r>
              <w:rPr>
                <w:rFonts w:ascii="Cambria Math" w:hAnsi="Cambria Math"/>
              </w:rPr>
              <m:t>V</m:t>
            </m:r>
          </m:e>
          <m:sub>
            <m:r>
              <w:rPr>
                <w:rFonts w:ascii="Cambria Math" w:hAnsi="Cambria Math"/>
              </w:rPr>
              <m:t>H</m:t>
            </m:r>
          </m:sub>
        </m:sSub>
      </m:oMath>
      <w:r w:rsidR="00133B35">
        <w:rPr>
          <w:rFonts w:eastAsiaTheme="minorEastAsia"/>
        </w:rPr>
        <w:t xml:space="preserve"> = Transformer winding highest voltage (kV)</w:t>
      </w:r>
    </w:p>
    <w:p w14:paraId="065A5A39" w14:textId="59BDD275" w:rsidR="00133B35" w:rsidRPr="00FC388A" w:rsidRDefault="003F469E" w:rsidP="00133B35">
      <w:pPr>
        <w:pStyle w:val="ListParagraph"/>
        <w:numPr>
          <w:ilvl w:val="0"/>
          <w:numId w:val="17"/>
        </w:numPr>
      </w:pPr>
      <m:oMath>
        <m:sSub>
          <m:sSubPr>
            <m:ctrlPr>
              <w:rPr>
                <w:rFonts w:ascii="Cambria Math" w:hAnsi="Cambria Math"/>
                <w:i/>
              </w:rPr>
            </m:ctrlPr>
          </m:sSubPr>
          <m:e>
            <m:r>
              <w:rPr>
                <w:rFonts w:ascii="Cambria Math" w:hAnsi="Cambria Math"/>
              </w:rPr>
              <m:t>K</m:t>
            </m:r>
          </m:e>
          <m:sub>
            <m:r>
              <w:rPr>
                <w:rFonts w:ascii="Cambria Math" w:hAnsi="Cambria Math"/>
              </w:rPr>
              <m:t>factor</m:t>
            </m:r>
          </m:sub>
        </m:sSub>
      </m:oMath>
      <w:r w:rsidR="00133B35">
        <w:rPr>
          <w:rFonts w:eastAsiaTheme="minorEastAsia"/>
        </w:rPr>
        <w:t xml:space="preserve"> = Scaling factor </w:t>
      </w:r>
      <w:r w:rsidR="00FC388A">
        <w:rPr>
          <w:rFonts w:eastAsiaTheme="minorEastAsia"/>
        </w:rPr>
        <w:t xml:space="preserve">defined at 500 kV of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rPr>
              <m:t>H</m:t>
            </m:r>
          </m:sub>
        </m:sSub>
      </m:oMath>
      <w:r w:rsidR="00FC388A">
        <w:rPr>
          <w:rFonts w:eastAsiaTheme="minorEastAsia"/>
        </w:rPr>
        <w:t xml:space="preserve"> (Mvar/amp)</w:t>
      </w:r>
    </w:p>
    <w:p w14:paraId="5475B9DB" w14:textId="5CCAD677" w:rsidR="00FC388A" w:rsidRPr="00FC388A" w:rsidRDefault="003F469E" w:rsidP="00133B35">
      <w:pPr>
        <w:pStyle w:val="ListParagraph"/>
        <w:numPr>
          <w:ilvl w:val="0"/>
          <w:numId w:val="17"/>
        </w:numPr>
      </w:pPr>
      <m:oMath>
        <m:sSub>
          <m:sSubPr>
            <m:ctrlPr>
              <w:rPr>
                <w:rFonts w:ascii="Cambria Math" w:hAnsi="Cambria Math"/>
                <w:i/>
              </w:rPr>
            </m:ctrlPr>
          </m:sSubPr>
          <m:e>
            <m:r>
              <w:rPr>
                <w:rFonts w:ascii="Cambria Math" w:hAnsi="Cambria Math"/>
              </w:rPr>
              <m:t>K</m:t>
            </m:r>
          </m:e>
          <m:sub>
            <m:r>
              <w:rPr>
                <w:rFonts w:ascii="Cambria Math" w:hAnsi="Cambria Math"/>
              </w:rPr>
              <m:t>factor(2)</m:t>
            </m:r>
          </m:sub>
        </m:sSub>
      </m:oMath>
      <w:r w:rsidR="00FC388A">
        <w:rPr>
          <w:rFonts w:eastAsiaTheme="minorEastAsia"/>
        </w:rPr>
        <w:t xml:space="preserve"> = Scaling factor provided in GIC data file (Mvar/amp)</w:t>
      </w:r>
    </w:p>
    <w:p w14:paraId="6C926C8B" w14:textId="77777777" w:rsidR="00FC388A" w:rsidRDefault="00FC388A" w:rsidP="00FC388A"/>
    <w:p w14:paraId="6A27F0C1" w14:textId="36A79B60" w:rsidR="00FC388A" w:rsidRDefault="00800AE1" w:rsidP="009F4D5E">
      <w:pPr>
        <w:jc w:val="both"/>
      </w:pPr>
      <w:r>
        <w:t>If the</w:t>
      </w:r>
      <w:r w:rsidR="009F4D5E">
        <w:t xml:space="preserve"> </w:t>
      </w:r>
      <m:oMath>
        <m:sSub>
          <m:sSubPr>
            <m:ctrlPr>
              <w:rPr>
                <w:rFonts w:ascii="Cambria Math" w:eastAsiaTheme="minorHAnsi" w:hAnsi="Cambria Math"/>
                <w:i/>
              </w:rPr>
            </m:ctrlPr>
          </m:sSubPr>
          <m:e>
            <m:r>
              <w:rPr>
                <w:rFonts w:ascii="Cambria Math" w:hAnsi="Cambria Math"/>
              </w:rPr>
              <m:t>K</m:t>
            </m:r>
          </m:e>
          <m:sub>
            <m:r>
              <w:rPr>
                <w:rFonts w:ascii="Cambria Math" w:hAnsi="Cambria Math"/>
              </w:rPr>
              <m:t>factor</m:t>
            </m:r>
          </m:sub>
        </m:sSub>
      </m:oMath>
      <w:r w:rsidR="007F73CF">
        <w:t xml:space="preserve"> is not provided by the equipment owner, a default value will be used.  If the </w:t>
      </w:r>
      <w:r w:rsidR="009F4D5E">
        <w:t>transformer core type is</w:t>
      </w:r>
      <w:r w:rsidR="007F73CF">
        <w:t xml:space="preserve"> available</w:t>
      </w:r>
      <w:r w:rsidR="009F4D5E">
        <w:t xml:space="preserve">, </w:t>
      </w:r>
      <w:r w:rsidR="007F73CF">
        <w:t xml:space="preserve">the default value will be based on the transformer core type.  </w:t>
      </w:r>
      <w:r w:rsidR="00D61DAD">
        <w:t>If the transformer core type is not available</w:t>
      </w:r>
      <w:r w:rsidR="007F73CF">
        <w:t>, the default value will</w:t>
      </w:r>
      <w:r w:rsidR="00D61DAD">
        <w:t xml:space="preserve"> then</w:t>
      </w:r>
      <w:r w:rsidR="007F73CF">
        <w:t xml:space="preserve"> be determined by the highest win</w:t>
      </w:r>
      <w:r w:rsidR="00134F82">
        <w:t>ding</w:t>
      </w:r>
      <w:r w:rsidR="007F73CF">
        <w:t xml:space="preserve"> base kV voltage level of the transformer.</w:t>
      </w:r>
      <w:r w:rsidR="000B2129">
        <w:t xml:space="preserve"> The default values that will be used can be found in the PSS/E Program Application Guide Volume 1.</w:t>
      </w:r>
    </w:p>
    <w:p w14:paraId="396DB873" w14:textId="77777777" w:rsidR="00133B35" w:rsidRPr="00133B35" w:rsidRDefault="00133B35" w:rsidP="00873F39"/>
    <w:p w14:paraId="7441EC27" w14:textId="1A37E814" w:rsidR="000C4AFB" w:rsidRDefault="0087611A" w:rsidP="006872BC">
      <w:pPr>
        <w:pStyle w:val="Heading2"/>
        <w:numPr>
          <w:ilvl w:val="1"/>
          <w:numId w:val="1"/>
        </w:numPr>
      </w:pPr>
      <w:bookmarkStart w:id="14" w:name="_Toc71547251"/>
      <w:r>
        <w:t>Ratings and Limits</w:t>
      </w:r>
      <w:bookmarkStart w:id="15" w:name="_Toc44331223"/>
      <w:bookmarkEnd w:id="15"/>
      <w:bookmarkEnd w:id="14"/>
    </w:p>
    <w:p w14:paraId="2CD2C641" w14:textId="322E11DC" w:rsidR="006F02F3" w:rsidRDefault="006F02F3" w:rsidP="006F02F3">
      <w:pPr>
        <w:jc w:val="both"/>
      </w:pPr>
      <w:r>
        <w:t>For voltage analysis, pre-contingency and post-contingency limits for all buses 100</w:t>
      </w:r>
      <w:r w:rsidR="00182A33">
        <w:t xml:space="preserve"> </w:t>
      </w:r>
      <w:r>
        <w:t>kV and above will be monitored. The steady state voltage criteria used in the 202</w:t>
      </w:r>
      <w:r w:rsidR="00B75120">
        <w:t>1</w:t>
      </w:r>
      <w:r>
        <w:t xml:space="preserve"> Benchmark</w:t>
      </w:r>
      <w:r w:rsidR="00AA2A5F">
        <w:t xml:space="preserve"> and Supplemental</w:t>
      </w:r>
      <w:r>
        <w:t xml:space="preserve"> </w:t>
      </w:r>
      <w:r w:rsidR="00095F44">
        <w:t>GMDVA</w:t>
      </w:r>
      <w:r w:rsidR="00AA2A5F">
        <w:t>s</w:t>
      </w:r>
      <w:r>
        <w:t xml:space="preserve"> is defined in Planning Guide </w:t>
      </w:r>
      <w:r w:rsidR="0005543B">
        <w:t xml:space="preserve">Section </w:t>
      </w:r>
      <w:r>
        <w:t>4.1.1.4</w:t>
      </w:r>
    </w:p>
    <w:p w14:paraId="70594C58" w14:textId="77777777" w:rsidR="006F02F3" w:rsidRDefault="006F02F3" w:rsidP="000C4AFB">
      <w:pPr>
        <w:jc w:val="both"/>
      </w:pPr>
    </w:p>
    <w:p w14:paraId="691C74FA" w14:textId="323BE59D" w:rsidR="000C4AFB" w:rsidRDefault="00873F39" w:rsidP="000C4AFB">
      <w:pPr>
        <w:jc w:val="both"/>
      </w:pPr>
      <w:r>
        <w:t xml:space="preserve">Automatic tripping will occur for elements that exceed </w:t>
      </w:r>
      <w:r w:rsidR="00B75120">
        <w:t xml:space="preserve">the lower of </w:t>
      </w:r>
      <w:r w:rsidR="00D137DB">
        <w:t xml:space="preserve">their </w:t>
      </w:r>
      <w:r>
        <w:t xml:space="preserve">relay </w:t>
      </w:r>
      <w:proofErr w:type="spellStart"/>
      <w:r>
        <w:t>loadability</w:t>
      </w:r>
      <w:proofErr w:type="spellEnd"/>
      <w:r>
        <w:t xml:space="preserve"> limit</w:t>
      </w:r>
      <w:r w:rsidR="00B75120">
        <w:t xml:space="preserve"> or 125% of their emergency rating</w:t>
      </w:r>
      <w:r w:rsidR="006A30DE">
        <w:t xml:space="preserve"> on </w:t>
      </w:r>
      <w:r w:rsidR="00874B00">
        <w:t>T</w:t>
      </w:r>
      <w:r w:rsidR="006A30DE">
        <w:t xml:space="preserve">ransmission </w:t>
      </w:r>
      <w:r w:rsidR="00874B00">
        <w:t>F</w:t>
      </w:r>
      <w:r w:rsidR="006A30DE">
        <w:t>acilities th</w:t>
      </w:r>
      <w:r>
        <w:t>at are 100</w:t>
      </w:r>
      <w:r w:rsidR="00182A33">
        <w:t xml:space="preserve"> </w:t>
      </w:r>
      <w:r>
        <w:t>kV and above</w:t>
      </w:r>
      <w:r w:rsidR="000C4AFB">
        <w:t xml:space="preserve">. </w:t>
      </w:r>
    </w:p>
    <w:p w14:paraId="106D9CAD" w14:textId="77777777" w:rsidR="0041416A" w:rsidRDefault="0041416A" w:rsidP="0087611A">
      <w:pPr>
        <w:jc w:val="both"/>
      </w:pPr>
    </w:p>
    <w:p w14:paraId="73162251" w14:textId="4C8E6FCC" w:rsidR="000C4AFB" w:rsidRDefault="0070168F" w:rsidP="0087611A">
      <w:pPr>
        <w:jc w:val="both"/>
      </w:pPr>
      <w:r>
        <w:t>When applicable, Under</w:t>
      </w:r>
      <w:r w:rsidR="003503BA">
        <w:t>-</w:t>
      </w:r>
      <w:r>
        <w:t>Voltage Load Shed</w:t>
      </w:r>
      <w:r w:rsidR="000C4AFB">
        <w:t xml:space="preserve"> (UVLS)</w:t>
      </w:r>
      <w:r>
        <w:t xml:space="preserve"> information from TSPs</w:t>
      </w:r>
      <w:r w:rsidR="002C2EA1">
        <w:t>,</w:t>
      </w:r>
      <w:r>
        <w:t xml:space="preserve"> and </w:t>
      </w:r>
      <w:r w:rsidR="002C2EA1">
        <w:t>g</w:t>
      </w:r>
      <w:r>
        <w:t xml:space="preserve">enerator </w:t>
      </w:r>
      <w:r w:rsidR="003503BA">
        <w:t>over-voltage</w:t>
      </w:r>
      <w:r>
        <w:t xml:space="preserve"> and </w:t>
      </w:r>
      <w:r w:rsidR="003503BA">
        <w:t>under-voltage</w:t>
      </w:r>
      <w:r w:rsidR="000C4AFB">
        <w:t xml:space="preserve"> </w:t>
      </w:r>
      <w:r>
        <w:t xml:space="preserve">trip settings </w:t>
      </w:r>
      <w:r w:rsidR="00D61DAD">
        <w:t>provided in the applicable Resource Registration Data</w:t>
      </w:r>
      <w:r w:rsidR="002C2EA1">
        <w:t>,</w:t>
      </w:r>
      <w:r>
        <w:t xml:space="preserve"> will be modeled. Default values for </w:t>
      </w:r>
      <w:r w:rsidR="002C2EA1">
        <w:t>g</w:t>
      </w:r>
      <w:r>
        <w:t xml:space="preserve">enerator </w:t>
      </w:r>
      <w:r w:rsidR="003503BA">
        <w:t>over-voltage</w:t>
      </w:r>
      <w:r>
        <w:t xml:space="preserve"> and </w:t>
      </w:r>
      <w:r w:rsidR="003503BA">
        <w:t>under-voltage</w:t>
      </w:r>
      <w:r>
        <w:t xml:space="preserve"> trip settings will be used if those trip settings are not available.  </w:t>
      </w:r>
    </w:p>
    <w:p w14:paraId="1334F16E" w14:textId="77777777" w:rsidR="00CC1964" w:rsidRDefault="00CC1964" w:rsidP="0087611A">
      <w:pPr>
        <w:jc w:val="both"/>
      </w:pPr>
    </w:p>
    <w:p w14:paraId="711EC666" w14:textId="12F4D16C" w:rsidR="00CC1964" w:rsidRDefault="00CC1964" w:rsidP="0087611A">
      <w:pPr>
        <w:jc w:val="both"/>
      </w:pPr>
      <w:r>
        <w:t>The default values</w:t>
      </w:r>
      <w:r w:rsidR="00873F39">
        <w:t xml:space="preserve"> that will be used</w:t>
      </w:r>
      <w:r>
        <w:t xml:space="preserve"> </w:t>
      </w:r>
      <w:r w:rsidR="003503BA">
        <w:t xml:space="preserve">for </w:t>
      </w:r>
      <w:r w:rsidR="002C2EA1">
        <w:t>g</w:t>
      </w:r>
      <w:r w:rsidR="003503BA">
        <w:t>enerator over-voltage</w:t>
      </w:r>
      <w:r w:rsidR="002D770F">
        <w:t xml:space="preserve"> and </w:t>
      </w:r>
      <w:r w:rsidR="003503BA">
        <w:t>under-voltage</w:t>
      </w:r>
      <w:r w:rsidR="002D770F">
        <w:t xml:space="preserve"> trip settings are:</w:t>
      </w:r>
    </w:p>
    <w:p w14:paraId="3B222E65" w14:textId="51604291" w:rsidR="002D770F" w:rsidRDefault="002D770F" w:rsidP="002D770F">
      <w:pPr>
        <w:pStyle w:val="ListParagraph"/>
        <w:numPr>
          <w:ilvl w:val="0"/>
          <w:numId w:val="14"/>
        </w:numPr>
        <w:jc w:val="both"/>
      </w:pPr>
      <w:r>
        <w:t xml:space="preserve">For renewable generators: 0.9 </w:t>
      </w:r>
      <w:proofErr w:type="spellStart"/>
      <w:r>
        <w:t>pu</w:t>
      </w:r>
      <w:proofErr w:type="spellEnd"/>
      <w:r>
        <w:t xml:space="preserve"> and 1.1 </w:t>
      </w:r>
      <w:proofErr w:type="spellStart"/>
      <w:r>
        <w:t>pu</w:t>
      </w:r>
      <w:proofErr w:type="spellEnd"/>
      <w:r>
        <w:t xml:space="preserve"> for </w:t>
      </w:r>
      <w:r w:rsidR="003503BA">
        <w:t>under-voltage</w:t>
      </w:r>
      <w:r>
        <w:t xml:space="preserve"> and </w:t>
      </w:r>
      <w:r w:rsidR="003503BA">
        <w:t>over-voltage</w:t>
      </w:r>
      <w:r>
        <w:t xml:space="preserve"> trip settings</w:t>
      </w:r>
      <w:r w:rsidR="00864EF2">
        <w:t>,</w:t>
      </w:r>
      <w:r>
        <w:t xml:space="preserve"> respectively</w:t>
      </w:r>
      <w:r w:rsidR="00864EF2">
        <w:t>; and</w:t>
      </w:r>
    </w:p>
    <w:p w14:paraId="2ABFC26E" w14:textId="71897B44" w:rsidR="006F02F3" w:rsidRDefault="002D770F" w:rsidP="006F02F3">
      <w:pPr>
        <w:pStyle w:val="ListParagraph"/>
        <w:numPr>
          <w:ilvl w:val="0"/>
          <w:numId w:val="14"/>
        </w:numPr>
        <w:jc w:val="both"/>
      </w:pPr>
      <w:r>
        <w:lastRenderedPageBreak/>
        <w:t>For all other generators: the post-contingency voltage limits</w:t>
      </w:r>
      <w:r w:rsidR="00864EF2">
        <w:t>.</w:t>
      </w:r>
    </w:p>
    <w:p w14:paraId="7FF8085E" w14:textId="77777777" w:rsidR="006F02F3" w:rsidRDefault="006F02F3" w:rsidP="006872BC">
      <w:pPr>
        <w:jc w:val="both"/>
      </w:pPr>
    </w:p>
    <w:p w14:paraId="64A972CA" w14:textId="000BC8AE" w:rsidR="006F02F3" w:rsidRPr="008C0A09" w:rsidRDefault="006F02F3" w:rsidP="006872BC">
      <w:pPr>
        <w:jc w:val="both"/>
      </w:pPr>
      <w:r w:rsidRPr="006872BC">
        <w:t xml:space="preserve">Appropriate </w:t>
      </w:r>
      <w:r w:rsidR="00D61DAD">
        <w:t>stability</w:t>
      </w:r>
      <w:r w:rsidRPr="006872BC">
        <w:t xml:space="preserve"> limits, as identified by the latest planning studies, will be modeled.</w:t>
      </w:r>
    </w:p>
    <w:p w14:paraId="27CE5047" w14:textId="19CFE374" w:rsidR="003F2D6B" w:rsidRPr="00B6258E" w:rsidRDefault="00F41F69" w:rsidP="003F2D6B">
      <w:pPr>
        <w:pStyle w:val="EPHeading1"/>
        <w:widowControl w:val="0"/>
        <w:rPr>
          <w:szCs w:val="28"/>
        </w:rPr>
      </w:pPr>
      <w:bookmarkStart w:id="16" w:name="_Toc71547252"/>
      <w:r w:rsidRPr="00B6258E">
        <w:rPr>
          <w:szCs w:val="28"/>
        </w:rPr>
        <w:t>Benchmark</w:t>
      </w:r>
      <w:r w:rsidR="00AA2A5F">
        <w:rPr>
          <w:szCs w:val="28"/>
        </w:rPr>
        <w:t xml:space="preserve"> and Supplemental</w:t>
      </w:r>
      <w:r w:rsidRPr="00B6258E">
        <w:rPr>
          <w:szCs w:val="28"/>
        </w:rPr>
        <w:t xml:space="preserve"> GMD</w:t>
      </w:r>
      <w:r w:rsidR="00095F44" w:rsidRPr="00B6258E">
        <w:rPr>
          <w:szCs w:val="28"/>
        </w:rPr>
        <w:t>VA</w:t>
      </w:r>
      <w:r w:rsidRPr="00B6258E">
        <w:rPr>
          <w:szCs w:val="28"/>
        </w:rPr>
        <w:t xml:space="preserve"> Process and Method</w:t>
      </w:r>
      <w:r w:rsidR="00836161" w:rsidRPr="00B6258E">
        <w:rPr>
          <w:szCs w:val="28"/>
        </w:rPr>
        <w:t xml:space="preserve"> </w:t>
      </w:r>
      <w:r w:rsidRPr="00B6258E">
        <w:rPr>
          <w:szCs w:val="28"/>
        </w:rPr>
        <w:t>of Study</w:t>
      </w:r>
      <w:bookmarkEnd w:id="16"/>
    </w:p>
    <w:p w14:paraId="4F7B9239" w14:textId="77777777" w:rsidR="0065752F" w:rsidRDefault="00F41F69" w:rsidP="006872BC">
      <w:bookmarkStart w:id="17" w:name="_Toc43729483"/>
      <w:bookmarkStart w:id="18" w:name="_Toc43729878"/>
      <w:bookmarkStart w:id="19" w:name="_Toc44331225"/>
      <w:r w:rsidRPr="00187EDA">
        <w:rPr>
          <w:rFonts w:asciiTheme="minorHAnsi" w:hAnsiTheme="minorHAnsi" w:cstheme="minorHAnsi"/>
          <w:noProof/>
          <w:lang w:eastAsia="ko-KR"/>
        </w:rPr>
        <w:drawing>
          <wp:inline distT="0" distB="0" distL="0" distR="0" wp14:anchorId="43D57E8E" wp14:editId="142F3AFD">
            <wp:extent cx="5930265" cy="5085708"/>
            <wp:effectExtent l="38100" t="19050" r="32385" b="3937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bookmarkEnd w:id="17"/>
      <w:bookmarkEnd w:id="18"/>
      <w:bookmarkEnd w:id="19"/>
    </w:p>
    <w:p w14:paraId="214E7D83" w14:textId="4C1D2A8B" w:rsidR="003F2D6B" w:rsidRPr="006872BC" w:rsidRDefault="0065752F" w:rsidP="006872BC">
      <w:pPr>
        <w:pStyle w:val="Caption"/>
        <w:jc w:val="center"/>
        <w:rPr>
          <w:iCs w:val="0"/>
        </w:rPr>
      </w:pPr>
      <w:bookmarkStart w:id="20" w:name="_Toc44331226"/>
      <w:r w:rsidRPr="006872BC">
        <w:rPr>
          <w:b/>
        </w:rPr>
        <w:t xml:space="preserve">Figure </w:t>
      </w:r>
      <w:r w:rsidRPr="006872BC">
        <w:rPr>
          <w:b/>
        </w:rPr>
        <w:fldChar w:fldCharType="begin"/>
      </w:r>
      <w:r w:rsidRPr="006872BC">
        <w:rPr>
          <w:b/>
        </w:rPr>
        <w:instrText xml:space="preserve"> SEQ Figure \* ARABIC </w:instrText>
      </w:r>
      <w:r w:rsidRPr="006872BC">
        <w:rPr>
          <w:b/>
        </w:rPr>
        <w:fldChar w:fldCharType="separate"/>
      </w:r>
      <w:r w:rsidRPr="006872BC">
        <w:rPr>
          <w:b/>
          <w:noProof/>
        </w:rPr>
        <w:t>1</w:t>
      </w:r>
      <w:r w:rsidRPr="006872BC">
        <w:rPr>
          <w:b/>
        </w:rPr>
        <w:fldChar w:fldCharType="end"/>
      </w:r>
      <w:r w:rsidR="00AB07EA">
        <w:rPr>
          <w:b/>
        </w:rPr>
        <w:t>: 202</w:t>
      </w:r>
      <w:r w:rsidR="00B75120">
        <w:rPr>
          <w:b/>
        </w:rPr>
        <w:t>1</w:t>
      </w:r>
      <w:r w:rsidRPr="006872BC">
        <w:rPr>
          <w:b/>
        </w:rPr>
        <w:t xml:space="preserve"> </w:t>
      </w:r>
      <w:r w:rsidR="009C6BBC" w:rsidRPr="006872BC">
        <w:rPr>
          <w:b/>
        </w:rPr>
        <w:t>GMDVA</w:t>
      </w:r>
      <w:r w:rsidRPr="006872BC">
        <w:rPr>
          <w:b/>
        </w:rPr>
        <w:t xml:space="preserve"> Methodology</w:t>
      </w:r>
      <w:bookmarkEnd w:id="20"/>
    </w:p>
    <w:p w14:paraId="5C99F423" w14:textId="4F5B98EE" w:rsidR="00560C72" w:rsidRDefault="009C6BBC" w:rsidP="00E534E9">
      <w:pPr>
        <w:pStyle w:val="Heading2"/>
        <w:numPr>
          <w:ilvl w:val="1"/>
          <w:numId w:val="1"/>
        </w:numPr>
      </w:pPr>
      <w:bookmarkStart w:id="21" w:name="_Toc71547253"/>
      <w:r>
        <w:t>GMDVA</w:t>
      </w:r>
      <w:r w:rsidR="00E534E9">
        <w:t xml:space="preserve"> </w:t>
      </w:r>
      <w:r w:rsidR="003E70E9">
        <w:t>Case Preparation</w:t>
      </w:r>
      <w:bookmarkEnd w:id="21"/>
    </w:p>
    <w:p w14:paraId="20881C14" w14:textId="142AF73D" w:rsidR="00396093" w:rsidRDefault="00560C72" w:rsidP="006872BC">
      <w:pPr>
        <w:jc w:val="both"/>
      </w:pPr>
      <w:r w:rsidRPr="00A671DF">
        <w:t>Both the GIC AC model and the GIC DC model will be updated and conditioned in collaboration with PGDTF to address any GIC System model issues before beginning the</w:t>
      </w:r>
      <w:r w:rsidR="000C10FC">
        <w:t xml:space="preserve"> </w:t>
      </w:r>
      <w:r w:rsidRPr="00A671DF">
        <w:t>GMDVA. Additionally, ERCOT</w:t>
      </w:r>
      <w:r w:rsidR="004500EC">
        <w:t xml:space="preserve"> </w:t>
      </w:r>
      <w:r w:rsidRPr="004500EC">
        <w:t xml:space="preserve">will tune voltages and reactive support in the GIC </w:t>
      </w:r>
      <w:r w:rsidR="00400EF7">
        <w:t>AC</w:t>
      </w:r>
      <w:r w:rsidRPr="004500EC">
        <w:t xml:space="preserve"> model so that voltage</w:t>
      </w:r>
      <w:r w:rsidR="006B0928">
        <w:t xml:space="preserve">s are </w:t>
      </w:r>
      <w:r w:rsidR="006B0928" w:rsidRPr="00AE5CBA">
        <w:t>within</w:t>
      </w:r>
      <w:r w:rsidR="00400EF7" w:rsidRPr="006872BC">
        <w:t>, or as close to,</w:t>
      </w:r>
      <w:r w:rsidR="006B0928" w:rsidRPr="00AE5CBA">
        <w:t xml:space="preserve"> acceptable limits</w:t>
      </w:r>
      <w:r w:rsidR="006B0928">
        <w:t xml:space="preserve"> and will </w:t>
      </w:r>
      <w:r w:rsidR="00D02A3E">
        <w:t xml:space="preserve">communicate </w:t>
      </w:r>
      <w:r w:rsidR="006B0928">
        <w:t xml:space="preserve">with corresponding TSPs on specific tuning measures. </w:t>
      </w:r>
    </w:p>
    <w:p w14:paraId="005BC9A0" w14:textId="77777777" w:rsidR="006746D9" w:rsidRDefault="006746D9" w:rsidP="006872BC">
      <w:pPr>
        <w:jc w:val="both"/>
      </w:pPr>
    </w:p>
    <w:p w14:paraId="7F2C4E78" w14:textId="2E9C26FF" w:rsidR="00E534E9" w:rsidRPr="00A671DF" w:rsidRDefault="0017035A" w:rsidP="006872BC">
      <w:pPr>
        <w:jc w:val="both"/>
      </w:pPr>
      <w:r>
        <w:lastRenderedPageBreak/>
        <w:t>Th</w:t>
      </w:r>
      <w:r w:rsidR="00920D34">
        <w:t xml:space="preserve">e following subsections outline updates made to the GIC System model to prepare the cases for </w:t>
      </w:r>
      <w:r w:rsidR="000900D2">
        <w:t xml:space="preserve">the benchmark and supplemental </w:t>
      </w:r>
      <w:r w:rsidR="00920D34">
        <w:t>GMDVA</w:t>
      </w:r>
      <w:r w:rsidR="000900D2">
        <w:t>s</w:t>
      </w:r>
      <w:r w:rsidR="00920D34">
        <w:t>.</w:t>
      </w:r>
    </w:p>
    <w:p w14:paraId="48B0D6DF" w14:textId="3EAEF267" w:rsidR="000402AD" w:rsidRDefault="0087611A" w:rsidP="006731AD">
      <w:pPr>
        <w:pStyle w:val="Heading3"/>
      </w:pPr>
      <w:bookmarkStart w:id="22" w:name="_Toc71547254"/>
      <w:r>
        <w:t>Transformer Thermal Impact Assessment Results</w:t>
      </w:r>
      <w:bookmarkEnd w:id="22"/>
    </w:p>
    <w:p w14:paraId="0076FF23" w14:textId="10069F0E" w:rsidR="00FB3553" w:rsidRDefault="00A870CF" w:rsidP="006C4C0C">
      <w:pPr>
        <w:jc w:val="both"/>
      </w:pPr>
      <w:r>
        <w:t>If applicable, t</w:t>
      </w:r>
      <w:r w:rsidR="00FB3553">
        <w:t>ransformer owners with transformers that meet R6 of TPL-007</w:t>
      </w:r>
      <w:r w:rsidR="00B75120">
        <w:t>-4</w:t>
      </w:r>
      <w:r w:rsidR="00FB3553">
        <w:t>, based on pro</w:t>
      </w:r>
      <w:r>
        <w:t>vided GIC flow information, are</w:t>
      </w:r>
      <w:r w:rsidR="00FB3553">
        <w:t xml:space="preserve"> required to perform thermal impact assessments for any transformer with</w:t>
      </w:r>
      <w:r w:rsidR="007C154E">
        <w:t xml:space="preserve"> maximum effective</w:t>
      </w:r>
      <w:r w:rsidR="00FB3553">
        <w:t xml:space="preserve"> GIC flows exceeding the 75 A/phase threshold for the benchmark event</w:t>
      </w:r>
      <w:r w:rsidR="00BE46E5">
        <w:t xml:space="preserve"> so that suggested actions to mitigate the impact of GICs can be incorporated into the </w:t>
      </w:r>
      <w:r w:rsidR="00FB3553">
        <w:t xml:space="preserve">benchmark </w:t>
      </w:r>
      <w:r w:rsidR="009C6BBC">
        <w:t>GMDVA</w:t>
      </w:r>
      <w:r w:rsidR="00982158">
        <w:t xml:space="preserve"> start cases.</w:t>
      </w:r>
    </w:p>
    <w:p w14:paraId="66FB6A6C" w14:textId="77777777" w:rsidR="00982158" w:rsidRDefault="00982158" w:rsidP="006C4C0C">
      <w:pPr>
        <w:jc w:val="both"/>
      </w:pPr>
    </w:p>
    <w:p w14:paraId="56F29786" w14:textId="6910A909" w:rsidR="00982158" w:rsidRDefault="00982158" w:rsidP="006C4C0C">
      <w:pPr>
        <w:jc w:val="both"/>
      </w:pPr>
      <w:r>
        <w:t>Transformer owners with transformers that meet R10 of TPL-007</w:t>
      </w:r>
      <w:r w:rsidR="00B75120">
        <w:t>-4</w:t>
      </w:r>
      <w:r>
        <w:t>, based on provided GIC flow information, are required to perform thermal impact assessments for any transformer with</w:t>
      </w:r>
      <w:r w:rsidR="007C154E">
        <w:t xml:space="preserve"> maximum effective</w:t>
      </w:r>
      <w:r>
        <w:t xml:space="preserve"> GIC flows exceeding the 85 A/phase threshold for the supplemental event so that suggested actions to mitigate the impact of GICs can be incorporated into the supplemental GMDVA start cases.</w:t>
      </w:r>
    </w:p>
    <w:p w14:paraId="788C2C69" w14:textId="0633CFFF" w:rsidR="006731AD" w:rsidRDefault="00E534E9" w:rsidP="00390903">
      <w:pPr>
        <w:pStyle w:val="Heading3"/>
      </w:pPr>
      <w:bookmarkStart w:id="23" w:name="_Toc71547255"/>
      <w:r>
        <w:t xml:space="preserve">Benchmark </w:t>
      </w:r>
      <w:r w:rsidR="00AA2A5F">
        <w:t xml:space="preserve">and Supplemental </w:t>
      </w:r>
      <w:r>
        <w:t>GMD Event Caused Outages</w:t>
      </w:r>
      <w:bookmarkEnd w:id="23"/>
    </w:p>
    <w:p w14:paraId="3490B8DF" w14:textId="658D358E" w:rsidR="006731AD" w:rsidRDefault="006731AD" w:rsidP="006731AD">
      <w:pPr>
        <w:jc w:val="both"/>
      </w:pPr>
      <w:r>
        <w:t>GMD event induced quasi-DC GIC currents in</w:t>
      </w:r>
      <w:r w:rsidR="00817125">
        <w:t xml:space="preserve"> transformer windings result in asymmetric or half-cycle saturation of transformer cores, which high-voltage transformers are more susceptible to. </w:t>
      </w:r>
      <w:r w:rsidR="00390903">
        <w:t xml:space="preserve">Saturation of transformers can lead to increased generation of harmonics resulting in the potential removal of equipment from service due to </w:t>
      </w:r>
      <w:r w:rsidR="00516DFB">
        <w:t>p</w:t>
      </w:r>
      <w:r w:rsidR="00390903">
        <w:t xml:space="preserve">rotection </w:t>
      </w:r>
      <w:r w:rsidR="00516DFB">
        <w:t>s</w:t>
      </w:r>
      <w:r w:rsidR="00390903">
        <w:t xml:space="preserve">ystem operation or </w:t>
      </w:r>
      <w:proofErr w:type="spellStart"/>
      <w:r w:rsidR="00516DFB">
        <w:t>m</w:t>
      </w:r>
      <w:r w:rsidR="00390903">
        <w:t>isoperation</w:t>
      </w:r>
      <w:proofErr w:type="spellEnd"/>
      <w:r w:rsidR="00390903">
        <w:t xml:space="preserve">. </w:t>
      </w:r>
    </w:p>
    <w:p w14:paraId="2F402455" w14:textId="77777777" w:rsidR="006731AD" w:rsidRPr="006731AD" w:rsidRDefault="006731AD" w:rsidP="006731AD"/>
    <w:p w14:paraId="349F4411" w14:textId="26BCEFC8" w:rsidR="002B6C55" w:rsidRPr="002B6C55" w:rsidRDefault="00AB07EA" w:rsidP="00E534E9">
      <w:pPr>
        <w:jc w:val="both"/>
      </w:pPr>
      <w:r>
        <w:t>In preparation for the 202</w:t>
      </w:r>
      <w:r w:rsidR="00B75120">
        <w:t>1</w:t>
      </w:r>
      <w:r w:rsidR="000A677F">
        <w:t xml:space="preserve"> Benchmark</w:t>
      </w:r>
      <w:r w:rsidR="00F17839">
        <w:t xml:space="preserve"> and Supplemental</w:t>
      </w:r>
      <w:r w:rsidR="00E534E9" w:rsidRPr="002B6C55">
        <w:t xml:space="preserve"> </w:t>
      </w:r>
      <w:r w:rsidR="009C6BBC">
        <w:t>GMDVA</w:t>
      </w:r>
      <w:r w:rsidR="00F17839">
        <w:t>s</w:t>
      </w:r>
      <w:r w:rsidR="00E534E9" w:rsidRPr="002B6C55">
        <w:t>, TSPs and R</w:t>
      </w:r>
      <w:r w:rsidR="0004394E" w:rsidRPr="002B6C55">
        <w:t xml:space="preserve">esource </w:t>
      </w:r>
      <w:r w:rsidR="00E534E9" w:rsidRPr="002B6C55">
        <w:t>E</w:t>
      </w:r>
      <w:r w:rsidR="0004394E" w:rsidRPr="002B6C55">
        <w:t>ntitie</w:t>
      </w:r>
      <w:r w:rsidR="00E534E9" w:rsidRPr="002B6C55">
        <w:t xml:space="preserve">s are required to </w:t>
      </w:r>
      <w:r w:rsidR="002B6C55" w:rsidRPr="002B6C55">
        <w:t>assess the impact of</w:t>
      </w:r>
      <w:r w:rsidR="00F17839">
        <w:t xml:space="preserve"> both</w:t>
      </w:r>
      <w:r w:rsidR="002B6C55" w:rsidRPr="002B6C55">
        <w:t xml:space="preserve"> the benchmark GMD event</w:t>
      </w:r>
      <w:r w:rsidR="00F17839">
        <w:t xml:space="preserve"> and supplemental GMD event to develop a</w:t>
      </w:r>
      <w:r w:rsidR="002B6C55" w:rsidRPr="002B6C55">
        <w:t xml:space="preserve"> list of potential equipment </w:t>
      </w:r>
      <w:r w:rsidR="00F9328E">
        <w:t xml:space="preserve">that </w:t>
      </w:r>
      <w:r w:rsidR="002B6C55" w:rsidRPr="002B6C55">
        <w:t>may be removed from service as a result of generated harmonics</w:t>
      </w:r>
      <w:r w:rsidR="00F17839">
        <w:t xml:space="preserve"> for each</w:t>
      </w:r>
      <w:r w:rsidR="002B6C55" w:rsidRPr="002B6C55">
        <w:t xml:space="preserve">. </w:t>
      </w:r>
    </w:p>
    <w:p w14:paraId="590A3425" w14:textId="77777777" w:rsidR="002B6C55" w:rsidRDefault="002B6C55" w:rsidP="00E534E9">
      <w:pPr>
        <w:jc w:val="both"/>
        <w:rPr>
          <w:highlight w:val="yellow"/>
        </w:rPr>
      </w:pPr>
    </w:p>
    <w:p w14:paraId="656700C6" w14:textId="3947A0ED" w:rsidR="00E534E9" w:rsidRDefault="00E534E9" w:rsidP="00E534E9">
      <w:pPr>
        <w:jc w:val="both"/>
      </w:pPr>
      <w:r>
        <w:t xml:space="preserve">To facilitate credible outage analysis based on the GMD events described in </w:t>
      </w:r>
      <w:r w:rsidR="0005543B">
        <w:t>paragraph</w:t>
      </w:r>
      <w:r w:rsidR="00B2183A">
        <w:t>s</w:t>
      </w:r>
      <w:r w:rsidR="0005543B">
        <w:t xml:space="preserve"> (2)(a)</w:t>
      </w:r>
      <w:r w:rsidR="00B2183A">
        <w:t xml:space="preserve"> and (2)(b)</w:t>
      </w:r>
      <w:r w:rsidR="0005543B">
        <w:t xml:space="preserve"> of </w:t>
      </w:r>
      <w:r>
        <w:t>Planning Guide</w:t>
      </w:r>
      <w:r w:rsidR="0005543B">
        <w:t xml:space="preserve"> Section</w:t>
      </w:r>
      <w:r>
        <w:t xml:space="preserve"> 6.11, TSPs and R</w:t>
      </w:r>
      <w:r w:rsidR="0004394E">
        <w:t xml:space="preserve">esource </w:t>
      </w:r>
      <w:r>
        <w:t>E</w:t>
      </w:r>
      <w:r w:rsidR="0004394E">
        <w:t>ntitie</w:t>
      </w:r>
      <w:r>
        <w:t>s will categorize event outages as outlined below</w:t>
      </w:r>
      <w:r w:rsidR="00910BF7">
        <w:t xml:space="preserve"> for the benchmark GMD event, then the supplemental GMD event, </w:t>
      </w:r>
      <w:r>
        <w:t xml:space="preserve">before submitting these outages to ERCOT to be included in the Benchmark </w:t>
      </w:r>
      <w:r w:rsidR="00F17839">
        <w:t xml:space="preserve">and Supplemental </w:t>
      </w:r>
      <w:r w:rsidR="009C6BBC">
        <w:t>GMDVA</w:t>
      </w:r>
      <w:r w:rsidR="00F17839">
        <w:t>s</w:t>
      </w:r>
      <w:r w:rsidR="003E2211">
        <w:t>.</w:t>
      </w:r>
      <w:r w:rsidR="00496FE0">
        <w:t xml:space="preserve"> </w:t>
      </w:r>
    </w:p>
    <w:p w14:paraId="3B95AAA2" w14:textId="77777777" w:rsidR="00E534E9" w:rsidRDefault="00E534E9" w:rsidP="00E534E9">
      <w:pPr>
        <w:jc w:val="both"/>
      </w:pPr>
    </w:p>
    <w:p w14:paraId="77BFE89B" w14:textId="338ABEDF" w:rsidR="00E534E9" w:rsidRDefault="000A677F" w:rsidP="006872BC">
      <w:pPr>
        <w:pStyle w:val="ListParagraph"/>
        <w:numPr>
          <w:ilvl w:val="0"/>
          <w:numId w:val="23"/>
        </w:numPr>
        <w:jc w:val="both"/>
      </w:pPr>
      <w:r>
        <w:t xml:space="preserve">Category </w:t>
      </w:r>
      <w:proofErr w:type="gramStart"/>
      <w:r>
        <w:t>A</w:t>
      </w:r>
      <w:proofErr w:type="gramEnd"/>
      <w:r>
        <w:t xml:space="preserve"> outage: equipment anticipated to have a high probability of tripping offline due to harmonics during the GMD event and may be studied simultaneously in the</w:t>
      </w:r>
      <w:r w:rsidR="00095F44">
        <w:t xml:space="preserve"> GMDVA</w:t>
      </w:r>
      <w:r>
        <w:t>.</w:t>
      </w:r>
    </w:p>
    <w:p w14:paraId="73828011" w14:textId="77777777" w:rsidR="009F4D5E" w:rsidRDefault="009F4D5E" w:rsidP="009F4D5E">
      <w:pPr>
        <w:pStyle w:val="ListParagraph"/>
        <w:ind w:left="1440"/>
        <w:jc w:val="both"/>
      </w:pPr>
    </w:p>
    <w:p w14:paraId="184B87C2" w14:textId="6CC94ED2" w:rsidR="00E534E9" w:rsidRDefault="000A677F" w:rsidP="006872BC">
      <w:pPr>
        <w:pStyle w:val="ListParagraph"/>
        <w:numPr>
          <w:ilvl w:val="0"/>
          <w:numId w:val="23"/>
        </w:numPr>
        <w:jc w:val="both"/>
      </w:pPr>
      <w:r>
        <w:t>Category B outage: equipment anticipated to have a lower probability of tripping offline due to harmonics during the GMD event and may be studied one at a time</w:t>
      </w:r>
      <w:r w:rsidR="00E534E9">
        <w:t xml:space="preserve"> </w:t>
      </w:r>
      <w:r>
        <w:t>in the</w:t>
      </w:r>
      <w:r w:rsidR="00095F44">
        <w:t xml:space="preserve"> GMDVA</w:t>
      </w:r>
      <w:r>
        <w:t>.</w:t>
      </w:r>
    </w:p>
    <w:p w14:paraId="24A3E449" w14:textId="77777777" w:rsidR="00E534E9" w:rsidRDefault="00E534E9" w:rsidP="00E534E9">
      <w:pPr>
        <w:pStyle w:val="ListParagraph"/>
        <w:ind w:left="1440"/>
        <w:jc w:val="both"/>
      </w:pPr>
    </w:p>
    <w:p w14:paraId="3D0A47AB" w14:textId="739B381F" w:rsidR="006E48EF" w:rsidRPr="00D16B57" w:rsidRDefault="00E534E9" w:rsidP="002B6C55">
      <w:pPr>
        <w:jc w:val="both"/>
      </w:pPr>
      <w:r>
        <w:t>TSPs and R</w:t>
      </w:r>
      <w:r w:rsidR="0004394E">
        <w:t xml:space="preserve">esource </w:t>
      </w:r>
      <w:r>
        <w:t>E</w:t>
      </w:r>
      <w:r w:rsidR="0004394E">
        <w:t>ntitie</w:t>
      </w:r>
      <w:r>
        <w:t>s will</w:t>
      </w:r>
      <w:r w:rsidR="002B6C55">
        <w:t xml:space="preserve"> be requested to</w:t>
      </w:r>
      <w:r>
        <w:t xml:space="preserve"> label each outage that could occur as a direct consequence of the GMD event only as either Category A or Category B.</w:t>
      </w:r>
    </w:p>
    <w:p w14:paraId="189597DA" w14:textId="2BD68AB0" w:rsidR="00245DE0" w:rsidRPr="00B6258E" w:rsidRDefault="0041416A" w:rsidP="0041416A">
      <w:pPr>
        <w:pStyle w:val="EPHeading2"/>
        <w:rPr>
          <w:color w:val="5B6770" w:themeColor="text2"/>
        </w:rPr>
      </w:pPr>
      <w:bookmarkStart w:id="24" w:name="_Toc71547256"/>
      <w:r w:rsidRPr="00B6258E">
        <w:rPr>
          <w:color w:val="5B6770" w:themeColor="text2"/>
        </w:rPr>
        <w:lastRenderedPageBreak/>
        <w:t>Method of Study</w:t>
      </w:r>
      <w:bookmarkEnd w:id="24"/>
    </w:p>
    <w:p w14:paraId="66843C5B" w14:textId="5E84E632" w:rsidR="006E48EF" w:rsidRDefault="006E48EF" w:rsidP="00737506">
      <w:pPr>
        <w:pStyle w:val="Heading3"/>
      </w:pPr>
      <w:bookmarkStart w:id="25" w:name="_Toc71547257"/>
      <w:r>
        <w:t>Reactive Losses</w:t>
      </w:r>
      <w:bookmarkEnd w:id="25"/>
    </w:p>
    <w:p w14:paraId="30F3E1BB" w14:textId="7C4A4C14" w:rsidR="006746D9" w:rsidRDefault="00CE5559" w:rsidP="006872BC">
      <w:pPr>
        <w:jc w:val="both"/>
      </w:pPr>
      <w:bookmarkStart w:id="26" w:name="_Toc43729884"/>
      <w:r>
        <w:t xml:space="preserve">The </w:t>
      </w:r>
      <w:proofErr w:type="spellStart"/>
      <w:r>
        <w:t>geoelectric</w:t>
      </w:r>
      <w:proofErr w:type="spellEnd"/>
      <w:r>
        <w:t xml:space="preserve"> field orientation that produces the most reactive power losses may not reveal all potential issues caused by the benchmark</w:t>
      </w:r>
      <w:r w:rsidR="00C76FFE">
        <w:t xml:space="preserve"> or supplemental</w:t>
      </w:r>
      <w:r>
        <w:t xml:space="preserve"> GMD event, thus a degree scan</w:t>
      </w:r>
      <w:r w:rsidR="009E06C5">
        <w:t xml:space="preserve"> </w:t>
      </w:r>
      <w:r w:rsidR="002C1768">
        <w:t>will be performed across</w:t>
      </w:r>
      <w:r w:rsidR="009E06C5">
        <w:t xml:space="preserve"> </w:t>
      </w:r>
      <w:r w:rsidR="006E48EF" w:rsidRPr="00D16B57">
        <w:t>the GIC system model</w:t>
      </w:r>
      <w:r>
        <w:t xml:space="preserve"> in 10-degree increments. The case used will have</w:t>
      </w:r>
      <w:r w:rsidR="006E48EF" w:rsidRPr="00D16B57">
        <w:t xml:space="preserve"> a baseline configuration </w:t>
      </w:r>
      <w:r>
        <w:t>with</w:t>
      </w:r>
      <w:r w:rsidR="009F4D5E">
        <w:t xml:space="preserve"> the </w:t>
      </w:r>
      <w:r w:rsidR="006E48EF" w:rsidRPr="00D16B57">
        <w:t xml:space="preserve">Category </w:t>
      </w:r>
      <w:proofErr w:type="gramStart"/>
      <w:r w:rsidR="006E48EF" w:rsidRPr="00D16B57">
        <w:t>A</w:t>
      </w:r>
      <w:proofErr w:type="gramEnd"/>
      <w:r w:rsidR="006E48EF" w:rsidRPr="00D16B57">
        <w:t xml:space="preserve"> outages applied to determine the reactive power losses produced for </w:t>
      </w:r>
      <w:r w:rsidR="009A2AED">
        <w:t>different</w:t>
      </w:r>
      <w:r w:rsidR="006E48EF" w:rsidRPr="00D16B57">
        <w:t xml:space="preserve"> orientation</w:t>
      </w:r>
      <w:r w:rsidR="009A2AED">
        <w:t>s</w:t>
      </w:r>
      <w:r w:rsidR="006E48EF" w:rsidRPr="00D16B57">
        <w:t>.</w:t>
      </w:r>
      <w:bookmarkEnd w:id="26"/>
    </w:p>
    <w:p w14:paraId="1A6A3FDA" w14:textId="72506014" w:rsidR="0092564C" w:rsidRDefault="0092564C" w:rsidP="006872BC">
      <w:pPr>
        <w:jc w:val="both"/>
      </w:pPr>
    </w:p>
    <w:p w14:paraId="0B47898F" w14:textId="40809FA1" w:rsidR="0079249D" w:rsidRDefault="00EC5B03" w:rsidP="006872BC">
      <w:pPr>
        <w:jc w:val="both"/>
      </w:pPr>
      <w:bookmarkStart w:id="27" w:name="_Toc43729886"/>
      <w:r>
        <w:t>For each orientation selected by the degree scan,</w:t>
      </w:r>
      <w:r w:rsidR="00134F82">
        <w:t xml:space="preserve"> a</w:t>
      </w:r>
      <w:r>
        <w:t xml:space="preserve"> change file with reactive losses modeled as loads having only MVAR values will be produced.  </w:t>
      </w:r>
      <w:r w:rsidR="00D9378C">
        <w:t>The r</w:t>
      </w:r>
      <w:r w:rsidR="00E03DD1" w:rsidRPr="00D16B57">
        <w:t>eactive power losses produced by DC Ties modeled without transformers</w:t>
      </w:r>
      <w:r w:rsidR="00E03DD1">
        <w:t xml:space="preserve"> </w:t>
      </w:r>
      <w:r w:rsidR="003E2211">
        <w:t>will be</w:t>
      </w:r>
      <w:r>
        <w:t xml:space="preserve"> calculated as described</w:t>
      </w:r>
      <w:r w:rsidR="009F4D5E">
        <w:t xml:space="preserve"> in Section 3.3</w:t>
      </w:r>
      <w:r w:rsidR="00E03DD1">
        <w:t xml:space="preserve">. </w:t>
      </w:r>
      <w:bookmarkEnd w:id="27"/>
    </w:p>
    <w:p w14:paraId="6F0347F6" w14:textId="50F6BEE1" w:rsidR="000C4AFB" w:rsidRDefault="00672B35" w:rsidP="006872BC">
      <w:pPr>
        <w:pStyle w:val="Heading3"/>
      </w:pPr>
      <w:bookmarkStart w:id="28" w:name="_Toc71547258"/>
      <w:r>
        <w:t xml:space="preserve">Steady State Voltage Performance </w:t>
      </w:r>
      <w:r w:rsidR="002E1EF5">
        <w:t>Analysis</w:t>
      </w:r>
      <w:bookmarkEnd w:id="28"/>
    </w:p>
    <w:p w14:paraId="31B59CE3" w14:textId="5C86520E" w:rsidR="00AC061E" w:rsidRDefault="00AC395A" w:rsidP="00960D9D">
      <w:pPr>
        <w:jc w:val="both"/>
      </w:pPr>
      <w:r>
        <w:t>The reactive power loss change f</w:t>
      </w:r>
      <w:r w:rsidR="00573102">
        <w:t>iles</w:t>
      </w:r>
      <w:r>
        <w:t>, as described in Section 4.2.1, will be used to incorporate reactive power losses to the GIC AC model for each orientation selected by the degree scan.</w:t>
      </w:r>
      <w:r w:rsidR="00AC061E">
        <w:t xml:space="preserve"> Category B outages </w:t>
      </w:r>
      <w:r w:rsidR="00182A33">
        <w:t>will be</w:t>
      </w:r>
      <w:r w:rsidR="00793243">
        <w:t xml:space="preserve"> </w:t>
      </w:r>
      <w:r w:rsidR="00AC061E">
        <w:t>applied one at a time</w:t>
      </w:r>
      <w:r w:rsidR="00182A33">
        <w:t xml:space="preserve"> as </w:t>
      </w:r>
      <w:r>
        <w:t>contingencies</w:t>
      </w:r>
      <w:r w:rsidR="00793243">
        <w:t xml:space="preserve"> and </w:t>
      </w:r>
      <w:proofErr w:type="spellStart"/>
      <w:r w:rsidR="00AC061E">
        <w:t>powerflow</w:t>
      </w:r>
      <w:proofErr w:type="spellEnd"/>
      <w:r w:rsidR="00AC061E">
        <w:t xml:space="preserve"> analysis</w:t>
      </w:r>
      <w:r w:rsidR="003E2211">
        <w:t xml:space="preserve"> will be</w:t>
      </w:r>
      <w:r w:rsidR="00AC061E">
        <w:t xml:space="preserve"> performed to determine if the system meets</w:t>
      </w:r>
      <w:r>
        <w:t xml:space="preserve"> the</w:t>
      </w:r>
      <w:r w:rsidR="00AC061E">
        <w:t xml:space="preserve"> steady-state voltage performance criteria. Unsolved </w:t>
      </w:r>
      <w:proofErr w:type="spellStart"/>
      <w:r w:rsidR="00AC061E">
        <w:t>powerflow</w:t>
      </w:r>
      <w:r w:rsidR="00BC5347">
        <w:t>s</w:t>
      </w:r>
      <w:proofErr w:type="spellEnd"/>
      <w:r w:rsidR="00AC061E">
        <w:t>, which may indicate potential voltage collapse issues, will also be investigated</w:t>
      </w:r>
      <w:r w:rsidR="00BC5347">
        <w:t>.</w:t>
      </w:r>
    </w:p>
    <w:p w14:paraId="2B41F165" w14:textId="77777777" w:rsidR="0020374C" w:rsidRDefault="0020374C" w:rsidP="00960D9D">
      <w:pPr>
        <w:jc w:val="both"/>
      </w:pPr>
    </w:p>
    <w:p w14:paraId="1704D745" w14:textId="601A1932" w:rsidR="00DD57C8" w:rsidRDefault="004441CA" w:rsidP="00475A44">
      <w:pPr>
        <w:jc w:val="both"/>
      </w:pPr>
      <w:r>
        <w:t>Manual system adjustments, such as transmissi</w:t>
      </w:r>
      <w:r w:rsidR="00542017">
        <w:t>on configuration changes</w:t>
      </w:r>
      <w:r w:rsidR="00672B35">
        <w:t>, transformer tap changes,</w:t>
      </w:r>
      <w:r w:rsidR="00DE7348">
        <w:t xml:space="preserve"> and </w:t>
      </w:r>
      <w:r w:rsidR="00672B35">
        <w:t xml:space="preserve">generation </w:t>
      </w:r>
      <w:r w:rsidR="00DE7348">
        <w:t>re-dispatch</w:t>
      </w:r>
      <w:r w:rsidR="00542017">
        <w:t>, will be</w:t>
      </w:r>
      <w:r>
        <w:t xml:space="preserve"> implemented</w:t>
      </w:r>
      <w:r w:rsidR="00542017">
        <w:t xml:space="preserve"> first</w:t>
      </w:r>
      <w:r>
        <w:t xml:space="preserve"> to </w:t>
      </w:r>
      <w:r w:rsidR="00DD57C8">
        <w:t>resolve any reliability criteria vio</w:t>
      </w:r>
      <w:r w:rsidR="00542017">
        <w:t>lations</w:t>
      </w:r>
      <w:r w:rsidR="00DD57C8">
        <w:t xml:space="preserve">. </w:t>
      </w:r>
      <w:r w:rsidR="00542017">
        <w:t>Reliability criteria violations that cannot be resolved with system adjustmen</w:t>
      </w:r>
      <w:r w:rsidR="009635F4">
        <w:t>ts will be discussed with TSPs</w:t>
      </w:r>
      <w:r w:rsidR="00D61DAD">
        <w:t xml:space="preserve"> and Resource Entities</w:t>
      </w:r>
      <w:r w:rsidR="009635F4">
        <w:t xml:space="preserve"> </w:t>
      </w:r>
      <w:r w:rsidR="00542017">
        <w:t xml:space="preserve">for feedback, which will then be used to develop CAPs as needed. </w:t>
      </w:r>
    </w:p>
    <w:p w14:paraId="6BEC99CE" w14:textId="20CFA78B" w:rsidR="000C4AFB" w:rsidRDefault="00AA2F4A" w:rsidP="000C4AFB">
      <w:pPr>
        <w:pStyle w:val="Heading3"/>
      </w:pPr>
      <w:bookmarkStart w:id="29" w:name="_Toc71547259"/>
      <w:r>
        <w:t>Cascading</w:t>
      </w:r>
      <w:r w:rsidR="000C4AFB">
        <w:t xml:space="preserve"> Analysis</w:t>
      </w:r>
      <w:bookmarkEnd w:id="29"/>
    </w:p>
    <w:p w14:paraId="4C6938F7" w14:textId="0BF572B3" w:rsidR="00AA73FE" w:rsidRDefault="00AA73FE" w:rsidP="007E2D3C">
      <w:pPr>
        <w:jc w:val="both"/>
      </w:pPr>
      <w:r>
        <w:t xml:space="preserve">Cascading analysis will be conducted to identify any potential cascading or uncontrolled separation events. Transmission </w:t>
      </w:r>
      <w:r w:rsidR="00874B00">
        <w:t>F</w:t>
      </w:r>
      <w:r>
        <w:t xml:space="preserve">acilities (100 kV and above) that exceed </w:t>
      </w:r>
      <w:r w:rsidR="00DA60A1">
        <w:t xml:space="preserve">the lower of </w:t>
      </w:r>
      <w:r>
        <w:t xml:space="preserve">their relay </w:t>
      </w:r>
      <w:proofErr w:type="spellStart"/>
      <w:r>
        <w:t>loadability</w:t>
      </w:r>
      <w:proofErr w:type="spellEnd"/>
      <w:r>
        <w:t xml:space="preserve"> limit</w:t>
      </w:r>
      <w:r w:rsidR="00DA60A1">
        <w:t xml:space="preserve"> or 125% of their emergency rating</w:t>
      </w:r>
      <w:r>
        <w:t xml:space="preserve"> will be assumed to trip automatically and will be removed from service.</w:t>
      </w:r>
    </w:p>
    <w:p w14:paraId="71B716EB" w14:textId="04E05D58" w:rsidR="00E4351E" w:rsidRDefault="00E4351E" w:rsidP="007E2D3C">
      <w:pPr>
        <w:jc w:val="both"/>
      </w:pPr>
    </w:p>
    <w:p w14:paraId="32BBF479" w14:textId="6810EA04" w:rsidR="000D25CE" w:rsidRDefault="00400EF7" w:rsidP="009635F4">
      <w:pPr>
        <w:jc w:val="both"/>
      </w:pPr>
      <w:r>
        <w:t>Load at b</w:t>
      </w:r>
      <w:r w:rsidR="00E4351E">
        <w:t>uses</w:t>
      </w:r>
      <w:r w:rsidR="00B370B3">
        <w:t xml:space="preserve"> with known UVLS protection schemes where the voltage falls below their </w:t>
      </w:r>
      <w:r w:rsidR="003503BA">
        <w:t>under-voltage</w:t>
      </w:r>
      <w:r w:rsidR="00B370B3">
        <w:t xml:space="preserve"> set point and </w:t>
      </w:r>
      <w:r w:rsidR="003503BA">
        <w:t>ge</w:t>
      </w:r>
      <w:r w:rsidR="00FA0900">
        <w:t>nerator</w:t>
      </w:r>
      <w:r w:rsidR="000B2129">
        <w:t>s with</w:t>
      </w:r>
      <w:r w:rsidR="00FA0900">
        <w:t xml:space="preserve"> buses on </w:t>
      </w:r>
      <w:r w:rsidR="00F60E0C">
        <w:t xml:space="preserve">the low </w:t>
      </w:r>
      <w:r w:rsidR="00FA0900">
        <w:t xml:space="preserve">side of the Generator Step </w:t>
      </w:r>
      <w:proofErr w:type="gramStart"/>
      <w:r w:rsidR="00FA0900">
        <w:t>Up</w:t>
      </w:r>
      <w:proofErr w:type="gramEnd"/>
      <w:r w:rsidR="00FA0900">
        <w:t xml:space="preserve"> (GSU) transformer that experience voltages lower than its </w:t>
      </w:r>
      <w:r w:rsidR="003503BA">
        <w:t>under-voltage</w:t>
      </w:r>
      <w:r w:rsidR="00FA0900">
        <w:t xml:space="preserve"> trip limits or higher than its </w:t>
      </w:r>
      <w:r w:rsidR="003503BA">
        <w:t>over-voltage</w:t>
      </w:r>
      <w:r w:rsidR="00FA0900">
        <w:t xml:space="preserve"> trip limits will also be assumed to trip automatically.</w:t>
      </w:r>
    </w:p>
    <w:p w14:paraId="77140EDD" w14:textId="77777777" w:rsidR="00427695" w:rsidRDefault="00427695" w:rsidP="009635F4">
      <w:pPr>
        <w:jc w:val="both"/>
      </w:pPr>
    </w:p>
    <w:p w14:paraId="288114E9" w14:textId="629DB93D" w:rsidR="0041416A" w:rsidRDefault="009635F4" w:rsidP="009635F4">
      <w:pPr>
        <w:jc w:val="both"/>
      </w:pPr>
      <w:r>
        <w:t xml:space="preserve">For </w:t>
      </w:r>
      <w:r w:rsidR="00D61DAD">
        <w:t xml:space="preserve">system deficiencies </w:t>
      </w:r>
      <w:r w:rsidR="00740178">
        <w:t xml:space="preserve">that </w:t>
      </w:r>
      <w:r w:rsidR="00AA2F4A">
        <w:t>are</w:t>
      </w:r>
      <w:r w:rsidR="00740178">
        <w:t xml:space="preserve"> a result of a potential cascading event, or uncontrolled islanding, CAPs will be developed </w:t>
      </w:r>
      <w:r>
        <w:t>in conjunction with TSPs and R</w:t>
      </w:r>
      <w:r w:rsidR="00525561">
        <w:t xml:space="preserve">esource </w:t>
      </w:r>
      <w:r>
        <w:t>E</w:t>
      </w:r>
      <w:r w:rsidR="00525561">
        <w:t>ntitie</w:t>
      </w:r>
      <w:r>
        <w:t xml:space="preserve">s. </w:t>
      </w:r>
    </w:p>
    <w:p w14:paraId="548AF612" w14:textId="055B02A1" w:rsidR="0065752F" w:rsidRDefault="00483C36" w:rsidP="0065752F">
      <w:pPr>
        <w:keepNext/>
        <w:jc w:val="both"/>
      </w:pPr>
      <w:r>
        <w:rPr>
          <w:noProof/>
          <w:lang w:eastAsia="ko-KR"/>
        </w:rPr>
        <w:lastRenderedPageBreak/>
        <w:drawing>
          <wp:inline distT="0" distB="0" distL="0" distR="0" wp14:anchorId="0F809E4D" wp14:editId="08BDFCCC">
            <wp:extent cx="5943600" cy="4455795"/>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MDVA_Flowchart.jpg"/>
                    <pic:cNvPicPr/>
                  </pic:nvPicPr>
                  <pic:blipFill>
                    <a:blip r:embed="rId21">
                      <a:extLst>
                        <a:ext uri="{28A0092B-C50C-407E-A947-70E740481C1C}">
                          <a14:useLocalDpi xmlns:a14="http://schemas.microsoft.com/office/drawing/2010/main" val="0"/>
                        </a:ext>
                      </a:extLst>
                    </a:blip>
                    <a:stretch>
                      <a:fillRect/>
                    </a:stretch>
                  </pic:blipFill>
                  <pic:spPr>
                    <a:xfrm>
                      <a:off x="0" y="0"/>
                      <a:ext cx="5943600" cy="4455795"/>
                    </a:xfrm>
                    <a:prstGeom prst="rect">
                      <a:avLst/>
                    </a:prstGeom>
                  </pic:spPr>
                </pic:pic>
              </a:graphicData>
            </a:graphic>
          </wp:inline>
        </w:drawing>
      </w:r>
    </w:p>
    <w:p w14:paraId="7B0C09E7" w14:textId="7B97C059" w:rsidR="0041416A" w:rsidRPr="003503BA" w:rsidRDefault="0065752F" w:rsidP="006872BC">
      <w:pPr>
        <w:pStyle w:val="Caption"/>
        <w:jc w:val="center"/>
      </w:pPr>
      <w:bookmarkStart w:id="30" w:name="_Toc44331234"/>
      <w:r w:rsidRPr="006872BC">
        <w:rPr>
          <w:b/>
        </w:rPr>
        <w:t xml:space="preserve">Figure </w:t>
      </w:r>
      <w:r w:rsidR="00060222" w:rsidRPr="006872BC">
        <w:rPr>
          <w:b/>
          <w:noProof/>
        </w:rPr>
        <w:fldChar w:fldCharType="begin"/>
      </w:r>
      <w:r w:rsidR="00060222" w:rsidRPr="006872BC">
        <w:rPr>
          <w:b/>
          <w:noProof/>
        </w:rPr>
        <w:instrText xml:space="preserve"> SEQ Figure \* ARABIC </w:instrText>
      </w:r>
      <w:r w:rsidR="00060222" w:rsidRPr="006872BC">
        <w:rPr>
          <w:b/>
          <w:noProof/>
        </w:rPr>
        <w:fldChar w:fldCharType="separate"/>
      </w:r>
      <w:r w:rsidRPr="006872BC">
        <w:rPr>
          <w:b/>
          <w:noProof/>
        </w:rPr>
        <w:t>2</w:t>
      </w:r>
      <w:r w:rsidR="00060222" w:rsidRPr="006872BC">
        <w:rPr>
          <w:b/>
          <w:noProof/>
        </w:rPr>
        <w:fldChar w:fldCharType="end"/>
      </w:r>
      <w:r w:rsidRPr="006872BC">
        <w:rPr>
          <w:b/>
        </w:rPr>
        <w:t>: GM</w:t>
      </w:r>
      <w:r w:rsidR="00095F44" w:rsidRPr="006872BC">
        <w:rPr>
          <w:b/>
        </w:rPr>
        <w:t>DVA</w:t>
      </w:r>
      <w:r w:rsidRPr="006872BC">
        <w:rPr>
          <w:b/>
        </w:rPr>
        <w:t xml:space="preserve"> Flowchart</w:t>
      </w:r>
      <w:bookmarkEnd w:id="30"/>
    </w:p>
    <w:p w14:paraId="2E96D90F" w14:textId="65681A9C" w:rsidR="00D16B57" w:rsidRDefault="00F41F69" w:rsidP="00B464A3">
      <w:pPr>
        <w:pStyle w:val="EPHeading1"/>
        <w:widowControl w:val="0"/>
      </w:pPr>
      <w:bookmarkStart w:id="31" w:name="_Toc71547260"/>
      <w:r>
        <w:t>Corrective Action Plans</w:t>
      </w:r>
      <w:bookmarkEnd w:id="31"/>
    </w:p>
    <w:p w14:paraId="2052D9A2" w14:textId="04F22184" w:rsidR="00D16B57" w:rsidRDefault="00D16B57" w:rsidP="00D16B57">
      <w:pPr>
        <w:pStyle w:val="Heading2"/>
      </w:pPr>
      <w:bookmarkStart w:id="32" w:name="_Toc71547261"/>
      <w:r>
        <w:t>Identifying CAPs</w:t>
      </w:r>
      <w:bookmarkEnd w:id="32"/>
    </w:p>
    <w:p w14:paraId="57FC8145" w14:textId="623E0542" w:rsidR="00D16B57" w:rsidRDefault="00D16B57" w:rsidP="004B737E">
      <w:pPr>
        <w:jc w:val="both"/>
      </w:pPr>
      <w:r>
        <w:t>ERCOT</w:t>
      </w:r>
      <w:r w:rsidR="00D61DAD">
        <w:t>, TSPs,</w:t>
      </w:r>
      <w:r>
        <w:t xml:space="preserve"> and </w:t>
      </w:r>
      <w:r w:rsidR="00D61DAD">
        <w:t>Resource Entitie</w:t>
      </w:r>
      <w:r>
        <w:t>s will develop and document CAPs to meet Benchmark</w:t>
      </w:r>
      <w:r w:rsidR="00DB68D2">
        <w:t xml:space="preserve"> and Supplemental</w:t>
      </w:r>
      <w:r>
        <w:t xml:space="preserve"> GMD Reliability performance requirements outlined in Section </w:t>
      </w:r>
      <w:r w:rsidR="00FC5E11">
        <w:t>3</w:t>
      </w:r>
      <w:r>
        <w:t>.</w:t>
      </w:r>
      <w:r w:rsidR="00D61DAD">
        <w:t>4</w:t>
      </w:r>
      <w:r>
        <w:t>. Each CAP will list system deficiencies and the associated actions required to meet the Benchmark</w:t>
      </w:r>
      <w:r w:rsidR="00DB68D2">
        <w:t xml:space="preserve"> and Supplemental</w:t>
      </w:r>
      <w:r>
        <w:t xml:space="preserve"> GMD Reliability Criteria. Examples of such actions include:</w:t>
      </w:r>
    </w:p>
    <w:p w14:paraId="08CF385B" w14:textId="77777777" w:rsidR="00D16B57" w:rsidRDefault="00D16B57" w:rsidP="004B737E">
      <w:pPr>
        <w:jc w:val="both"/>
      </w:pPr>
    </w:p>
    <w:p w14:paraId="0AFE80B1" w14:textId="5B6DB8FC" w:rsidR="00D16B57" w:rsidRDefault="00D16B57" w:rsidP="004B737E">
      <w:pPr>
        <w:pStyle w:val="ListParagraph"/>
        <w:numPr>
          <w:ilvl w:val="0"/>
          <w:numId w:val="10"/>
        </w:numPr>
        <w:jc w:val="both"/>
      </w:pPr>
      <w:r>
        <w:t xml:space="preserve">Installation, modification, retirement, or removal of </w:t>
      </w:r>
      <w:r w:rsidR="00832708">
        <w:t>T</w:t>
      </w:r>
      <w:r>
        <w:t xml:space="preserve">ransmission and generation </w:t>
      </w:r>
      <w:r w:rsidR="00832708">
        <w:t>F</w:t>
      </w:r>
      <w:r>
        <w:t>acilities, and any associated equipment.</w:t>
      </w:r>
    </w:p>
    <w:p w14:paraId="7827B3E1" w14:textId="137C06D1" w:rsidR="00D16B57" w:rsidRDefault="00D16B57" w:rsidP="004B737E">
      <w:pPr>
        <w:pStyle w:val="ListParagraph"/>
        <w:numPr>
          <w:ilvl w:val="0"/>
          <w:numId w:val="10"/>
        </w:numPr>
        <w:jc w:val="both"/>
      </w:pPr>
      <w:r>
        <w:t xml:space="preserve">Installation, modification, or removal of </w:t>
      </w:r>
      <w:r w:rsidR="00516DFB">
        <w:t>p</w:t>
      </w:r>
      <w:r>
        <w:t xml:space="preserve">rotection </w:t>
      </w:r>
      <w:r w:rsidR="00516DFB">
        <w:t>s</w:t>
      </w:r>
      <w:r>
        <w:t>ystems or Remedial Action Schemes.</w:t>
      </w:r>
    </w:p>
    <w:p w14:paraId="4A450ECF" w14:textId="0BA568A4" w:rsidR="00D16B57" w:rsidRDefault="00D16B57" w:rsidP="004B737E">
      <w:pPr>
        <w:pStyle w:val="ListParagraph"/>
        <w:numPr>
          <w:ilvl w:val="0"/>
          <w:numId w:val="10"/>
        </w:numPr>
        <w:jc w:val="both"/>
      </w:pPr>
      <w:r>
        <w:t>Use of Operating Procedures, specifying how long they will be needed as part of the CAP.</w:t>
      </w:r>
    </w:p>
    <w:p w14:paraId="75370541" w14:textId="126313E9" w:rsidR="00FC5E11" w:rsidRDefault="00D16B57" w:rsidP="004B737E">
      <w:pPr>
        <w:pStyle w:val="ListParagraph"/>
        <w:numPr>
          <w:ilvl w:val="0"/>
          <w:numId w:val="10"/>
        </w:numPr>
        <w:jc w:val="both"/>
      </w:pPr>
      <w:r>
        <w:t>Use of Demand-Side Management, new technologies, or other initiatives.</w:t>
      </w:r>
    </w:p>
    <w:p w14:paraId="7DFF9F7E" w14:textId="77777777" w:rsidR="00A5098B" w:rsidRDefault="00A5098B" w:rsidP="004B737E">
      <w:pPr>
        <w:jc w:val="both"/>
      </w:pPr>
    </w:p>
    <w:p w14:paraId="2F713355" w14:textId="41C451AD" w:rsidR="006E48EF" w:rsidRDefault="00FC5E11" w:rsidP="004B737E">
      <w:pPr>
        <w:jc w:val="both"/>
      </w:pPr>
      <w:r>
        <w:lastRenderedPageBreak/>
        <w:t xml:space="preserve">CAPs </w:t>
      </w:r>
      <w:r w:rsidR="00A5098B">
        <w:t xml:space="preserve">that propose upgrades or additions subject to Protocol Section 3.11.4 will be reviewed within the Regional Planning Group Review Process. All other CAPs will be reviewed by ERCOT to ensure that it addresses reliability </w:t>
      </w:r>
      <w:r w:rsidR="00D62570">
        <w:t xml:space="preserve">criteria. </w:t>
      </w:r>
    </w:p>
    <w:p w14:paraId="24CB0AFD" w14:textId="1C714DD9" w:rsidR="006E48EF" w:rsidRDefault="006E48EF" w:rsidP="006E48EF">
      <w:pPr>
        <w:pStyle w:val="EPHeading1"/>
      </w:pPr>
      <w:bookmarkStart w:id="33" w:name="_Toc71547262"/>
      <w:r>
        <w:t>Deliverables</w:t>
      </w:r>
      <w:bookmarkEnd w:id="33"/>
    </w:p>
    <w:p w14:paraId="7F666A9D" w14:textId="005C92B7" w:rsidR="00573102" w:rsidRDefault="002B6C55" w:rsidP="006872BC">
      <w:pPr>
        <w:jc w:val="both"/>
      </w:pPr>
      <w:r>
        <w:t xml:space="preserve">In the course of the analysis, the following information, at </w:t>
      </w:r>
      <w:r w:rsidR="00DD66E9">
        <w:t xml:space="preserve">a </w:t>
      </w:r>
      <w:r>
        <w:t xml:space="preserve">minimum, will be shared with stakeholders via </w:t>
      </w:r>
      <w:r w:rsidR="00060222">
        <w:t xml:space="preserve">the </w:t>
      </w:r>
      <w:r>
        <w:t>MIS</w:t>
      </w:r>
      <w:r w:rsidR="00DA60A1">
        <w:t xml:space="preserve"> TSP</w:t>
      </w:r>
      <w:r>
        <w:t xml:space="preserve"> </w:t>
      </w:r>
      <w:r w:rsidR="000D08E0">
        <w:t xml:space="preserve">Certified </w:t>
      </w:r>
      <w:r w:rsidR="00060222">
        <w:t>area</w:t>
      </w:r>
      <w:r w:rsidR="00573102">
        <w:t>:</w:t>
      </w:r>
    </w:p>
    <w:p w14:paraId="30878215" w14:textId="4A237DE3" w:rsidR="006746D9" w:rsidRDefault="006746D9" w:rsidP="006872BC">
      <w:pPr>
        <w:jc w:val="both"/>
      </w:pPr>
    </w:p>
    <w:p w14:paraId="7F833795" w14:textId="77777777" w:rsidR="000D08E0" w:rsidRDefault="000D08E0" w:rsidP="000D08E0">
      <w:pPr>
        <w:pStyle w:val="ListParagraph"/>
        <w:numPr>
          <w:ilvl w:val="0"/>
          <w:numId w:val="22"/>
        </w:numPr>
      </w:pPr>
      <w:r>
        <w:t>Initial GIC System model (GIC DC and AC models)</w:t>
      </w:r>
      <w:r w:rsidRPr="00A671DF">
        <w:rPr>
          <w:vertAlign w:val="superscript"/>
        </w:rPr>
        <w:t>1</w:t>
      </w:r>
    </w:p>
    <w:p w14:paraId="67F8393A" w14:textId="464AD603" w:rsidR="000D08E0" w:rsidRDefault="000D08E0" w:rsidP="000D08E0">
      <w:pPr>
        <w:pStyle w:val="ListParagraph"/>
        <w:numPr>
          <w:ilvl w:val="0"/>
          <w:numId w:val="22"/>
        </w:numPr>
      </w:pPr>
      <w:r>
        <w:t>TSP and RE identified Category A and B outages</w:t>
      </w:r>
      <w:r w:rsidR="000D51AF">
        <w:t xml:space="preserve"> in PSSE file format</w:t>
      </w:r>
    </w:p>
    <w:p w14:paraId="38B847B4" w14:textId="77777777" w:rsidR="000D08E0" w:rsidRDefault="000D08E0" w:rsidP="000D08E0">
      <w:pPr>
        <w:pStyle w:val="ListParagraph"/>
        <w:numPr>
          <w:ilvl w:val="0"/>
          <w:numId w:val="22"/>
        </w:numPr>
      </w:pPr>
      <w:r>
        <w:t>GIC System model cases with Category A outages</w:t>
      </w:r>
      <w:r w:rsidRPr="00E64A1B">
        <w:rPr>
          <w:vertAlign w:val="superscript"/>
        </w:rPr>
        <w:t>1</w:t>
      </w:r>
    </w:p>
    <w:p w14:paraId="72CA1061" w14:textId="7501F3FB" w:rsidR="00573102" w:rsidRDefault="00573102" w:rsidP="006872BC"/>
    <w:p w14:paraId="4CE34B47" w14:textId="229E1CDF" w:rsidR="00573102" w:rsidRDefault="00573102" w:rsidP="006872BC">
      <w:r>
        <w:t xml:space="preserve">The following information will be shared with stakeholders via the MIS </w:t>
      </w:r>
      <w:r w:rsidR="000D08E0">
        <w:t>Secure</w:t>
      </w:r>
      <w:r>
        <w:t xml:space="preserve"> area:</w:t>
      </w:r>
    </w:p>
    <w:p w14:paraId="34805127" w14:textId="77777777" w:rsidR="000D08E0" w:rsidRDefault="000D08E0" w:rsidP="006872BC"/>
    <w:p w14:paraId="616DB3E1" w14:textId="6FF4678C" w:rsidR="000D08E0" w:rsidRDefault="000D08E0" w:rsidP="000D08E0">
      <w:pPr>
        <w:pStyle w:val="ListParagraph"/>
        <w:numPr>
          <w:ilvl w:val="0"/>
          <w:numId w:val="22"/>
        </w:numPr>
      </w:pPr>
      <w:r>
        <w:t>GMDVA study cases (AC model)</w:t>
      </w:r>
      <w:r w:rsidR="00FF30A9">
        <w:rPr>
          <w:vertAlign w:val="superscript"/>
        </w:rPr>
        <w:t>1</w:t>
      </w:r>
    </w:p>
    <w:p w14:paraId="489AACCF" w14:textId="77777777" w:rsidR="000D08E0" w:rsidRDefault="000D08E0" w:rsidP="000D08E0">
      <w:pPr>
        <w:pStyle w:val="ListParagraph"/>
        <w:numPr>
          <w:ilvl w:val="0"/>
          <w:numId w:val="22"/>
        </w:numPr>
      </w:pPr>
      <w:r>
        <w:t xml:space="preserve">Reactive power losses for all orientations </w:t>
      </w:r>
    </w:p>
    <w:p w14:paraId="70E45484" w14:textId="47623BC5" w:rsidR="000D08E0" w:rsidRDefault="000D08E0" w:rsidP="000D08E0">
      <w:pPr>
        <w:pStyle w:val="ListParagraph"/>
        <w:numPr>
          <w:ilvl w:val="0"/>
          <w:numId w:val="22"/>
        </w:numPr>
      </w:pPr>
      <w:r>
        <w:t>Preliminary Benchmark</w:t>
      </w:r>
      <w:r w:rsidR="00DB68D2">
        <w:t xml:space="preserve"> and Supplemental</w:t>
      </w:r>
      <w:r>
        <w:t xml:space="preserve"> GMDVA Assessment results with preliminary CAPs</w:t>
      </w:r>
    </w:p>
    <w:p w14:paraId="1D26815E" w14:textId="5A97D9F6" w:rsidR="000D08E0" w:rsidRDefault="000D08E0">
      <w:pPr>
        <w:pStyle w:val="ListParagraph"/>
        <w:numPr>
          <w:ilvl w:val="0"/>
          <w:numId w:val="22"/>
        </w:numPr>
      </w:pPr>
      <w:r>
        <w:t xml:space="preserve">Final Benchmark </w:t>
      </w:r>
      <w:r w:rsidR="00DB68D2">
        <w:t xml:space="preserve">and Supplemental </w:t>
      </w:r>
      <w:r>
        <w:t>GMDVA Report and CAPs</w:t>
      </w:r>
    </w:p>
    <w:p w14:paraId="55D127DC" w14:textId="77777777" w:rsidR="000D08E0" w:rsidRPr="000D08E0" w:rsidRDefault="000D08E0" w:rsidP="006872BC">
      <w:pPr>
        <w:ind w:left="360"/>
      </w:pPr>
    </w:p>
    <w:p w14:paraId="147AF583" w14:textId="7A7532DF" w:rsidR="00E77059" w:rsidRPr="00A36FD4" w:rsidRDefault="000D08E0" w:rsidP="006872BC">
      <w:r w:rsidRPr="006872BC">
        <w:rPr>
          <w:sz w:val="22"/>
          <w:vertAlign w:val="superscript"/>
        </w:rPr>
        <w:t xml:space="preserve">1 </w:t>
      </w:r>
      <w:r w:rsidRPr="006872BC">
        <w:rPr>
          <w:sz w:val="22"/>
        </w:rPr>
        <w:t>Cases for both the 2022 Summer Peak load and 2022 Minimum load models will be provided.</w:t>
      </w:r>
    </w:p>
    <w:sectPr w:rsidR="00E77059" w:rsidRPr="00A36FD4">
      <w:headerReference w:type="default" r:id="rId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F12ADB" w14:textId="77777777" w:rsidR="00BD50E1" w:rsidRDefault="00BD50E1" w:rsidP="0098347E">
      <w:r>
        <w:separator/>
      </w:r>
    </w:p>
  </w:endnote>
  <w:endnote w:type="continuationSeparator" w:id="0">
    <w:p w14:paraId="6ADC9400" w14:textId="77777777" w:rsidR="00BD50E1" w:rsidRDefault="00BD50E1" w:rsidP="009834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LT">
    <w:panose1 w:val="020B0506030503020504"/>
    <w:charset w:val="00"/>
    <w:family w:val="swiss"/>
    <w:pitch w:val="variable"/>
    <w:sig w:usb0="A00000AF" w:usb1="4000004A" w:usb2="00000010" w:usb3="00000000" w:csb0="00000119" w:csb1="00000000"/>
  </w:font>
  <w:font w:name="Gulim">
    <w:altName w:val="굴림"/>
    <w:panose1 w:val="020B0600000101010101"/>
    <w:charset w:val="81"/>
    <w:family w:val="roman"/>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AF58B" w14:textId="0C7AC24D" w:rsidR="004500EC" w:rsidRPr="00F923C7" w:rsidRDefault="004500EC" w:rsidP="004500EC">
    <w:pPr>
      <w:pStyle w:val="table"/>
      <w:tabs>
        <w:tab w:val="right" w:pos="8460"/>
      </w:tabs>
      <w:rPr>
        <w:color w:val="00ACC8" w:themeColor="accent1"/>
        <w:sz w:val="16"/>
        <w:szCs w:val="16"/>
      </w:rPr>
    </w:pPr>
    <w:r w:rsidRPr="00F923C7">
      <w:rPr>
        <w:rStyle w:val="PageNumber"/>
        <w:color w:val="00ACC8" w:themeColor="accent1"/>
        <w:sz w:val="16"/>
        <w:szCs w:val="16"/>
      </w:rPr>
      <w:t>©</w:t>
    </w:r>
    <w:r w:rsidR="00AB07EA">
      <w:rPr>
        <w:rStyle w:val="PageNumber"/>
        <w:color w:val="00ACC8" w:themeColor="accent1"/>
        <w:sz w:val="16"/>
        <w:szCs w:val="16"/>
      </w:rPr>
      <w:t xml:space="preserve"> 2021</w:t>
    </w:r>
    <w:r w:rsidRPr="00F923C7">
      <w:rPr>
        <w:rStyle w:val="PageNumber"/>
        <w:color w:val="00ACC8" w:themeColor="accent1"/>
        <w:sz w:val="16"/>
        <w:szCs w:val="16"/>
      </w:rPr>
      <w:t xml:space="preserve"> ERCOT</w:t>
    </w:r>
    <w:r>
      <w:rPr>
        <w:rStyle w:val="PageNumber"/>
        <w:color w:val="00ACC8" w:themeColor="accent1"/>
        <w:sz w:val="16"/>
        <w:szCs w:val="16"/>
      </w:rPr>
      <w:tab/>
      <w:t xml:space="preserve">    </w:t>
    </w:r>
    <w:r>
      <w:rPr>
        <w:rStyle w:val="PageNumber"/>
        <w:color w:val="00ACC8" w:themeColor="accent1"/>
        <w:sz w:val="16"/>
        <w:szCs w:val="16"/>
      </w:rPr>
      <w:tab/>
    </w:r>
    <w:r w:rsidRPr="00A36FD4">
      <w:rPr>
        <w:rStyle w:val="PageNumber"/>
        <w:color w:val="5B6770" w:themeColor="text2"/>
        <w:sz w:val="22"/>
        <w:szCs w:val="16"/>
      </w:rPr>
      <w:fldChar w:fldCharType="begin"/>
    </w:r>
    <w:r w:rsidRPr="00A36FD4">
      <w:rPr>
        <w:rStyle w:val="PageNumber"/>
        <w:color w:val="5B6770" w:themeColor="text2"/>
        <w:sz w:val="22"/>
        <w:szCs w:val="16"/>
      </w:rPr>
      <w:instrText xml:space="preserve"> PAGE  \* Arabic  \* MERGEFORMAT </w:instrText>
    </w:r>
    <w:r w:rsidRPr="00A36FD4">
      <w:rPr>
        <w:rStyle w:val="PageNumber"/>
        <w:color w:val="5B6770" w:themeColor="text2"/>
        <w:sz w:val="22"/>
        <w:szCs w:val="16"/>
      </w:rPr>
      <w:fldChar w:fldCharType="separate"/>
    </w:r>
    <w:r w:rsidR="003F469E">
      <w:rPr>
        <w:rStyle w:val="PageNumber"/>
        <w:noProof/>
        <w:color w:val="5B6770" w:themeColor="text2"/>
        <w:sz w:val="22"/>
        <w:szCs w:val="16"/>
      </w:rPr>
      <w:t>9</w:t>
    </w:r>
    <w:r w:rsidRPr="00A36FD4">
      <w:rPr>
        <w:rStyle w:val="PageNumber"/>
        <w:color w:val="5B6770" w:themeColor="text2"/>
        <w:sz w:val="22"/>
        <w:szCs w:val="16"/>
      </w:rPr>
      <w:fldChar w:fldCharType="end"/>
    </w:r>
    <w:r w:rsidRPr="00A36FD4">
      <w:rPr>
        <w:rStyle w:val="PageNumber"/>
        <w:color w:val="5B6770" w:themeColor="text2"/>
        <w:sz w:val="22"/>
        <w:szCs w:val="16"/>
      </w:rPr>
      <w:br/>
    </w:r>
    <w:r w:rsidRPr="00F923C7">
      <w:rPr>
        <w:rStyle w:val="PageNumber"/>
        <w:color w:val="00ACC8" w:themeColor="accent1"/>
        <w:sz w:val="16"/>
        <w:szCs w:val="16"/>
      </w:rPr>
      <w:t>All rights reserved.</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auto"/>
      </w:tblBorders>
      <w:tblLook w:val="01E0" w:firstRow="1" w:lastRow="1" w:firstColumn="1" w:lastColumn="1" w:noHBand="0" w:noVBand="0"/>
    </w:tblPr>
    <w:tblGrid>
      <w:gridCol w:w="4680"/>
      <w:gridCol w:w="4680"/>
    </w:tblGrid>
    <w:tr w:rsidR="004500EC" w:rsidRPr="006D7974" w14:paraId="147AF592" w14:textId="77777777" w:rsidTr="004500EC">
      <w:tc>
        <w:tcPr>
          <w:tcW w:w="2500" w:type="pct"/>
          <w:shd w:val="clear" w:color="auto" w:fill="auto"/>
          <w:vAlign w:val="center"/>
        </w:tcPr>
        <w:p w14:paraId="147AF590" w14:textId="77777777" w:rsidR="004500EC" w:rsidRPr="00646598" w:rsidRDefault="004500EC" w:rsidP="004500EC">
          <w:pPr>
            <w:pStyle w:val="table"/>
            <w:tabs>
              <w:tab w:val="right" w:pos="8460"/>
            </w:tabs>
            <w:rPr>
              <w:iCs/>
              <w:color w:val="00ACC8" w:themeColor="accent1"/>
              <w:sz w:val="16"/>
              <w:szCs w:val="16"/>
            </w:rPr>
          </w:pPr>
          <w:r w:rsidRPr="00646598">
            <w:rPr>
              <w:rStyle w:val="PageNumber"/>
              <w:color w:val="00ACC8" w:themeColor="accent1"/>
            </w:rPr>
            <w:t>ERCOT</w:t>
          </w:r>
        </w:p>
      </w:tc>
      <w:tc>
        <w:tcPr>
          <w:tcW w:w="2500" w:type="pct"/>
          <w:shd w:val="clear" w:color="auto" w:fill="auto"/>
          <w:vAlign w:val="center"/>
        </w:tcPr>
        <w:p w14:paraId="147AF591" w14:textId="44E4E9B2" w:rsidR="004500EC" w:rsidRPr="006D7974" w:rsidRDefault="00AB07EA" w:rsidP="00AB07EA">
          <w:pPr>
            <w:spacing w:before="40" w:after="40"/>
            <w:jc w:val="right"/>
            <w:rPr>
              <w:rFonts w:cs="Arial"/>
              <w:iCs/>
              <w:color w:val="00ACC8" w:themeColor="accent1"/>
              <w:sz w:val="18"/>
            </w:rPr>
          </w:pPr>
          <w:r>
            <w:rPr>
              <w:rFonts w:cs="Arial"/>
              <w:iCs/>
              <w:color w:val="00ACC8" w:themeColor="accent1"/>
              <w:sz w:val="18"/>
            </w:rPr>
            <w:t>May</w:t>
          </w:r>
          <w:r w:rsidR="004C65D1" w:rsidRPr="006D7974">
            <w:rPr>
              <w:rFonts w:cs="Arial"/>
              <w:iCs/>
              <w:color w:val="00ACC8" w:themeColor="accent1"/>
              <w:sz w:val="18"/>
            </w:rPr>
            <w:t xml:space="preserve"> </w:t>
          </w:r>
          <w:r w:rsidR="004500EC" w:rsidRPr="006D7974">
            <w:rPr>
              <w:rFonts w:cs="Arial"/>
              <w:iCs/>
              <w:color w:val="00ACC8" w:themeColor="accent1"/>
              <w:sz w:val="18"/>
            </w:rPr>
            <w:t>20</w:t>
          </w:r>
          <w:r w:rsidR="004500EC">
            <w:rPr>
              <w:rFonts w:cs="Arial"/>
              <w:iCs/>
              <w:color w:val="00ACC8" w:themeColor="accent1"/>
              <w:sz w:val="18"/>
            </w:rPr>
            <w:t>2</w:t>
          </w:r>
          <w:r>
            <w:rPr>
              <w:rFonts w:cs="Arial"/>
              <w:iCs/>
              <w:color w:val="00ACC8" w:themeColor="accent1"/>
              <w:sz w:val="18"/>
            </w:rPr>
            <w:t>1</w:t>
          </w:r>
        </w:p>
      </w:tc>
    </w:tr>
  </w:tbl>
  <w:p w14:paraId="147AF593" w14:textId="77777777" w:rsidR="004500EC" w:rsidRDefault="004500EC" w:rsidP="004500E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AC846A" w14:textId="77777777" w:rsidR="00BD50E1" w:rsidRDefault="00BD50E1" w:rsidP="0098347E">
      <w:r>
        <w:separator/>
      </w:r>
    </w:p>
  </w:footnote>
  <w:footnote w:type="continuationSeparator" w:id="0">
    <w:p w14:paraId="6E5531CF" w14:textId="77777777" w:rsidR="00BD50E1" w:rsidRDefault="00BD50E1" w:rsidP="009834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AF58A" w14:textId="7D2D7E49" w:rsidR="004500EC" w:rsidRPr="00F923C7" w:rsidRDefault="004500EC" w:rsidP="004500EC">
    <w:pPr>
      <w:pStyle w:val="Header"/>
      <w:rPr>
        <w:rFonts w:cs="Arial"/>
        <w:sz w:val="16"/>
        <w:szCs w:val="16"/>
      </w:rPr>
    </w:pPr>
    <w:r>
      <w:rPr>
        <w:rFonts w:cs="Arial"/>
        <w:sz w:val="16"/>
        <w:szCs w:val="16"/>
      </w:rPr>
      <w:t>2</w:t>
    </w:r>
    <w:r w:rsidR="00AB07EA">
      <w:rPr>
        <w:rFonts w:cs="Arial"/>
        <w:sz w:val="16"/>
        <w:szCs w:val="16"/>
      </w:rPr>
      <w:t>02</w:t>
    </w:r>
    <w:r w:rsidR="00B75120">
      <w:rPr>
        <w:rFonts w:cs="Arial"/>
        <w:sz w:val="16"/>
        <w:szCs w:val="16"/>
      </w:rPr>
      <w:t>1</w:t>
    </w:r>
    <w:r>
      <w:rPr>
        <w:rFonts w:cs="Arial"/>
        <w:sz w:val="16"/>
        <w:szCs w:val="16"/>
      </w:rPr>
      <w:t xml:space="preserve"> Benchmark</w:t>
    </w:r>
    <w:r w:rsidR="00AB07EA">
      <w:rPr>
        <w:rFonts w:cs="Arial"/>
        <w:sz w:val="16"/>
        <w:szCs w:val="16"/>
      </w:rPr>
      <w:t xml:space="preserve"> and Supplemental</w:t>
    </w:r>
    <w:r>
      <w:rPr>
        <w:rFonts w:cs="Arial"/>
        <w:sz w:val="16"/>
        <w:szCs w:val="16"/>
      </w:rPr>
      <w:t xml:space="preserve"> GMD Vulnerability Assessment Scope and Process</w:t>
    </w:r>
    <w:r w:rsidRPr="00F923C7">
      <w:rPr>
        <w:rFonts w:cs="Arial"/>
        <w:sz w:val="16"/>
        <w:szCs w:val="16"/>
      </w:rPr>
      <w:tab/>
      <w:t xml:space="preserve">ERCOT </w:t>
    </w:r>
    <w:r>
      <w:rPr>
        <w:rFonts w:cs="Arial"/>
        <w:sz w:val="16"/>
        <w:szCs w:val="16"/>
      </w:rPr>
      <w:t>Public</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bottom w:val="single" w:sz="4" w:space="0" w:color="auto"/>
      </w:tblBorders>
      <w:shd w:val="clear" w:color="auto" w:fill="FFFFFF" w:themeFill="background1"/>
      <w:tblLook w:val="01E0" w:firstRow="1" w:lastRow="1" w:firstColumn="1" w:lastColumn="1" w:noHBand="0" w:noVBand="0"/>
    </w:tblPr>
    <w:tblGrid>
      <w:gridCol w:w="4680"/>
      <w:gridCol w:w="4680"/>
    </w:tblGrid>
    <w:tr w:rsidR="004500EC" w:rsidRPr="00646598" w14:paraId="147AF58E" w14:textId="77777777" w:rsidTr="004500EC">
      <w:tc>
        <w:tcPr>
          <w:tcW w:w="2500" w:type="pct"/>
          <w:shd w:val="clear" w:color="auto" w:fill="FFFFFF" w:themeFill="background1"/>
          <w:vAlign w:val="center"/>
        </w:tcPr>
        <w:p w14:paraId="147AF58C" w14:textId="5552A6B0" w:rsidR="004500EC" w:rsidRPr="00646598" w:rsidRDefault="004500EC" w:rsidP="00B75120">
          <w:pPr>
            <w:pStyle w:val="Header"/>
            <w:spacing w:before="40" w:after="40"/>
            <w:rPr>
              <w:rFonts w:cs="Arial"/>
              <w:iCs/>
              <w:color w:val="00ACC8" w:themeColor="accent1"/>
              <w:sz w:val="16"/>
              <w:szCs w:val="16"/>
            </w:rPr>
          </w:pPr>
          <w:r>
            <w:rPr>
              <w:rFonts w:cs="Arial"/>
              <w:iCs/>
              <w:color w:val="00ACC8" w:themeColor="accent1"/>
              <w:sz w:val="18"/>
              <w:szCs w:val="16"/>
            </w:rPr>
            <w:t>2</w:t>
          </w:r>
          <w:r w:rsidR="00AB07EA">
            <w:rPr>
              <w:rFonts w:cs="Arial"/>
              <w:iCs/>
              <w:color w:val="00ACC8" w:themeColor="accent1"/>
              <w:sz w:val="18"/>
              <w:szCs w:val="16"/>
            </w:rPr>
            <w:t>02</w:t>
          </w:r>
          <w:r w:rsidR="00B75120">
            <w:rPr>
              <w:rFonts w:cs="Arial"/>
              <w:iCs/>
              <w:color w:val="00ACC8" w:themeColor="accent1"/>
              <w:sz w:val="18"/>
              <w:szCs w:val="16"/>
            </w:rPr>
            <w:t>1</w:t>
          </w:r>
          <w:r>
            <w:rPr>
              <w:rFonts w:cs="Arial"/>
              <w:iCs/>
              <w:color w:val="00ACC8" w:themeColor="accent1"/>
              <w:sz w:val="18"/>
              <w:szCs w:val="16"/>
            </w:rPr>
            <w:t xml:space="preserve"> Benchmark </w:t>
          </w:r>
          <w:r w:rsidR="00AB07EA">
            <w:rPr>
              <w:rFonts w:cs="Arial"/>
              <w:iCs/>
              <w:color w:val="00ACC8" w:themeColor="accent1"/>
              <w:sz w:val="18"/>
              <w:szCs w:val="16"/>
            </w:rPr>
            <w:t xml:space="preserve">and Supplemental </w:t>
          </w:r>
          <w:r>
            <w:rPr>
              <w:rFonts w:cs="Arial"/>
              <w:iCs/>
              <w:color w:val="00ACC8" w:themeColor="accent1"/>
              <w:sz w:val="18"/>
              <w:szCs w:val="16"/>
            </w:rPr>
            <w:t>GMD Vulnerability Assessment Scope and Process</w:t>
          </w:r>
        </w:p>
      </w:tc>
      <w:tc>
        <w:tcPr>
          <w:tcW w:w="2500" w:type="pct"/>
          <w:shd w:val="clear" w:color="auto" w:fill="FFFFFF" w:themeFill="background1"/>
          <w:vAlign w:val="center"/>
        </w:tcPr>
        <w:p w14:paraId="147AF58D" w14:textId="5EA255CA" w:rsidR="004500EC" w:rsidRPr="00646598" w:rsidRDefault="004500EC" w:rsidP="004500EC">
          <w:pPr>
            <w:pStyle w:val="Header"/>
            <w:spacing w:before="40" w:after="40"/>
            <w:jc w:val="right"/>
            <w:rPr>
              <w:rFonts w:cs="Arial"/>
              <w:b/>
              <w:iCs/>
              <w:color w:val="00ACC8" w:themeColor="accent1"/>
              <w:sz w:val="18"/>
            </w:rPr>
          </w:pPr>
          <w:r>
            <w:rPr>
              <w:rFonts w:cs="Arial"/>
              <w:b/>
              <w:iCs/>
              <w:color w:val="00ACC8" w:themeColor="accent1"/>
              <w:sz w:val="18"/>
            </w:rPr>
            <w:t>ERCOT Public</w:t>
          </w:r>
        </w:p>
      </w:tc>
    </w:tr>
  </w:tbl>
  <w:p w14:paraId="147AF58F" w14:textId="77777777" w:rsidR="004500EC" w:rsidRDefault="004500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3CD965" w14:textId="5ED184A1" w:rsidR="004500EC" w:rsidRPr="00F923C7" w:rsidRDefault="004500EC" w:rsidP="00D27F07">
    <w:pPr>
      <w:pStyle w:val="Header"/>
      <w:rPr>
        <w:rFonts w:cs="Arial"/>
        <w:sz w:val="16"/>
        <w:szCs w:val="16"/>
      </w:rPr>
    </w:pPr>
    <w:r>
      <w:rPr>
        <w:rFonts w:cs="Arial"/>
        <w:sz w:val="16"/>
        <w:szCs w:val="16"/>
      </w:rPr>
      <w:t>2</w:t>
    </w:r>
    <w:r w:rsidR="00AB07EA">
      <w:rPr>
        <w:rFonts w:cs="Arial"/>
        <w:sz w:val="16"/>
        <w:szCs w:val="16"/>
      </w:rPr>
      <w:t>02</w:t>
    </w:r>
    <w:r w:rsidR="00B75120">
      <w:rPr>
        <w:rFonts w:cs="Arial"/>
        <w:sz w:val="16"/>
        <w:szCs w:val="16"/>
      </w:rPr>
      <w:t>1</w:t>
    </w:r>
    <w:r>
      <w:rPr>
        <w:rFonts w:cs="Arial"/>
        <w:sz w:val="16"/>
        <w:szCs w:val="16"/>
      </w:rPr>
      <w:t xml:space="preserve"> Benchmark GMD Vulnerability Assessment Scope and Process</w:t>
    </w:r>
    <w:r w:rsidRPr="00F923C7">
      <w:rPr>
        <w:rFonts w:cs="Arial"/>
        <w:sz w:val="16"/>
        <w:szCs w:val="16"/>
      </w:rPr>
      <w:tab/>
      <w:t xml:space="preserve">ERCOT </w:t>
    </w:r>
    <w:r>
      <w:rPr>
        <w:rFonts w:cs="Arial"/>
        <w:sz w:val="16"/>
        <w:szCs w:val="16"/>
      </w:rPr>
      <w:t>Public</w:t>
    </w:r>
  </w:p>
  <w:p w14:paraId="147AF594" w14:textId="3B9F8EFA" w:rsidR="004500EC" w:rsidRPr="00D27F07" w:rsidRDefault="004500EC" w:rsidP="00D27F0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CF6624"/>
    <w:multiLevelType w:val="hybridMultilevel"/>
    <w:tmpl w:val="6C3A5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9377AC"/>
    <w:multiLevelType w:val="hybridMultilevel"/>
    <w:tmpl w:val="857687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5075ACD"/>
    <w:multiLevelType w:val="hybridMultilevel"/>
    <w:tmpl w:val="61DE07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9F91FD2"/>
    <w:multiLevelType w:val="multilevel"/>
    <w:tmpl w:val="F7460490"/>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color w:val="5B6770" w:themeColor="text2"/>
      </w:rPr>
    </w:lvl>
    <w:lvl w:ilvl="2">
      <w:start w:val="1"/>
      <w:numFmt w:val="decimal"/>
      <w:pStyle w:val="Heading3"/>
      <w:lvlText w:val="%1.%2.%3."/>
      <w:lvlJc w:val="left"/>
      <w:pPr>
        <w:tabs>
          <w:tab w:val="num" w:pos="3960"/>
        </w:tabs>
        <w:ind w:left="3960" w:hanging="720"/>
      </w:pPr>
      <w:rPr>
        <w:rFonts w:hint="default"/>
      </w:rPr>
    </w:lvl>
    <w:lvl w:ilvl="3">
      <w:start w:val="1"/>
      <w:numFmt w:val="decimal"/>
      <w:pStyle w:val="Heading4"/>
      <w:lvlText w:val="%1.%2.%3.%4."/>
      <w:lvlJc w:val="left"/>
      <w:pPr>
        <w:tabs>
          <w:tab w:val="num" w:pos="4867"/>
        </w:tabs>
        <w:ind w:left="5587" w:hanging="1440"/>
      </w:pPr>
      <w:rPr>
        <w:rFonts w:hint="default"/>
      </w:rPr>
    </w:lvl>
    <w:lvl w:ilvl="4">
      <w:start w:val="1"/>
      <w:numFmt w:val="decimal"/>
      <w:lvlText w:val="%1.%2.%3.%4.%5."/>
      <w:lvlJc w:val="left"/>
      <w:pPr>
        <w:tabs>
          <w:tab w:val="num" w:pos="727"/>
        </w:tabs>
        <w:ind w:left="439" w:hanging="792"/>
      </w:pPr>
      <w:rPr>
        <w:rFonts w:hint="default"/>
      </w:rPr>
    </w:lvl>
    <w:lvl w:ilvl="5">
      <w:start w:val="1"/>
      <w:numFmt w:val="decimal"/>
      <w:lvlText w:val="%1.%2.%3.%4.%5.%6."/>
      <w:lvlJc w:val="left"/>
      <w:pPr>
        <w:tabs>
          <w:tab w:val="num" w:pos="1087"/>
        </w:tabs>
        <w:ind w:left="943" w:hanging="936"/>
      </w:pPr>
      <w:rPr>
        <w:rFonts w:hint="default"/>
      </w:rPr>
    </w:lvl>
    <w:lvl w:ilvl="6">
      <w:start w:val="1"/>
      <w:numFmt w:val="decimal"/>
      <w:lvlText w:val="%1.%2.%3.%4.%5.%6.%7."/>
      <w:lvlJc w:val="left"/>
      <w:pPr>
        <w:tabs>
          <w:tab w:val="num" w:pos="1807"/>
        </w:tabs>
        <w:ind w:left="1447" w:hanging="1080"/>
      </w:pPr>
      <w:rPr>
        <w:rFonts w:hint="default"/>
      </w:rPr>
    </w:lvl>
    <w:lvl w:ilvl="7">
      <w:start w:val="1"/>
      <w:numFmt w:val="decimal"/>
      <w:lvlText w:val="%1.%2.%3.%4.%5.%6.%7.%8."/>
      <w:lvlJc w:val="left"/>
      <w:pPr>
        <w:tabs>
          <w:tab w:val="num" w:pos="2167"/>
        </w:tabs>
        <w:ind w:left="1951" w:hanging="1224"/>
      </w:pPr>
      <w:rPr>
        <w:rFonts w:hint="default"/>
      </w:rPr>
    </w:lvl>
    <w:lvl w:ilvl="8">
      <w:start w:val="1"/>
      <w:numFmt w:val="decimal"/>
      <w:lvlText w:val="%1.%2.%3.%4.%5.%6.%7.%8.%9."/>
      <w:lvlJc w:val="left"/>
      <w:pPr>
        <w:tabs>
          <w:tab w:val="num" w:pos="2887"/>
        </w:tabs>
        <w:ind w:left="2527" w:hanging="1440"/>
      </w:pPr>
      <w:rPr>
        <w:rFonts w:hint="default"/>
      </w:rPr>
    </w:lvl>
  </w:abstractNum>
  <w:abstractNum w:abstractNumId="4" w15:restartNumberingAfterBreak="0">
    <w:nsid w:val="2A065730"/>
    <w:multiLevelType w:val="hybridMultilevel"/>
    <w:tmpl w:val="E034C27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DE90579"/>
    <w:multiLevelType w:val="hybridMultilevel"/>
    <w:tmpl w:val="2862B12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32DD097A"/>
    <w:multiLevelType w:val="hybridMultilevel"/>
    <w:tmpl w:val="A7D88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AE3D0D"/>
    <w:multiLevelType w:val="hybridMultilevel"/>
    <w:tmpl w:val="D0DAF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64525E"/>
    <w:multiLevelType w:val="hybridMultilevel"/>
    <w:tmpl w:val="32F080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2428DF"/>
    <w:multiLevelType w:val="hybridMultilevel"/>
    <w:tmpl w:val="3EB4F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3B16D4"/>
    <w:multiLevelType w:val="multilevel"/>
    <w:tmpl w:val="86423002"/>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2196"/>
        </w:tabs>
        <w:ind w:left="219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644284F"/>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2406BAE"/>
    <w:multiLevelType w:val="hybridMultilevel"/>
    <w:tmpl w:val="879C1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4EA2FDA"/>
    <w:multiLevelType w:val="hybridMultilevel"/>
    <w:tmpl w:val="027223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A6617"/>
    <w:multiLevelType w:val="multilevel"/>
    <w:tmpl w:val="0409001D"/>
    <w:styleLink w:val="Outline"/>
    <w:lvl w:ilvl="0">
      <w:start w:val="1"/>
      <w:numFmt w:val="decimal"/>
      <w:lvlText w:val="%1)"/>
      <w:lvlJc w:val="left"/>
      <w:pPr>
        <w:ind w:left="360" w:hanging="360"/>
      </w:pPr>
      <w:rPr>
        <w:rFonts w:ascii="Arial" w:hAnsi="Arial"/>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E921920"/>
    <w:multiLevelType w:val="hybridMultilevel"/>
    <w:tmpl w:val="248A29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72EC0DD5"/>
    <w:multiLevelType w:val="hybridMultilevel"/>
    <w:tmpl w:val="98FC9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7503FC"/>
    <w:multiLevelType w:val="hybridMultilevel"/>
    <w:tmpl w:val="1682D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600458"/>
    <w:multiLevelType w:val="multilevel"/>
    <w:tmpl w:val="935E291C"/>
    <w:lvl w:ilvl="0">
      <w:start w:val="1"/>
      <w:numFmt w:val="decimal"/>
      <w:lvlText w:val="%1."/>
      <w:lvlJc w:val="left"/>
      <w:pPr>
        <w:ind w:left="360" w:hanging="360"/>
      </w:pPr>
      <w:rPr>
        <w:rFonts w:ascii="Arial" w:eastAsia="Times New Roman" w:hAnsi="Arial" w:cs="Times New Roman"/>
      </w:rPr>
    </w:lvl>
    <w:lvl w:ilvl="1">
      <w:start w:val="1"/>
      <w:numFmt w:val="decimal"/>
      <w:isLgl/>
      <w:lvlText w:val="%1.%2."/>
      <w:lvlJc w:val="left"/>
      <w:pPr>
        <w:ind w:left="1080" w:hanging="720"/>
      </w:pPr>
      <w:rPr>
        <w:rFonts w:hint="default"/>
      </w:rPr>
    </w:lvl>
    <w:lvl w:ilvl="2">
      <w:start w:val="1"/>
      <w:numFmt w:val="decimal"/>
      <w:pStyle w:val="EPHeading3"/>
      <w:isLgl/>
      <w:lvlText w:val="%1.%2.%3."/>
      <w:lvlJc w:val="left"/>
      <w:pPr>
        <w:ind w:left="1440" w:hanging="720"/>
      </w:pPr>
      <w:rPr>
        <w:rFonts w:cs="Times New Roman"/>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lang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num w:numId="1">
    <w:abstractNumId w:val="3"/>
  </w:num>
  <w:num w:numId="2">
    <w:abstractNumId w:val="3"/>
  </w:num>
  <w:num w:numId="3">
    <w:abstractNumId w:val="10"/>
  </w:num>
  <w:num w:numId="4">
    <w:abstractNumId w:val="11"/>
  </w:num>
  <w:num w:numId="5">
    <w:abstractNumId w:val="14"/>
  </w:num>
  <w:num w:numId="6">
    <w:abstractNumId w:val="18"/>
  </w:num>
  <w:num w:numId="7">
    <w:abstractNumId w:val="5"/>
  </w:num>
  <w:num w:numId="8">
    <w:abstractNumId w:val="15"/>
  </w:num>
  <w:num w:numId="9">
    <w:abstractNumId w:val="1"/>
  </w:num>
  <w:num w:numId="10">
    <w:abstractNumId w:val="9"/>
  </w:num>
  <w:num w:numId="11">
    <w:abstractNumId w:val="3"/>
  </w:num>
  <w:num w:numId="12">
    <w:abstractNumId w:val="3"/>
  </w:num>
  <w:num w:numId="13">
    <w:abstractNumId w:val="2"/>
  </w:num>
  <w:num w:numId="14">
    <w:abstractNumId w:val="1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13"/>
  </w:num>
  <w:num w:numId="18">
    <w:abstractNumId w:val="0"/>
  </w:num>
  <w:num w:numId="19">
    <w:abstractNumId w:val="17"/>
  </w:num>
  <w:num w:numId="20">
    <w:abstractNumId w:val="8"/>
  </w:num>
  <w:num w:numId="21">
    <w:abstractNumId w:val="4"/>
  </w:num>
  <w:num w:numId="22">
    <w:abstractNumId w:val="12"/>
  </w:num>
  <w:num w:numId="23">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efaultTableStyle w:val="PlainTable1"/>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18B4"/>
    <w:rsid w:val="000014EA"/>
    <w:rsid w:val="000202D5"/>
    <w:rsid w:val="00025A07"/>
    <w:rsid w:val="0002786E"/>
    <w:rsid w:val="000402AD"/>
    <w:rsid w:val="0004394E"/>
    <w:rsid w:val="00046EC6"/>
    <w:rsid w:val="00047A4B"/>
    <w:rsid w:val="0005543B"/>
    <w:rsid w:val="00060222"/>
    <w:rsid w:val="0007244C"/>
    <w:rsid w:val="00076307"/>
    <w:rsid w:val="000776D5"/>
    <w:rsid w:val="00085983"/>
    <w:rsid w:val="000900D2"/>
    <w:rsid w:val="00095F44"/>
    <w:rsid w:val="000960FC"/>
    <w:rsid w:val="000A677F"/>
    <w:rsid w:val="000B2129"/>
    <w:rsid w:val="000C10FC"/>
    <w:rsid w:val="000C15E1"/>
    <w:rsid w:val="000C4AFB"/>
    <w:rsid w:val="000C64B0"/>
    <w:rsid w:val="000D08E0"/>
    <w:rsid w:val="000D25CE"/>
    <w:rsid w:val="000D51AF"/>
    <w:rsid w:val="000D720A"/>
    <w:rsid w:val="000E41E2"/>
    <w:rsid w:val="000F60D6"/>
    <w:rsid w:val="0010026D"/>
    <w:rsid w:val="001036BE"/>
    <w:rsid w:val="00107455"/>
    <w:rsid w:val="00133B35"/>
    <w:rsid w:val="00134F82"/>
    <w:rsid w:val="00142B7A"/>
    <w:rsid w:val="0014743D"/>
    <w:rsid w:val="0017035A"/>
    <w:rsid w:val="0017567C"/>
    <w:rsid w:val="00175C37"/>
    <w:rsid w:val="00182A33"/>
    <w:rsid w:val="00184FAF"/>
    <w:rsid w:val="001879EC"/>
    <w:rsid w:val="0019471A"/>
    <w:rsid w:val="001A16F9"/>
    <w:rsid w:val="001B020D"/>
    <w:rsid w:val="001C67BB"/>
    <w:rsid w:val="00202BA3"/>
    <w:rsid w:val="0020374C"/>
    <w:rsid w:val="00222EF7"/>
    <w:rsid w:val="002336DF"/>
    <w:rsid w:val="002442A6"/>
    <w:rsid w:val="00245DE0"/>
    <w:rsid w:val="00245ED7"/>
    <w:rsid w:val="002512C2"/>
    <w:rsid w:val="0027122F"/>
    <w:rsid w:val="00280AED"/>
    <w:rsid w:val="002944B8"/>
    <w:rsid w:val="002B6C55"/>
    <w:rsid w:val="002C1768"/>
    <w:rsid w:val="002C2EA1"/>
    <w:rsid w:val="002C592F"/>
    <w:rsid w:val="002C6C1E"/>
    <w:rsid w:val="002D4F82"/>
    <w:rsid w:val="002D7527"/>
    <w:rsid w:val="002D770F"/>
    <w:rsid w:val="002E1EF5"/>
    <w:rsid w:val="002E785D"/>
    <w:rsid w:val="00322C20"/>
    <w:rsid w:val="00323EF8"/>
    <w:rsid w:val="00330ABC"/>
    <w:rsid w:val="003503BA"/>
    <w:rsid w:val="003546B8"/>
    <w:rsid w:val="00357FDF"/>
    <w:rsid w:val="00376F08"/>
    <w:rsid w:val="00390903"/>
    <w:rsid w:val="00395E35"/>
    <w:rsid w:val="00396093"/>
    <w:rsid w:val="003A0978"/>
    <w:rsid w:val="003B0C62"/>
    <w:rsid w:val="003B1366"/>
    <w:rsid w:val="003C309E"/>
    <w:rsid w:val="003C5ED1"/>
    <w:rsid w:val="003D0562"/>
    <w:rsid w:val="003E2211"/>
    <w:rsid w:val="003E400A"/>
    <w:rsid w:val="003E6BCD"/>
    <w:rsid w:val="003E70E9"/>
    <w:rsid w:val="003F2D6B"/>
    <w:rsid w:val="003F469E"/>
    <w:rsid w:val="00400EF7"/>
    <w:rsid w:val="0041416A"/>
    <w:rsid w:val="00427228"/>
    <w:rsid w:val="00427695"/>
    <w:rsid w:val="00430CB8"/>
    <w:rsid w:val="00435DCE"/>
    <w:rsid w:val="004432AD"/>
    <w:rsid w:val="004441CA"/>
    <w:rsid w:val="004500EC"/>
    <w:rsid w:val="00457313"/>
    <w:rsid w:val="004632AF"/>
    <w:rsid w:val="00475A44"/>
    <w:rsid w:val="00476670"/>
    <w:rsid w:val="004829B1"/>
    <w:rsid w:val="00483C36"/>
    <w:rsid w:val="00496FE0"/>
    <w:rsid w:val="004A1E08"/>
    <w:rsid w:val="004A42C3"/>
    <w:rsid w:val="004B22DA"/>
    <w:rsid w:val="004B737E"/>
    <w:rsid w:val="004C65D1"/>
    <w:rsid w:val="004F0979"/>
    <w:rsid w:val="00506FF3"/>
    <w:rsid w:val="00511E60"/>
    <w:rsid w:val="00516DFB"/>
    <w:rsid w:val="00525561"/>
    <w:rsid w:val="00536A24"/>
    <w:rsid w:val="00542017"/>
    <w:rsid w:val="00542815"/>
    <w:rsid w:val="0055122F"/>
    <w:rsid w:val="005515FD"/>
    <w:rsid w:val="00553DEC"/>
    <w:rsid w:val="00560B9B"/>
    <w:rsid w:val="00560C72"/>
    <w:rsid w:val="00573102"/>
    <w:rsid w:val="00574763"/>
    <w:rsid w:val="00594A91"/>
    <w:rsid w:val="005A138F"/>
    <w:rsid w:val="005A50E8"/>
    <w:rsid w:val="005C6A66"/>
    <w:rsid w:val="00602953"/>
    <w:rsid w:val="006205F3"/>
    <w:rsid w:val="00624791"/>
    <w:rsid w:val="006319BF"/>
    <w:rsid w:val="00634B91"/>
    <w:rsid w:val="0064771D"/>
    <w:rsid w:val="006563AC"/>
    <w:rsid w:val="0065752F"/>
    <w:rsid w:val="00672940"/>
    <w:rsid w:val="00672B35"/>
    <w:rsid w:val="006731AD"/>
    <w:rsid w:val="006746D9"/>
    <w:rsid w:val="006872BC"/>
    <w:rsid w:val="006A30DE"/>
    <w:rsid w:val="006B0928"/>
    <w:rsid w:val="006C4C0C"/>
    <w:rsid w:val="006D7974"/>
    <w:rsid w:val="006E0754"/>
    <w:rsid w:val="006E48EF"/>
    <w:rsid w:val="006E4C53"/>
    <w:rsid w:val="006F02F3"/>
    <w:rsid w:val="0070168F"/>
    <w:rsid w:val="00717C0D"/>
    <w:rsid w:val="00737506"/>
    <w:rsid w:val="00740178"/>
    <w:rsid w:val="00740296"/>
    <w:rsid w:val="00764242"/>
    <w:rsid w:val="0079249D"/>
    <w:rsid w:val="00793243"/>
    <w:rsid w:val="0079637D"/>
    <w:rsid w:val="007A42CB"/>
    <w:rsid w:val="007B318B"/>
    <w:rsid w:val="007C154E"/>
    <w:rsid w:val="007C2451"/>
    <w:rsid w:val="007D065A"/>
    <w:rsid w:val="007D0EED"/>
    <w:rsid w:val="007D3080"/>
    <w:rsid w:val="007D69DC"/>
    <w:rsid w:val="007E2D3C"/>
    <w:rsid w:val="007F73CF"/>
    <w:rsid w:val="007F7756"/>
    <w:rsid w:val="00800AE1"/>
    <w:rsid w:val="00810097"/>
    <w:rsid w:val="008139A6"/>
    <w:rsid w:val="00817125"/>
    <w:rsid w:val="0081736C"/>
    <w:rsid w:val="00832708"/>
    <w:rsid w:val="00836161"/>
    <w:rsid w:val="0085715C"/>
    <w:rsid w:val="008575BE"/>
    <w:rsid w:val="00864EF2"/>
    <w:rsid w:val="00873F39"/>
    <w:rsid w:val="00874B00"/>
    <w:rsid w:val="0087611A"/>
    <w:rsid w:val="0088788B"/>
    <w:rsid w:val="008960C7"/>
    <w:rsid w:val="008A0239"/>
    <w:rsid w:val="008B36BE"/>
    <w:rsid w:val="008B778D"/>
    <w:rsid w:val="008C0214"/>
    <w:rsid w:val="008C0A09"/>
    <w:rsid w:val="008E7B0D"/>
    <w:rsid w:val="008F0CDC"/>
    <w:rsid w:val="008F102B"/>
    <w:rsid w:val="008F29FA"/>
    <w:rsid w:val="00907801"/>
    <w:rsid w:val="00910BF7"/>
    <w:rsid w:val="00916CDE"/>
    <w:rsid w:val="00920D34"/>
    <w:rsid w:val="00920D90"/>
    <w:rsid w:val="009215C2"/>
    <w:rsid w:val="0092564C"/>
    <w:rsid w:val="009257B2"/>
    <w:rsid w:val="009304B1"/>
    <w:rsid w:val="00940431"/>
    <w:rsid w:val="00960D9D"/>
    <w:rsid w:val="009635F4"/>
    <w:rsid w:val="00965A2A"/>
    <w:rsid w:val="00966334"/>
    <w:rsid w:val="00982158"/>
    <w:rsid w:val="00983148"/>
    <w:rsid w:val="0098347E"/>
    <w:rsid w:val="00996158"/>
    <w:rsid w:val="009A0577"/>
    <w:rsid w:val="009A2AED"/>
    <w:rsid w:val="009A68D7"/>
    <w:rsid w:val="009B3EAA"/>
    <w:rsid w:val="009C4340"/>
    <w:rsid w:val="009C6BBC"/>
    <w:rsid w:val="009D67FB"/>
    <w:rsid w:val="009E06C5"/>
    <w:rsid w:val="009E09AA"/>
    <w:rsid w:val="009E7F53"/>
    <w:rsid w:val="009F066B"/>
    <w:rsid w:val="009F4D5E"/>
    <w:rsid w:val="00A05452"/>
    <w:rsid w:val="00A13F36"/>
    <w:rsid w:val="00A174CC"/>
    <w:rsid w:val="00A21EC6"/>
    <w:rsid w:val="00A235D9"/>
    <w:rsid w:val="00A33DA8"/>
    <w:rsid w:val="00A35223"/>
    <w:rsid w:val="00A3627C"/>
    <w:rsid w:val="00A36FD4"/>
    <w:rsid w:val="00A47568"/>
    <w:rsid w:val="00A5098B"/>
    <w:rsid w:val="00A54751"/>
    <w:rsid w:val="00A55322"/>
    <w:rsid w:val="00A61AE5"/>
    <w:rsid w:val="00A628E9"/>
    <w:rsid w:val="00A671DF"/>
    <w:rsid w:val="00A7771D"/>
    <w:rsid w:val="00A81A55"/>
    <w:rsid w:val="00A870CF"/>
    <w:rsid w:val="00AA2A5F"/>
    <w:rsid w:val="00AA2F4A"/>
    <w:rsid w:val="00AA73FE"/>
    <w:rsid w:val="00AB07EA"/>
    <w:rsid w:val="00AB586E"/>
    <w:rsid w:val="00AC061E"/>
    <w:rsid w:val="00AC111D"/>
    <w:rsid w:val="00AC395A"/>
    <w:rsid w:val="00AC57D7"/>
    <w:rsid w:val="00AC71D8"/>
    <w:rsid w:val="00AC747D"/>
    <w:rsid w:val="00AD2CA4"/>
    <w:rsid w:val="00AD7601"/>
    <w:rsid w:val="00AE02B0"/>
    <w:rsid w:val="00AE127B"/>
    <w:rsid w:val="00AE5CBA"/>
    <w:rsid w:val="00AE60C5"/>
    <w:rsid w:val="00AF0190"/>
    <w:rsid w:val="00AF1542"/>
    <w:rsid w:val="00AF1B0A"/>
    <w:rsid w:val="00B01CD8"/>
    <w:rsid w:val="00B02A88"/>
    <w:rsid w:val="00B04BA7"/>
    <w:rsid w:val="00B0539D"/>
    <w:rsid w:val="00B2183A"/>
    <w:rsid w:val="00B250C4"/>
    <w:rsid w:val="00B370B3"/>
    <w:rsid w:val="00B464A3"/>
    <w:rsid w:val="00B467F9"/>
    <w:rsid w:val="00B545BF"/>
    <w:rsid w:val="00B6258E"/>
    <w:rsid w:val="00B75120"/>
    <w:rsid w:val="00B762E1"/>
    <w:rsid w:val="00B76824"/>
    <w:rsid w:val="00B85BE2"/>
    <w:rsid w:val="00B94FE8"/>
    <w:rsid w:val="00BB5A3E"/>
    <w:rsid w:val="00BC2BFA"/>
    <w:rsid w:val="00BC2E9D"/>
    <w:rsid w:val="00BC5347"/>
    <w:rsid w:val="00BD50E1"/>
    <w:rsid w:val="00BE46E5"/>
    <w:rsid w:val="00BF25D6"/>
    <w:rsid w:val="00C00AC7"/>
    <w:rsid w:val="00C02F30"/>
    <w:rsid w:val="00C1607E"/>
    <w:rsid w:val="00C24C39"/>
    <w:rsid w:val="00C31A47"/>
    <w:rsid w:val="00C35957"/>
    <w:rsid w:val="00C613E4"/>
    <w:rsid w:val="00C72953"/>
    <w:rsid w:val="00C76FFE"/>
    <w:rsid w:val="00C84D6D"/>
    <w:rsid w:val="00C918B4"/>
    <w:rsid w:val="00C94AC6"/>
    <w:rsid w:val="00CA2164"/>
    <w:rsid w:val="00CB2222"/>
    <w:rsid w:val="00CC1964"/>
    <w:rsid w:val="00CC3BBB"/>
    <w:rsid w:val="00CE166B"/>
    <w:rsid w:val="00CE5559"/>
    <w:rsid w:val="00D024EC"/>
    <w:rsid w:val="00D02A3E"/>
    <w:rsid w:val="00D06C9B"/>
    <w:rsid w:val="00D137DB"/>
    <w:rsid w:val="00D16B57"/>
    <w:rsid w:val="00D271E3"/>
    <w:rsid w:val="00D27F07"/>
    <w:rsid w:val="00D368E3"/>
    <w:rsid w:val="00D46A32"/>
    <w:rsid w:val="00D5434E"/>
    <w:rsid w:val="00D558BD"/>
    <w:rsid w:val="00D61DAD"/>
    <w:rsid w:val="00D62570"/>
    <w:rsid w:val="00D6618F"/>
    <w:rsid w:val="00D9378C"/>
    <w:rsid w:val="00D94505"/>
    <w:rsid w:val="00DA18CF"/>
    <w:rsid w:val="00DA5FD8"/>
    <w:rsid w:val="00DA60A1"/>
    <w:rsid w:val="00DB1573"/>
    <w:rsid w:val="00DB1918"/>
    <w:rsid w:val="00DB68D2"/>
    <w:rsid w:val="00DD57C8"/>
    <w:rsid w:val="00DD66E9"/>
    <w:rsid w:val="00DE12A8"/>
    <w:rsid w:val="00DE14C9"/>
    <w:rsid w:val="00DE6371"/>
    <w:rsid w:val="00DE6F9F"/>
    <w:rsid w:val="00DE7348"/>
    <w:rsid w:val="00E03DD1"/>
    <w:rsid w:val="00E03F74"/>
    <w:rsid w:val="00E20AB2"/>
    <w:rsid w:val="00E22EA0"/>
    <w:rsid w:val="00E2379B"/>
    <w:rsid w:val="00E27D38"/>
    <w:rsid w:val="00E300DC"/>
    <w:rsid w:val="00E4095C"/>
    <w:rsid w:val="00E4351E"/>
    <w:rsid w:val="00E440F9"/>
    <w:rsid w:val="00E46DCA"/>
    <w:rsid w:val="00E534E9"/>
    <w:rsid w:val="00E67C79"/>
    <w:rsid w:val="00E77059"/>
    <w:rsid w:val="00E90331"/>
    <w:rsid w:val="00E9530E"/>
    <w:rsid w:val="00E961AB"/>
    <w:rsid w:val="00EB2C58"/>
    <w:rsid w:val="00EB4262"/>
    <w:rsid w:val="00EC1203"/>
    <w:rsid w:val="00EC5097"/>
    <w:rsid w:val="00EC5B03"/>
    <w:rsid w:val="00F17839"/>
    <w:rsid w:val="00F22137"/>
    <w:rsid w:val="00F35000"/>
    <w:rsid w:val="00F41F69"/>
    <w:rsid w:val="00F47150"/>
    <w:rsid w:val="00F47C9F"/>
    <w:rsid w:val="00F60E0C"/>
    <w:rsid w:val="00F9328E"/>
    <w:rsid w:val="00F96FD5"/>
    <w:rsid w:val="00F970D6"/>
    <w:rsid w:val="00FA0900"/>
    <w:rsid w:val="00FA6B24"/>
    <w:rsid w:val="00FB279F"/>
    <w:rsid w:val="00FB3553"/>
    <w:rsid w:val="00FC388A"/>
    <w:rsid w:val="00FC5E11"/>
    <w:rsid w:val="00FC7867"/>
    <w:rsid w:val="00FD31D8"/>
    <w:rsid w:val="00FD725D"/>
    <w:rsid w:val="00FE1BF2"/>
    <w:rsid w:val="00FE349E"/>
    <w:rsid w:val="00FE7F93"/>
    <w:rsid w:val="00FF30A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7AF54D"/>
  <w15:chartTrackingRefBased/>
  <w15:docId w15:val="{BBAC0BEB-F1AA-424D-9708-4F8E4D76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eGothic LT" w:eastAsia="Times New Roman" w:hAnsi="TradeGothic LT"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347E"/>
    <w:rPr>
      <w:rFonts w:ascii="Arial" w:hAnsi="Arial"/>
      <w:color w:val="5B6770" w:themeColor="text2"/>
    </w:rPr>
  </w:style>
  <w:style w:type="paragraph" w:styleId="Heading1">
    <w:name w:val="heading 1"/>
    <w:basedOn w:val="Normal"/>
    <w:next w:val="Normal"/>
    <w:link w:val="Heading1Char"/>
    <w:rsid w:val="001B020D"/>
    <w:pPr>
      <w:keepNext/>
      <w:numPr>
        <w:numId w:val="2"/>
      </w:numPr>
      <w:spacing w:before="320" w:after="240"/>
      <w:outlineLvl w:val="0"/>
    </w:pPr>
    <w:rPr>
      <w:rFonts w:cs="Arial"/>
      <w:b/>
      <w:bCs/>
      <w:kern w:val="32"/>
      <w:sz w:val="28"/>
      <w:szCs w:val="32"/>
    </w:rPr>
  </w:style>
  <w:style w:type="paragraph" w:styleId="Heading2">
    <w:name w:val="heading 2"/>
    <w:basedOn w:val="Normal"/>
    <w:next w:val="Normal"/>
    <w:link w:val="Heading2Char"/>
    <w:rsid w:val="001B020D"/>
    <w:pPr>
      <w:keepNext/>
      <w:numPr>
        <w:ilvl w:val="1"/>
        <w:numId w:val="2"/>
      </w:numPr>
      <w:spacing w:before="160" w:after="160"/>
      <w:outlineLvl w:val="1"/>
    </w:pPr>
    <w:rPr>
      <w:rFonts w:cs="Arial"/>
      <w:b/>
      <w:bCs/>
      <w:iCs/>
      <w:sz w:val="22"/>
      <w:szCs w:val="28"/>
    </w:rPr>
  </w:style>
  <w:style w:type="paragraph" w:styleId="Heading3">
    <w:name w:val="heading 3"/>
    <w:basedOn w:val="Normal"/>
    <w:next w:val="Normal"/>
    <w:link w:val="Heading3Char"/>
    <w:rsid w:val="001B020D"/>
    <w:pPr>
      <w:keepNext/>
      <w:numPr>
        <w:ilvl w:val="2"/>
        <w:numId w:val="2"/>
      </w:numPr>
      <w:spacing w:before="160" w:after="160"/>
      <w:outlineLvl w:val="2"/>
    </w:pPr>
    <w:rPr>
      <w:rFonts w:cs="Arial"/>
      <w:b/>
      <w:bCs/>
      <w:sz w:val="20"/>
      <w:szCs w:val="22"/>
    </w:rPr>
  </w:style>
  <w:style w:type="paragraph" w:styleId="Heading4">
    <w:name w:val="heading 4"/>
    <w:basedOn w:val="Heading3"/>
    <w:next w:val="Normal"/>
    <w:link w:val="Heading4Char"/>
    <w:rsid w:val="001B020D"/>
    <w:pPr>
      <w:numPr>
        <w:ilvl w:val="3"/>
      </w:numPr>
      <w:tabs>
        <w:tab w:val="clear" w:pos="4867"/>
      </w:tabs>
      <w:spacing w:after="60" w:line="260" w:lineRule="exact"/>
      <w:outlineLvl w:val="3"/>
    </w:pPr>
    <w:rPr>
      <w:rFonts w:eastAsiaTheme="majorEastAsia" w:cstheme="majorBidi"/>
      <w:bCs w:val="0"/>
      <w:sz w:val="18"/>
      <w:szCs w:val="21"/>
    </w:rPr>
  </w:style>
  <w:style w:type="paragraph" w:styleId="Heading5">
    <w:name w:val="heading 5"/>
    <w:basedOn w:val="Normal"/>
    <w:next w:val="Normal"/>
    <w:link w:val="Heading5Char"/>
    <w:rsid w:val="001B020D"/>
    <w:pPr>
      <w:numPr>
        <w:ilvl w:val="4"/>
        <w:numId w:val="3"/>
      </w:numPr>
      <w:spacing w:before="240" w:after="60"/>
      <w:outlineLvl w:val="4"/>
    </w:pPr>
    <w:rPr>
      <w:rFonts w:eastAsiaTheme="majorEastAsia" w:cstheme="majorBidi"/>
      <w:b/>
      <w:bCs/>
      <w:i/>
      <w:iCs/>
      <w:sz w:val="26"/>
      <w:szCs w:val="26"/>
    </w:rPr>
  </w:style>
  <w:style w:type="paragraph" w:styleId="Heading6">
    <w:name w:val="heading 6"/>
    <w:basedOn w:val="Normal"/>
    <w:next w:val="Normal"/>
    <w:link w:val="Heading6Char"/>
    <w:rsid w:val="001B020D"/>
    <w:pPr>
      <w:numPr>
        <w:ilvl w:val="5"/>
        <w:numId w:val="3"/>
      </w:numPr>
      <w:spacing w:before="240" w:after="60"/>
      <w:outlineLvl w:val="5"/>
    </w:pPr>
    <w:rPr>
      <w:rFonts w:eastAsiaTheme="majorEastAsia" w:cstheme="majorBidi"/>
      <w:b/>
      <w:bCs/>
      <w:sz w:val="22"/>
      <w:szCs w:val="22"/>
    </w:rPr>
  </w:style>
  <w:style w:type="paragraph" w:styleId="Heading7">
    <w:name w:val="heading 7"/>
    <w:basedOn w:val="Normal"/>
    <w:next w:val="Normal"/>
    <w:link w:val="Heading7Char"/>
    <w:rsid w:val="001B020D"/>
    <w:pPr>
      <w:numPr>
        <w:ilvl w:val="6"/>
        <w:numId w:val="3"/>
      </w:numPr>
      <w:spacing w:before="240" w:after="60"/>
      <w:outlineLvl w:val="6"/>
    </w:pPr>
    <w:rPr>
      <w:rFonts w:eastAsiaTheme="majorEastAsia" w:cstheme="majorBidi"/>
    </w:rPr>
  </w:style>
  <w:style w:type="paragraph" w:styleId="Heading8">
    <w:name w:val="heading 8"/>
    <w:basedOn w:val="Normal"/>
    <w:next w:val="Normal"/>
    <w:link w:val="Heading8Char"/>
    <w:rsid w:val="001B020D"/>
    <w:pPr>
      <w:numPr>
        <w:ilvl w:val="7"/>
        <w:numId w:val="3"/>
      </w:numPr>
      <w:spacing w:before="240" w:after="60"/>
      <w:outlineLvl w:val="7"/>
    </w:pPr>
    <w:rPr>
      <w:rFonts w:eastAsiaTheme="majorEastAsia" w:cstheme="majorBidi"/>
      <w:i/>
      <w:iCs/>
    </w:rPr>
  </w:style>
  <w:style w:type="paragraph" w:styleId="Heading9">
    <w:name w:val="heading 9"/>
    <w:basedOn w:val="Normal"/>
    <w:next w:val="Normal"/>
    <w:link w:val="Heading9Char"/>
    <w:rsid w:val="001B020D"/>
    <w:pPr>
      <w:numPr>
        <w:ilvl w:val="8"/>
        <w:numId w:val="3"/>
      </w:numPr>
      <w:spacing w:before="240" w:after="60"/>
      <w:outlineLvl w:val="8"/>
    </w:pPr>
    <w:rPr>
      <w:rFonts w:eastAsiaTheme="majorEastAsia"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B020D"/>
    <w:rPr>
      <w:rFonts w:ascii="Arial" w:hAnsi="Arial" w:cs="Arial"/>
      <w:b/>
      <w:bCs/>
      <w:color w:val="5B6770" w:themeColor="text2"/>
      <w:kern w:val="32"/>
      <w:sz w:val="28"/>
      <w:szCs w:val="32"/>
    </w:rPr>
  </w:style>
  <w:style w:type="character" w:customStyle="1" w:styleId="Heading2Char">
    <w:name w:val="Heading 2 Char"/>
    <w:link w:val="Heading2"/>
    <w:rsid w:val="001B020D"/>
    <w:rPr>
      <w:rFonts w:ascii="Arial" w:hAnsi="Arial" w:cs="Arial"/>
      <w:b/>
      <w:bCs/>
      <w:iCs/>
      <w:color w:val="5B6770" w:themeColor="text2"/>
      <w:sz w:val="22"/>
      <w:szCs w:val="28"/>
    </w:rPr>
  </w:style>
  <w:style w:type="character" w:customStyle="1" w:styleId="Heading3Char">
    <w:name w:val="Heading 3 Char"/>
    <w:basedOn w:val="DefaultParagraphFont"/>
    <w:link w:val="Heading3"/>
    <w:rsid w:val="008E7B0D"/>
    <w:rPr>
      <w:rFonts w:ascii="Arial" w:hAnsi="Arial" w:cs="Arial"/>
      <w:b/>
      <w:bCs/>
      <w:color w:val="5B6770" w:themeColor="text2"/>
      <w:sz w:val="20"/>
      <w:szCs w:val="22"/>
    </w:rPr>
  </w:style>
  <w:style w:type="character" w:customStyle="1" w:styleId="Heading4Char">
    <w:name w:val="Heading 4 Char"/>
    <w:basedOn w:val="DefaultParagraphFont"/>
    <w:link w:val="Heading4"/>
    <w:rsid w:val="008E7B0D"/>
    <w:rPr>
      <w:rFonts w:ascii="Arial" w:eastAsiaTheme="majorEastAsia" w:hAnsi="Arial" w:cstheme="majorBidi"/>
      <w:b/>
      <w:color w:val="5B6770" w:themeColor="text2"/>
      <w:sz w:val="18"/>
      <w:szCs w:val="21"/>
    </w:rPr>
  </w:style>
  <w:style w:type="character" w:customStyle="1" w:styleId="Heading5Char">
    <w:name w:val="Heading 5 Char"/>
    <w:basedOn w:val="DefaultParagraphFont"/>
    <w:link w:val="Heading5"/>
    <w:rsid w:val="008E7B0D"/>
    <w:rPr>
      <w:rFonts w:ascii="Arial" w:eastAsiaTheme="majorEastAsia" w:hAnsi="Arial" w:cstheme="majorBidi"/>
      <w:b/>
      <w:bCs/>
      <w:i/>
      <w:iCs/>
      <w:color w:val="5B6770" w:themeColor="text2"/>
      <w:sz w:val="26"/>
      <w:szCs w:val="26"/>
    </w:rPr>
  </w:style>
  <w:style w:type="character" w:customStyle="1" w:styleId="Heading6Char">
    <w:name w:val="Heading 6 Char"/>
    <w:basedOn w:val="DefaultParagraphFont"/>
    <w:link w:val="Heading6"/>
    <w:rsid w:val="008E7B0D"/>
    <w:rPr>
      <w:rFonts w:ascii="Arial" w:eastAsiaTheme="majorEastAsia" w:hAnsi="Arial" w:cstheme="majorBidi"/>
      <w:b/>
      <w:bCs/>
      <w:color w:val="5B6770" w:themeColor="text2"/>
      <w:sz w:val="22"/>
      <w:szCs w:val="22"/>
    </w:rPr>
  </w:style>
  <w:style w:type="character" w:customStyle="1" w:styleId="Heading7Char">
    <w:name w:val="Heading 7 Char"/>
    <w:basedOn w:val="DefaultParagraphFont"/>
    <w:link w:val="Heading7"/>
    <w:rsid w:val="008E7B0D"/>
    <w:rPr>
      <w:rFonts w:ascii="Arial" w:eastAsiaTheme="majorEastAsia" w:hAnsi="Arial" w:cstheme="majorBidi"/>
      <w:color w:val="5B6770" w:themeColor="text2"/>
    </w:rPr>
  </w:style>
  <w:style w:type="character" w:customStyle="1" w:styleId="Heading8Char">
    <w:name w:val="Heading 8 Char"/>
    <w:basedOn w:val="DefaultParagraphFont"/>
    <w:link w:val="Heading8"/>
    <w:rsid w:val="008E7B0D"/>
    <w:rPr>
      <w:rFonts w:ascii="Arial" w:eastAsiaTheme="majorEastAsia" w:hAnsi="Arial" w:cstheme="majorBidi"/>
      <w:i/>
      <w:iCs/>
      <w:color w:val="5B6770" w:themeColor="text2"/>
    </w:rPr>
  </w:style>
  <w:style w:type="character" w:customStyle="1" w:styleId="Heading9Char">
    <w:name w:val="Heading 9 Char"/>
    <w:basedOn w:val="DefaultParagraphFont"/>
    <w:link w:val="Heading9"/>
    <w:rsid w:val="008E7B0D"/>
    <w:rPr>
      <w:rFonts w:ascii="Arial" w:eastAsiaTheme="majorEastAsia" w:hAnsi="Arial" w:cs="Arial"/>
      <w:color w:val="5B6770" w:themeColor="text2"/>
      <w:sz w:val="22"/>
      <w:szCs w:val="22"/>
    </w:rPr>
  </w:style>
  <w:style w:type="paragraph" w:styleId="ListParagraph">
    <w:name w:val="List Paragraph"/>
    <w:basedOn w:val="Normal"/>
    <w:uiPriority w:val="34"/>
    <w:rsid w:val="00B0539D"/>
    <w:pPr>
      <w:ind w:left="720"/>
      <w:contextualSpacing/>
    </w:pPr>
    <w:rPr>
      <w:rFonts w:eastAsiaTheme="minorHAnsi"/>
    </w:rPr>
  </w:style>
  <w:style w:type="paragraph" w:styleId="Footer">
    <w:name w:val="footer"/>
    <w:basedOn w:val="Normal"/>
    <w:link w:val="FooterChar"/>
    <w:autoRedefine/>
    <w:uiPriority w:val="99"/>
    <w:rsid w:val="001B020D"/>
    <w:pPr>
      <w:tabs>
        <w:tab w:val="center" w:pos="4320"/>
        <w:tab w:val="right" w:pos="8640"/>
      </w:tabs>
    </w:pPr>
  </w:style>
  <w:style w:type="character" w:customStyle="1" w:styleId="FooterChar">
    <w:name w:val="Footer Char"/>
    <w:basedOn w:val="DefaultParagraphFont"/>
    <w:link w:val="Footer"/>
    <w:uiPriority w:val="99"/>
    <w:rsid w:val="001B020D"/>
    <w:rPr>
      <w:rFonts w:ascii="Arial" w:hAnsi="Arial"/>
      <w:color w:val="5B6770" w:themeColor="text2"/>
      <w:sz w:val="24"/>
      <w:szCs w:val="24"/>
    </w:rPr>
  </w:style>
  <w:style w:type="numbering" w:styleId="111111">
    <w:name w:val="Outline List 2"/>
    <w:basedOn w:val="NoList"/>
    <w:rsid w:val="009A0577"/>
    <w:pPr>
      <w:numPr>
        <w:numId w:val="4"/>
      </w:numPr>
    </w:pPr>
  </w:style>
  <w:style w:type="paragraph" w:styleId="Header">
    <w:name w:val="header"/>
    <w:basedOn w:val="Normal"/>
    <w:link w:val="HeaderChar"/>
    <w:unhideWhenUsed/>
    <w:rsid w:val="0098347E"/>
    <w:pPr>
      <w:tabs>
        <w:tab w:val="center" w:pos="4680"/>
        <w:tab w:val="right" w:pos="9360"/>
      </w:tabs>
    </w:pPr>
  </w:style>
  <w:style w:type="character" w:customStyle="1" w:styleId="HeaderChar">
    <w:name w:val="Header Char"/>
    <w:basedOn w:val="DefaultParagraphFont"/>
    <w:link w:val="Header"/>
    <w:uiPriority w:val="99"/>
    <w:rsid w:val="0098347E"/>
  </w:style>
  <w:style w:type="character" w:styleId="PageNumber">
    <w:name w:val="page number"/>
    <w:rsid w:val="0098347E"/>
    <w:rPr>
      <w:rFonts w:ascii="Arial" w:hAnsi="Arial"/>
    </w:rPr>
  </w:style>
  <w:style w:type="paragraph" w:customStyle="1" w:styleId="table">
    <w:name w:val="table"/>
    <w:basedOn w:val="BodyText"/>
    <w:rsid w:val="0098347E"/>
    <w:pPr>
      <w:spacing w:before="20" w:after="20" w:line="240" w:lineRule="exact"/>
    </w:pPr>
    <w:rPr>
      <w:color w:val="5B6770" w:themeColor="accent2"/>
      <w:sz w:val="18"/>
    </w:rPr>
  </w:style>
  <w:style w:type="paragraph" w:customStyle="1" w:styleId="spacer">
    <w:name w:val="spacer"/>
    <w:rsid w:val="0098347E"/>
    <w:pPr>
      <w:spacing w:before="7200"/>
    </w:pPr>
    <w:rPr>
      <w:rFonts w:ascii="Arial" w:hAnsi="Arial" w:cs="Arial"/>
      <w:bCs/>
      <w:color w:val="5B6770" w:themeColor="text2"/>
      <w:kern w:val="32"/>
      <w:sz w:val="32"/>
      <w:szCs w:val="32"/>
    </w:rPr>
  </w:style>
  <w:style w:type="paragraph" w:customStyle="1" w:styleId="TOCHead">
    <w:name w:val="TOC Head"/>
    <w:rsid w:val="0098347E"/>
    <w:pPr>
      <w:spacing w:before="320" w:after="240"/>
    </w:pPr>
    <w:rPr>
      <w:rFonts w:ascii="Arial" w:hAnsi="Arial" w:cs="Arial"/>
      <w:b/>
      <w:bCs/>
      <w:color w:val="00ACC8" w:themeColor="accent1"/>
      <w:kern w:val="32"/>
      <w:sz w:val="28"/>
      <w:szCs w:val="32"/>
    </w:rPr>
  </w:style>
  <w:style w:type="paragraph" w:customStyle="1" w:styleId="StyleArial18ptBoldText2Right">
    <w:name w:val="Style Arial 18 pt Bold Text 2 Right"/>
    <w:basedOn w:val="Normal"/>
    <w:rsid w:val="0098347E"/>
    <w:pPr>
      <w:jc w:val="right"/>
    </w:pPr>
    <w:rPr>
      <w:b/>
      <w:bCs/>
      <w:sz w:val="36"/>
      <w:szCs w:val="20"/>
    </w:rPr>
  </w:style>
  <w:style w:type="paragraph" w:styleId="BodyText">
    <w:name w:val="Body Text"/>
    <w:basedOn w:val="Normal"/>
    <w:link w:val="BodyTextChar"/>
    <w:uiPriority w:val="99"/>
    <w:semiHidden/>
    <w:unhideWhenUsed/>
    <w:rsid w:val="0098347E"/>
    <w:pPr>
      <w:spacing w:after="120"/>
    </w:pPr>
  </w:style>
  <w:style w:type="character" w:customStyle="1" w:styleId="BodyTextChar">
    <w:name w:val="Body Text Char"/>
    <w:basedOn w:val="DefaultParagraphFont"/>
    <w:link w:val="BodyText"/>
    <w:rsid w:val="0098347E"/>
    <w:rPr>
      <w:rFonts w:ascii="Arial" w:hAnsi="Arial"/>
      <w:color w:val="5B6770" w:themeColor="text2"/>
    </w:rPr>
  </w:style>
  <w:style w:type="paragraph" w:customStyle="1" w:styleId="tablehead">
    <w:name w:val="table head"/>
    <w:basedOn w:val="BodyText"/>
    <w:rsid w:val="00B02A88"/>
    <w:pPr>
      <w:spacing w:before="20" w:after="20" w:line="240" w:lineRule="exact"/>
    </w:pPr>
    <w:rPr>
      <w:b/>
      <w:color w:val="5B6770" w:themeColor="accent2"/>
      <w:sz w:val="18"/>
    </w:rPr>
  </w:style>
  <w:style w:type="paragraph" w:customStyle="1" w:styleId="StyleTOCHeadAccent1">
    <w:name w:val="Style TOC Head + Accent 1"/>
    <w:basedOn w:val="TOCHead"/>
    <w:rsid w:val="00B02A88"/>
  </w:style>
  <w:style w:type="numbering" w:customStyle="1" w:styleId="Outline">
    <w:name w:val="Outline"/>
    <w:basedOn w:val="NoList"/>
    <w:uiPriority w:val="99"/>
    <w:rsid w:val="00142B7A"/>
    <w:pPr>
      <w:numPr>
        <w:numId w:val="5"/>
      </w:numPr>
    </w:pPr>
  </w:style>
  <w:style w:type="character" w:styleId="Hyperlink">
    <w:name w:val="Hyperlink"/>
    <w:uiPriority w:val="99"/>
    <w:rsid w:val="0055122F"/>
    <w:rPr>
      <w:rFonts w:ascii="Arial" w:hAnsi="Arial"/>
      <w:color w:val="003764" w:themeColor="accent4"/>
      <w:u w:val="single"/>
    </w:rPr>
  </w:style>
  <w:style w:type="paragraph" w:styleId="TOC1">
    <w:name w:val="toc 1"/>
    <w:basedOn w:val="BodyText"/>
    <w:next w:val="Normal"/>
    <w:link w:val="TOC1Char"/>
    <w:autoRedefine/>
    <w:uiPriority w:val="39"/>
    <w:rsid w:val="0055122F"/>
    <w:pPr>
      <w:tabs>
        <w:tab w:val="left" w:pos="360"/>
        <w:tab w:val="right" w:leader="dot" w:pos="8630"/>
      </w:tabs>
      <w:spacing w:line="260" w:lineRule="exact"/>
    </w:pPr>
    <w:rPr>
      <w:color w:val="5B6770" w:themeColor="accent2"/>
      <w:sz w:val="21"/>
    </w:rPr>
  </w:style>
  <w:style w:type="paragraph" w:styleId="TOC2">
    <w:name w:val="toc 2"/>
    <w:basedOn w:val="BodyText"/>
    <w:next w:val="Normal"/>
    <w:autoRedefine/>
    <w:uiPriority w:val="39"/>
    <w:rsid w:val="0055122F"/>
    <w:pPr>
      <w:tabs>
        <w:tab w:val="left" w:pos="720"/>
        <w:tab w:val="right" w:leader="dot" w:pos="8630"/>
      </w:tabs>
      <w:spacing w:line="260" w:lineRule="exact"/>
      <w:ind w:left="180"/>
    </w:pPr>
    <w:rPr>
      <w:color w:val="5B6770" w:themeColor="accent2"/>
      <w:sz w:val="21"/>
    </w:rPr>
  </w:style>
  <w:style w:type="paragraph" w:styleId="TOC3">
    <w:name w:val="toc 3"/>
    <w:basedOn w:val="BodyText"/>
    <w:next w:val="Normal"/>
    <w:link w:val="TOC3Char"/>
    <w:autoRedefine/>
    <w:uiPriority w:val="39"/>
    <w:rsid w:val="0055122F"/>
    <w:pPr>
      <w:tabs>
        <w:tab w:val="right" w:leader="dot" w:pos="8630"/>
      </w:tabs>
      <w:spacing w:line="260" w:lineRule="exact"/>
      <w:ind w:left="360"/>
    </w:pPr>
    <w:rPr>
      <w:color w:val="5B6770" w:themeColor="accent2"/>
      <w:sz w:val="21"/>
    </w:rPr>
  </w:style>
  <w:style w:type="character" w:styleId="FollowedHyperlink">
    <w:name w:val="FollowedHyperlink"/>
    <w:basedOn w:val="DefaultParagraphFont"/>
    <w:uiPriority w:val="99"/>
    <w:semiHidden/>
    <w:unhideWhenUsed/>
    <w:rsid w:val="0055122F"/>
    <w:rPr>
      <w:color w:val="800080" w:themeColor="followedHyperlink"/>
      <w:u w:val="single"/>
    </w:rPr>
  </w:style>
  <w:style w:type="paragraph" w:customStyle="1" w:styleId="TableofContentshighlevel">
    <w:name w:val="Table of Contents high level"/>
    <w:basedOn w:val="TOC1"/>
    <w:link w:val="TableofContentshighlevelChar"/>
    <w:autoRedefine/>
    <w:qFormat/>
    <w:rsid w:val="00C94AC6"/>
    <w:rPr>
      <w:noProof/>
    </w:rPr>
  </w:style>
  <w:style w:type="paragraph" w:customStyle="1" w:styleId="InsetTableofContents">
    <w:name w:val="Inset Table of Contents"/>
    <w:basedOn w:val="TOC3"/>
    <w:link w:val="InsetTableofContentsChar"/>
    <w:qFormat/>
    <w:rsid w:val="00C94AC6"/>
    <w:pPr>
      <w:tabs>
        <w:tab w:val="left" w:pos="1320"/>
      </w:tabs>
    </w:pPr>
    <w:rPr>
      <w:noProof/>
    </w:rPr>
  </w:style>
  <w:style w:type="character" w:customStyle="1" w:styleId="TOC1Char">
    <w:name w:val="TOC 1 Char"/>
    <w:basedOn w:val="BodyTextChar"/>
    <w:link w:val="TOC1"/>
    <w:uiPriority w:val="39"/>
    <w:rsid w:val="0055122F"/>
    <w:rPr>
      <w:rFonts w:ascii="Arial" w:hAnsi="Arial"/>
      <w:color w:val="5B6770" w:themeColor="accent2"/>
      <w:sz w:val="21"/>
    </w:rPr>
  </w:style>
  <w:style w:type="character" w:customStyle="1" w:styleId="TableofContentshighlevelChar">
    <w:name w:val="Table of Contents high level Char"/>
    <w:basedOn w:val="TOC1Char"/>
    <w:link w:val="TableofContentshighlevel"/>
    <w:rsid w:val="00C94AC6"/>
    <w:rPr>
      <w:rFonts w:ascii="Arial" w:hAnsi="Arial"/>
      <w:noProof/>
      <w:color w:val="5B6770" w:themeColor="accent2"/>
      <w:sz w:val="21"/>
    </w:rPr>
  </w:style>
  <w:style w:type="paragraph" w:styleId="TOCHeading">
    <w:name w:val="TOC Heading"/>
    <w:basedOn w:val="Heading1"/>
    <w:next w:val="Normal"/>
    <w:uiPriority w:val="39"/>
    <w:unhideWhenUsed/>
    <w:qFormat/>
    <w:rsid w:val="0079637D"/>
    <w:pPr>
      <w:keepLines/>
      <w:numPr>
        <w:numId w:val="0"/>
      </w:numPr>
      <w:spacing w:before="240" w:after="0" w:line="259" w:lineRule="auto"/>
      <w:outlineLvl w:val="9"/>
    </w:pPr>
    <w:rPr>
      <w:rFonts w:asciiTheme="majorHAnsi" w:eastAsiaTheme="majorEastAsia" w:hAnsiTheme="majorHAnsi" w:cstheme="majorBidi"/>
      <w:b w:val="0"/>
      <w:bCs w:val="0"/>
      <w:color w:val="008095" w:themeColor="accent1" w:themeShade="BF"/>
      <w:kern w:val="0"/>
      <w:sz w:val="32"/>
    </w:rPr>
  </w:style>
  <w:style w:type="character" w:customStyle="1" w:styleId="TOC3Char">
    <w:name w:val="TOC 3 Char"/>
    <w:basedOn w:val="BodyTextChar"/>
    <w:link w:val="TOC3"/>
    <w:uiPriority w:val="39"/>
    <w:rsid w:val="0055122F"/>
    <w:rPr>
      <w:rFonts w:ascii="Arial" w:hAnsi="Arial"/>
      <w:color w:val="5B6770" w:themeColor="accent2"/>
      <w:sz w:val="21"/>
    </w:rPr>
  </w:style>
  <w:style w:type="character" w:customStyle="1" w:styleId="InsetTableofContentsChar">
    <w:name w:val="Inset Table of Contents Char"/>
    <w:basedOn w:val="TOC3Char"/>
    <w:link w:val="InsetTableofContents"/>
    <w:rsid w:val="00C94AC6"/>
    <w:rPr>
      <w:rFonts w:ascii="Arial" w:hAnsi="Arial"/>
      <w:noProof/>
      <w:color w:val="5B6770" w:themeColor="accent2"/>
      <w:sz w:val="21"/>
    </w:rPr>
  </w:style>
  <w:style w:type="paragraph" w:customStyle="1" w:styleId="EPHeading1">
    <w:name w:val="EP Heading 1"/>
    <w:basedOn w:val="Heading1"/>
    <w:link w:val="EPHeading1Char"/>
    <w:qFormat/>
    <w:rsid w:val="00047A4B"/>
    <w:pPr>
      <w:tabs>
        <w:tab w:val="clear" w:pos="360"/>
        <w:tab w:val="num" w:pos="720"/>
      </w:tabs>
      <w:ind w:left="720" w:hanging="720"/>
    </w:pPr>
    <w:rPr>
      <w:color w:val="00ACC8" w:themeColor="accent1"/>
    </w:rPr>
  </w:style>
  <w:style w:type="paragraph" w:customStyle="1" w:styleId="SectionText">
    <w:name w:val="Section Text"/>
    <w:basedOn w:val="EPHeading1"/>
    <w:link w:val="SectionTextChar"/>
    <w:qFormat/>
    <w:rsid w:val="00047A4B"/>
    <w:pPr>
      <w:numPr>
        <w:numId w:val="0"/>
      </w:numPr>
      <w:spacing w:before="0" w:after="120" w:line="260" w:lineRule="exact"/>
    </w:pPr>
    <w:rPr>
      <w:rFonts w:cs="Times New Roman"/>
      <w:b w:val="0"/>
      <w:bCs w:val="0"/>
      <w:color w:val="5B6770"/>
      <w:kern w:val="0"/>
      <w:sz w:val="21"/>
      <w:szCs w:val="21"/>
    </w:rPr>
  </w:style>
  <w:style w:type="character" w:customStyle="1" w:styleId="EPHeading1Char">
    <w:name w:val="EP Heading 1 Char"/>
    <w:basedOn w:val="Heading1Char"/>
    <w:link w:val="EPHeading1"/>
    <w:rsid w:val="00047A4B"/>
    <w:rPr>
      <w:rFonts w:ascii="Arial" w:hAnsi="Arial" w:cs="Arial"/>
      <w:b/>
      <w:bCs/>
      <w:color w:val="00ACC8" w:themeColor="accent1"/>
      <w:kern w:val="32"/>
      <w:sz w:val="28"/>
      <w:szCs w:val="32"/>
    </w:rPr>
  </w:style>
  <w:style w:type="paragraph" w:customStyle="1" w:styleId="EPHeading2">
    <w:name w:val="EP Heading 2"/>
    <w:basedOn w:val="Heading2"/>
    <w:link w:val="EPHeading2Char"/>
    <w:qFormat/>
    <w:rsid w:val="00047A4B"/>
    <w:pPr>
      <w:tabs>
        <w:tab w:val="clear" w:pos="792"/>
        <w:tab w:val="num" w:pos="720"/>
      </w:tabs>
      <w:ind w:left="720" w:hanging="720"/>
    </w:pPr>
    <w:rPr>
      <w:color w:val="00ACC8" w:themeColor="accent1"/>
    </w:rPr>
  </w:style>
  <w:style w:type="character" w:customStyle="1" w:styleId="SectionTextChar">
    <w:name w:val="Section Text Char"/>
    <w:basedOn w:val="EPHeading1Char"/>
    <w:link w:val="SectionText"/>
    <w:rsid w:val="00047A4B"/>
    <w:rPr>
      <w:rFonts w:ascii="Arial" w:hAnsi="Arial" w:cs="Arial"/>
      <w:b w:val="0"/>
      <w:bCs w:val="0"/>
      <w:color w:val="5B6770"/>
      <w:kern w:val="32"/>
      <w:sz w:val="21"/>
      <w:szCs w:val="21"/>
    </w:rPr>
  </w:style>
  <w:style w:type="table" w:styleId="TableGrid">
    <w:name w:val="Table Grid"/>
    <w:basedOn w:val="TableNormal"/>
    <w:rsid w:val="006E4C53"/>
    <w:rPr>
      <w:rFonts w:ascii="Arial" w:hAnsi="Arial"/>
      <w:color w:val="5B6770" w:themeColor="text2"/>
      <w:sz w:val="20"/>
      <w:szCs w:val="20"/>
    </w:rPr>
    <w:tblPr>
      <w:tblBorders>
        <w:insideH w:val="single" w:sz="4" w:space="0" w:color="00ACC8" w:themeColor="accent1"/>
        <w:insideV w:val="single" w:sz="4" w:space="0" w:color="00ACC8" w:themeColor="accent1"/>
      </w:tblBorders>
    </w:tblPr>
    <w:tcPr>
      <w:shd w:val="clear" w:color="auto" w:fill="auto"/>
    </w:tcPr>
  </w:style>
  <w:style w:type="character" w:customStyle="1" w:styleId="EPHeading2Char">
    <w:name w:val="EP Heading 2 Char"/>
    <w:basedOn w:val="Heading2Char"/>
    <w:link w:val="EPHeading2"/>
    <w:rsid w:val="00047A4B"/>
    <w:rPr>
      <w:rFonts w:ascii="Arial" w:hAnsi="Arial" w:cs="Arial"/>
      <w:b/>
      <w:bCs/>
      <w:iCs/>
      <w:color w:val="00ACC8" w:themeColor="accent1"/>
      <w:sz w:val="22"/>
      <w:szCs w:val="28"/>
    </w:rPr>
  </w:style>
  <w:style w:type="table" w:styleId="TableGridLight">
    <w:name w:val="Grid Table Light"/>
    <w:basedOn w:val="TableNormal"/>
    <w:uiPriority w:val="40"/>
    <w:rsid w:val="00A36FD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A36FD4"/>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EPHeading3">
    <w:name w:val="EP Heading 3"/>
    <w:basedOn w:val="SectionText"/>
    <w:link w:val="EPHeading3Char"/>
    <w:qFormat/>
    <w:rsid w:val="0007244C"/>
    <w:pPr>
      <w:numPr>
        <w:ilvl w:val="2"/>
        <w:numId w:val="6"/>
      </w:numPr>
      <w:tabs>
        <w:tab w:val="left" w:pos="0"/>
      </w:tabs>
    </w:pPr>
    <w:rPr>
      <w:b/>
      <w:color w:val="00ACC8" w:themeColor="accent1"/>
      <w:sz w:val="22"/>
    </w:rPr>
  </w:style>
  <w:style w:type="paragraph" w:customStyle="1" w:styleId="CaptionStyle">
    <w:name w:val="Caption Style"/>
    <w:basedOn w:val="SectionText"/>
    <w:link w:val="CaptionStyleChar"/>
    <w:qFormat/>
    <w:rsid w:val="00B94FE8"/>
    <w:pPr>
      <w:jc w:val="center"/>
    </w:pPr>
    <w:rPr>
      <w:b/>
      <w:i/>
    </w:rPr>
  </w:style>
  <w:style w:type="character" w:customStyle="1" w:styleId="EPHeading3Char">
    <w:name w:val="EP Heading 3 Char"/>
    <w:basedOn w:val="SectionTextChar"/>
    <w:link w:val="EPHeading3"/>
    <w:rsid w:val="0007244C"/>
    <w:rPr>
      <w:rFonts w:ascii="Arial" w:hAnsi="Arial" w:cs="Arial"/>
      <w:b/>
      <w:bCs w:val="0"/>
      <w:color w:val="00ACC8" w:themeColor="accent1"/>
      <w:kern w:val="32"/>
      <w:sz w:val="22"/>
      <w:szCs w:val="21"/>
    </w:rPr>
  </w:style>
  <w:style w:type="character" w:customStyle="1" w:styleId="CaptionStyleChar">
    <w:name w:val="Caption Style Char"/>
    <w:basedOn w:val="SectionTextChar"/>
    <w:link w:val="CaptionStyle"/>
    <w:rsid w:val="00B94FE8"/>
    <w:rPr>
      <w:rFonts w:ascii="Arial" w:hAnsi="Arial" w:cs="Arial"/>
      <w:b/>
      <w:bCs w:val="0"/>
      <w:i/>
      <w:color w:val="5B6770"/>
      <w:kern w:val="32"/>
      <w:sz w:val="21"/>
      <w:szCs w:val="21"/>
    </w:rPr>
  </w:style>
  <w:style w:type="character" w:styleId="CommentReference">
    <w:name w:val="annotation reference"/>
    <w:basedOn w:val="DefaultParagraphFont"/>
    <w:uiPriority w:val="99"/>
    <w:semiHidden/>
    <w:unhideWhenUsed/>
    <w:rsid w:val="00E27D38"/>
    <w:rPr>
      <w:sz w:val="16"/>
      <w:szCs w:val="16"/>
    </w:rPr>
  </w:style>
  <w:style w:type="paragraph" w:styleId="CommentText">
    <w:name w:val="annotation text"/>
    <w:basedOn w:val="Normal"/>
    <w:link w:val="CommentTextChar"/>
    <w:uiPriority w:val="99"/>
    <w:semiHidden/>
    <w:unhideWhenUsed/>
    <w:rsid w:val="00E27D38"/>
    <w:rPr>
      <w:sz w:val="20"/>
      <w:szCs w:val="20"/>
    </w:rPr>
  </w:style>
  <w:style w:type="character" w:customStyle="1" w:styleId="CommentTextChar">
    <w:name w:val="Comment Text Char"/>
    <w:basedOn w:val="DefaultParagraphFont"/>
    <w:link w:val="CommentText"/>
    <w:uiPriority w:val="99"/>
    <w:semiHidden/>
    <w:rsid w:val="00E27D38"/>
    <w:rPr>
      <w:rFonts w:ascii="Arial" w:hAnsi="Arial"/>
      <w:color w:val="5B6770" w:themeColor="text2"/>
      <w:sz w:val="20"/>
      <w:szCs w:val="20"/>
    </w:rPr>
  </w:style>
  <w:style w:type="paragraph" w:styleId="CommentSubject">
    <w:name w:val="annotation subject"/>
    <w:basedOn w:val="CommentText"/>
    <w:next w:val="CommentText"/>
    <w:link w:val="CommentSubjectChar"/>
    <w:uiPriority w:val="99"/>
    <w:semiHidden/>
    <w:unhideWhenUsed/>
    <w:rsid w:val="00E27D38"/>
    <w:rPr>
      <w:b/>
      <w:bCs/>
    </w:rPr>
  </w:style>
  <w:style w:type="character" w:customStyle="1" w:styleId="CommentSubjectChar">
    <w:name w:val="Comment Subject Char"/>
    <w:basedOn w:val="CommentTextChar"/>
    <w:link w:val="CommentSubject"/>
    <w:uiPriority w:val="99"/>
    <w:semiHidden/>
    <w:rsid w:val="00E27D38"/>
    <w:rPr>
      <w:rFonts w:ascii="Arial" w:hAnsi="Arial"/>
      <w:b/>
      <w:bCs/>
      <w:color w:val="5B6770" w:themeColor="text2"/>
      <w:sz w:val="20"/>
      <w:szCs w:val="20"/>
    </w:rPr>
  </w:style>
  <w:style w:type="paragraph" w:styleId="BalloonText">
    <w:name w:val="Balloon Text"/>
    <w:basedOn w:val="Normal"/>
    <w:link w:val="BalloonTextChar"/>
    <w:uiPriority w:val="99"/>
    <w:semiHidden/>
    <w:unhideWhenUsed/>
    <w:rsid w:val="00E27D3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D38"/>
    <w:rPr>
      <w:rFonts w:ascii="Segoe UI" w:hAnsi="Segoe UI" w:cs="Segoe UI"/>
      <w:color w:val="5B6770" w:themeColor="text2"/>
      <w:sz w:val="18"/>
      <w:szCs w:val="18"/>
    </w:rPr>
  </w:style>
  <w:style w:type="character" w:styleId="PlaceholderText">
    <w:name w:val="Placeholder Text"/>
    <w:basedOn w:val="DefaultParagraphFont"/>
    <w:uiPriority w:val="99"/>
    <w:semiHidden/>
    <w:rsid w:val="00133B35"/>
    <w:rPr>
      <w:color w:val="808080"/>
    </w:rPr>
  </w:style>
  <w:style w:type="paragraph" w:styleId="Caption">
    <w:name w:val="caption"/>
    <w:basedOn w:val="Normal"/>
    <w:next w:val="Normal"/>
    <w:unhideWhenUsed/>
    <w:qFormat/>
    <w:rsid w:val="0065752F"/>
    <w:pPr>
      <w:spacing w:after="200"/>
    </w:pPr>
    <w:rPr>
      <w:i/>
      <w:iCs/>
      <w:sz w:val="18"/>
      <w:szCs w:val="18"/>
    </w:rPr>
  </w:style>
  <w:style w:type="paragraph" w:styleId="Revision">
    <w:name w:val="Revision"/>
    <w:hidden/>
    <w:uiPriority w:val="99"/>
    <w:semiHidden/>
    <w:rsid w:val="0081736C"/>
    <w:rPr>
      <w:rFonts w:ascii="Arial" w:hAnsi="Arial"/>
      <w:color w:val="5B6770" w:themeColor="text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41046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QuickStyle" Target="diagrams/quickStyle1.xml"/><Relationship Id="rId3" Type="http://schemas.openxmlformats.org/officeDocument/2006/relationships/customXml" Target="../customXml/item3.xml"/><Relationship Id="rId21" Type="http://schemas.openxmlformats.org/officeDocument/2006/relationships/image" Target="media/image2.jp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Layout" Target="diagrams/layout1.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3.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D8791FD-9900-834A-95AD-5468BA5AA4C5}" type="doc">
      <dgm:prSet loTypeId="urn:microsoft.com/office/officeart/2005/8/layout/chevron2" loCatId="" qsTypeId="urn:microsoft.com/office/officeart/2005/8/quickstyle/simple1" qsCatId="simple" csTypeId="urn:microsoft.com/office/officeart/2005/8/colors/accent1_2" csCatId="accent1" phldr="1"/>
      <dgm:spPr/>
      <dgm:t>
        <a:bodyPr/>
        <a:lstStyle/>
        <a:p>
          <a:endParaRPr lang="en-US"/>
        </a:p>
      </dgm:t>
    </dgm:pt>
    <dgm:pt modelId="{EF594133-6C9C-E349-B949-06F9E11F7746}">
      <dgm:prSet phldrT="[Text]" custT="1"/>
      <dgm:spPr/>
      <dgm:t>
        <a:bodyPr/>
        <a:lstStyle/>
        <a:p>
          <a:r>
            <a:rPr lang="en-US" sz="1200"/>
            <a:t>Model Development</a:t>
          </a:r>
        </a:p>
      </dgm:t>
    </dgm:pt>
    <dgm:pt modelId="{D98A6350-B7CC-724B-B2BA-A9C129352689}" type="parTrans" cxnId="{F251ACF5-9D5A-FB4E-943F-FF7F995EB78E}">
      <dgm:prSet/>
      <dgm:spPr/>
      <dgm:t>
        <a:bodyPr/>
        <a:lstStyle/>
        <a:p>
          <a:endParaRPr lang="en-US" sz="1200"/>
        </a:p>
      </dgm:t>
    </dgm:pt>
    <dgm:pt modelId="{F2298D43-E288-524E-B708-668B5FBA2DC5}" type="sibTrans" cxnId="{F251ACF5-9D5A-FB4E-943F-FF7F995EB78E}">
      <dgm:prSet/>
      <dgm:spPr/>
      <dgm:t>
        <a:bodyPr/>
        <a:lstStyle/>
        <a:p>
          <a:endParaRPr lang="en-US" sz="1200"/>
        </a:p>
      </dgm:t>
    </dgm:pt>
    <dgm:pt modelId="{9C43A254-3838-014F-A7C4-BA718DE39E80}">
      <dgm:prSet phldrT="[Text]" custT="1"/>
      <dgm:spPr/>
      <dgm:t>
        <a:bodyPr/>
        <a:lstStyle/>
        <a:p>
          <a:r>
            <a:rPr lang="en-US" sz="1200"/>
            <a:t>Start Case: 2019 SSWG 2022 Summer Peak and Minimum load cases</a:t>
          </a:r>
        </a:p>
      </dgm:t>
    </dgm:pt>
    <dgm:pt modelId="{9FF03EC4-28FA-624E-A18E-7F54A40E1700}" type="parTrans" cxnId="{96462490-B529-D448-AB0B-88E975565123}">
      <dgm:prSet/>
      <dgm:spPr/>
      <dgm:t>
        <a:bodyPr/>
        <a:lstStyle/>
        <a:p>
          <a:endParaRPr lang="en-US" sz="1200"/>
        </a:p>
      </dgm:t>
    </dgm:pt>
    <dgm:pt modelId="{6CE656F6-4999-E443-8B85-11B8EE00EDCC}" type="sibTrans" cxnId="{96462490-B529-D448-AB0B-88E975565123}">
      <dgm:prSet/>
      <dgm:spPr/>
      <dgm:t>
        <a:bodyPr/>
        <a:lstStyle/>
        <a:p>
          <a:endParaRPr lang="en-US" sz="1200"/>
        </a:p>
      </dgm:t>
    </dgm:pt>
    <dgm:pt modelId="{3B090DE4-F438-4649-A7E3-8AB7159CECCF}">
      <dgm:prSet phldrT="[Text]" custT="1"/>
      <dgm:spPr/>
      <dgm:t>
        <a:bodyPr/>
        <a:lstStyle/>
        <a:p>
          <a:r>
            <a:rPr lang="en-US" sz="1200"/>
            <a:t>GIC data based on TSP and RARF updates</a:t>
          </a:r>
        </a:p>
      </dgm:t>
    </dgm:pt>
    <dgm:pt modelId="{70095D87-76AA-9F4A-AA09-715283F546C8}" type="parTrans" cxnId="{CF012BCF-8099-5C4C-B0E1-94224CDC2E1E}">
      <dgm:prSet/>
      <dgm:spPr/>
      <dgm:t>
        <a:bodyPr/>
        <a:lstStyle/>
        <a:p>
          <a:endParaRPr lang="en-US" sz="1200"/>
        </a:p>
      </dgm:t>
    </dgm:pt>
    <dgm:pt modelId="{BFD9B13F-5188-B348-9F0D-C64FE1C2E49B}" type="sibTrans" cxnId="{CF012BCF-8099-5C4C-B0E1-94224CDC2E1E}">
      <dgm:prSet/>
      <dgm:spPr/>
      <dgm:t>
        <a:bodyPr/>
        <a:lstStyle/>
        <a:p>
          <a:endParaRPr lang="en-US" sz="1200"/>
        </a:p>
      </dgm:t>
    </dgm:pt>
    <dgm:pt modelId="{4BF35D6B-38AA-2A48-BE4D-0A05219188EF}">
      <dgm:prSet phldrT="[Text]" custT="1"/>
      <dgm:spPr/>
      <dgm:t>
        <a:bodyPr/>
        <a:lstStyle/>
        <a:p>
          <a:r>
            <a:rPr lang="en-US" sz="1200"/>
            <a:t>GIC Flows for Thermal Assessments</a:t>
          </a:r>
        </a:p>
      </dgm:t>
    </dgm:pt>
    <dgm:pt modelId="{1FE00D23-09D1-994B-B9F1-CACA895700CD}" type="parTrans" cxnId="{5B90BC2A-278D-A043-B015-6B534662853F}">
      <dgm:prSet/>
      <dgm:spPr/>
      <dgm:t>
        <a:bodyPr/>
        <a:lstStyle/>
        <a:p>
          <a:endParaRPr lang="en-US" sz="1200"/>
        </a:p>
      </dgm:t>
    </dgm:pt>
    <dgm:pt modelId="{3F16E4EB-E60B-E44A-961F-6F10A1B3ADBA}" type="sibTrans" cxnId="{5B90BC2A-278D-A043-B015-6B534662853F}">
      <dgm:prSet/>
      <dgm:spPr/>
      <dgm:t>
        <a:bodyPr/>
        <a:lstStyle/>
        <a:p>
          <a:endParaRPr lang="en-US" sz="1200"/>
        </a:p>
      </dgm:t>
    </dgm:pt>
    <dgm:pt modelId="{3BEEFEC9-9468-FD41-BB5B-270A3128049E}">
      <dgm:prSet phldrT="[Text]" custT="1"/>
      <dgm:spPr/>
      <dgm:t>
        <a:bodyPr/>
        <a:lstStyle/>
        <a:p>
          <a:r>
            <a:rPr lang="en-US" sz="1200"/>
            <a:t>Preliminary GIC flows posted for TSP and RE review</a:t>
          </a:r>
        </a:p>
      </dgm:t>
    </dgm:pt>
    <dgm:pt modelId="{E47C560A-E97D-B64D-8451-FB64A791A1B0}" type="parTrans" cxnId="{2D9FDD85-B761-CF43-A72F-CEB792A99EC6}">
      <dgm:prSet/>
      <dgm:spPr/>
      <dgm:t>
        <a:bodyPr/>
        <a:lstStyle/>
        <a:p>
          <a:endParaRPr lang="en-US" sz="1200"/>
        </a:p>
      </dgm:t>
    </dgm:pt>
    <dgm:pt modelId="{9C3F278C-CA7B-CA46-8977-1A88E942BF00}" type="sibTrans" cxnId="{2D9FDD85-B761-CF43-A72F-CEB792A99EC6}">
      <dgm:prSet/>
      <dgm:spPr/>
      <dgm:t>
        <a:bodyPr/>
        <a:lstStyle/>
        <a:p>
          <a:endParaRPr lang="en-US" sz="1200"/>
        </a:p>
      </dgm:t>
    </dgm:pt>
    <dgm:pt modelId="{82E7506E-A7D6-2540-A421-D0CCC4E70267}">
      <dgm:prSet phldrT="[Text]" custT="1"/>
      <dgm:spPr/>
      <dgm:t>
        <a:bodyPr/>
        <a:lstStyle/>
        <a:p>
          <a:r>
            <a:rPr lang="en-US" sz="1200"/>
            <a:t>Post final GIC flows to MIS Secure</a:t>
          </a:r>
        </a:p>
      </dgm:t>
    </dgm:pt>
    <dgm:pt modelId="{38986C68-1B53-E243-B3AB-EFF49F6003F5}" type="parTrans" cxnId="{FC05D602-639D-504C-B71B-6E8120A6B6E5}">
      <dgm:prSet/>
      <dgm:spPr/>
      <dgm:t>
        <a:bodyPr/>
        <a:lstStyle/>
        <a:p>
          <a:endParaRPr lang="en-US" sz="1200"/>
        </a:p>
      </dgm:t>
    </dgm:pt>
    <dgm:pt modelId="{CD4CCC3B-5608-6B43-9B89-5B066EFCCC35}" type="sibTrans" cxnId="{FC05D602-639D-504C-B71B-6E8120A6B6E5}">
      <dgm:prSet/>
      <dgm:spPr/>
      <dgm:t>
        <a:bodyPr/>
        <a:lstStyle/>
        <a:p>
          <a:endParaRPr lang="en-US" sz="1200"/>
        </a:p>
      </dgm:t>
    </dgm:pt>
    <dgm:pt modelId="{D84A2274-EBDE-884B-9E2D-74BC6AF79A01}">
      <dgm:prSet phldrT="[Text]" custT="1"/>
      <dgm:spPr/>
      <dgm:t>
        <a:bodyPr/>
        <a:lstStyle/>
        <a:p>
          <a:r>
            <a:rPr lang="en-US" sz="1200"/>
            <a:t>Vulnerability Assessment</a:t>
          </a:r>
        </a:p>
      </dgm:t>
    </dgm:pt>
    <dgm:pt modelId="{FDE157AE-BAD9-1C4A-A4A7-13E72324808A}" type="parTrans" cxnId="{E6A119DB-7BC3-0E48-A158-B8CE64800C84}">
      <dgm:prSet/>
      <dgm:spPr/>
      <dgm:t>
        <a:bodyPr/>
        <a:lstStyle/>
        <a:p>
          <a:endParaRPr lang="en-US" sz="1200"/>
        </a:p>
      </dgm:t>
    </dgm:pt>
    <dgm:pt modelId="{40172309-85D2-EF43-9997-29CA7907BDED}" type="sibTrans" cxnId="{E6A119DB-7BC3-0E48-A158-B8CE64800C84}">
      <dgm:prSet/>
      <dgm:spPr/>
      <dgm:t>
        <a:bodyPr/>
        <a:lstStyle/>
        <a:p>
          <a:endParaRPr lang="en-US" sz="1200"/>
        </a:p>
      </dgm:t>
    </dgm:pt>
    <dgm:pt modelId="{029FF6B7-0BA9-884A-91A9-53DC41BCC477}">
      <dgm:prSet phldrT="[Text]" custT="1"/>
      <dgm:spPr/>
      <dgm:t>
        <a:bodyPr/>
        <a:lstStyle/>
        <a:p>
          <a:r>
            <a:rPr lang="en-US" sz="1200"/>
            <a:t>Start case: 2019 SSWG 2022 Summer Peak and Minimum Load GIC System model</a:t>
          </a:r>
        </a:p>
      </dgm:t>
    </dgm:pt>
    <dgm:pt modelId="{C432E501-D533-0540-A7B8-D872BE6B1514}" type="parTrans" cxnId="{844D4CD7-E8B3-A740-8434-9FCBE0BEF662}">
      <dgm:prSet/>
      <dgm:spPr/>
      <dgm:t>
        <a:bodyPr/>
        <a:lstStyle/>
        <a:p>
          <a:endParaRPr lang="en-US" sz="1200"/>
        </a:p>
      </dgm:t>
    </dgm:pt>
    <dgm:pt modelId="{12EB1834-9D58-D849-B28F-22232069C5E1}" type="sibTrans" cxnId="{844D4CD7-E8B3-A740-8434-9FCBE0BEF662}">
      <dgm:prSet/>
      <dgm:spPr/>
      <dgm:t>
        <a:bodyPr/>
        <a:lstStyle/>
        <a:p>
          <a:endParaRPr lang="en-US" sz="1200"/>
        </a:p>
      </dgm:t>
    </dgm:pt>
    <dgm:pt modelId="{F7A139D5-451A-D04A-AE53-8DB404B96933}">
      <dgm:prSet phldrT="[Text]" custT="1"/>
      <dgm:spPr/>
      <dgm:t>
        <a:bodyPr/>
        <a:lstStyle/>
        <a:p>
          <a:r>
            <a:rPr lang="en-US" sz="1200"/>
            <a:t>TSP and RE to submit GMD event caused outages</a:t>
          </a:r>
        </a:p>
      </dgm:t>
    </dgm:pt>
    <dgm:pt modelId="{EBC5FCE9-3096-CC44-B5EE-21AE98ACC526}" type="parTrans" cxnId="{282EE613-728E-794A-B549-C5843B36DC4B}">
      <dgm:prSet/>
      <dgm:spPr/>
      <dgm:t>
        <a:bodyPr/>
        <a:lstStyle/>
        <a:p>
          <a:endParaRPr lang="en-US" sz="1200"/>
        </a:p>
      </dgm:t>
    </dgm:pt>
    <dgm:pt modelId="{AF16FFF9-7A93-F643-BF2F-56C26FED5EE5}" type="sibTrans" cxnId="{282EE613-728E-794A-B549-C5843B36DC4B}">
      <dgm:prSet/>
      <dgm:spPr/>
      <dgm:t>
        <a:bodyPr/>
        <a:lstStyle/>
        <a:p>
          <a:endParaRPr lang="en-US" sz="1200"/>
        </a:p>
      </dgm:t>
    </dgm:pt>
    <dgm:pt modelId="{FBF08DDC-EB67-2749-8DB1-B0425C48EAF6}">
      <dgm:prSet phldrT="[Text]" custT="1"/>
      <dgm:spPr/>
      <dgm:t>
        <a:bodyPr/>
        <a:lstStyle/>
        <a:p>
          <a:r>
            <a:rPr lang="en-US" sz="1200"/>
            <a:t>TSP/REs conduct and provide results of transformer thermal impact assessments if applicable</a:t>
          </a:r>
        </a:p>
      </dgm:t>
    </dgm:pt>
    <dgm:pt modelId="{1F9FB224-9793-EF4D-9552-712D1D7F2AFA}" type="parTrans" cxnId="{8B225512-04DA-B342-AFDD-AF590EC48CBD}">
      <dgm:prSet/>
      <dgm:spPr/>
      <dgm:t>
        <a:bodyPr/>
        <a:lstStyle/>
        <a:p>
          <a:endParaRPr lang="en-US" sz="1200"/>
        </a:p>
      </dgm:t>
    </dgm:pt>
    <dgm:pt modelId="{A98D8A7B-42F7-2B41-BECD-C6810112278D}" type="sibTrans" cxnId="{8B225512-04DA-B342-AFDD-AF590EC48CBD}">
      <dgm:prSet/>
      <dgm:spPr/>
      <dgm:t>
        <a:bodyPr/>
        <a:lstStyle/>
        <a:p>
          <a:endParaRPr lang="en-US" sz="1200"/>
        </a:p>
      </dgm:t>
    </dgm:pt>
    <dgm:pt modelId="{FA992A24-96AF-C744-A283-D699010345E9}">
      <dgm:prSet phldrT="[Text]" custT="1"/>
      <dgm:spPr/>
      <dgm:t>
        <a:bodyPr/>
        <a:lstStyle/>
        <a:p>
          <a:r>
            <a:rPr lang="en-US" sz="1200"/>
            <a:t>Identify GMD criteria violations and CAPs</a:t>
          </a:r>
        </a:p>
      </dgm:t>
    </dgm:pt>
    <dgm:pt modelId="{CC4590AD-3146-2544-9236-C605E9DE8799}" type="parTrans" cxnId="{748FC2F5-D84B-D445-AD09-86DAA13E1F34}">
      <dgm:prSet/>
      <dgm:spPr/>
      <dgm:t>
        <a:bodyPr/>
        <a:lstStyle/>
        <a:p>
          <a:endParaRPr lang="en-US" sz="1200"/>
        </a:p>
      </dgm:t>
    </dgm:pt>
    <dgm:pt modelId="{BAE0C3E4-2DB1-A14E-A3EF-2A5E8ADB303F}" type="sibTrans" cxnId="{748FC2F5-D84B-D445-AD09-86DAA13E1F34}">
      <dgm:prSet/>
      <dgm:spPr/>
      <dgm:t>
        <a:bodyPr/>
        <a:lstStyle/>
        <a:p>
          <a:endParaRPr lang="en-US" sz="1200"/>
        </a:p>
      </dgm:t>
    </dgm:pt>
    <dgm:pt modelId="{6ACC2602-54D5-2B42-B634-F9809C1E4150}">
      <dgm:prSet phldrT="[Text]" custT="1"/>
      <dgm:spPr/>
      <dgm:t>
        <a:bodyPr/>
        <a:lstStyle/>
        <a:p>
          <a:r>
            <a:rPr lang="en-US" sz="1200"/>
            <a:t>Final Report</a:t>
          </a:r>
        </a:p>
      </dgm:t>
    </dgm:pt>
    <dgm:pt modelId="{B5412906-ACC7-484B-BA0A-2F94D99BA965}" type="parTrans" cxnId="{1AA0E35E-1ED9-144B-A536-23612A188549}">
      <dgm:prSet/>
      <dgm:spPr/>
      <dgm:t>
        <a:bodyPr/>
        <a:lstStyle/>
        <a:p>
          <a:endParaRPr lang="en-US" sz="1200"/>
        </a:p>
      </dgm:t>
    </dgm:pt>
    <dgm:pt modelId="{3F8FD158-C83C-4A42-A26F-2C3E9D1F51A3}" type="sibTrans" cxnId="{1AA0E35E-1ED9-144B-A536-23612A188549}">
      <dgm:prSet/>
      <dgm:spPr/>
      <dgm:t>
        <a:bodyPr/>
        <a:lstStyle/>
        <a:p>
          <a:endParaRPr lang="en-US" sz="1200"/>
        </a:p>
      </dgm:t>
    </dgm:pt>
    <dgm:pt modelId="{9D84BD03-54F3-7648-8765-6EB69F1C38E5}">
      <dgm:prSet phldrT="[Text]" custT="1"/>
      <dgm:spPr/>
      <dgm:t>
        <a:bodyPr/>
        <a:lstStyle/>
        <a:p>
          <a:r>
            <a:rPr lang="en-US" sz="1200"/>
            <a:t>Finalize CAPs and study cases</a:t>
          </a:r>
        </a:p>
      </dgm:t>
    </dgm:pt>
    <dgm:pt modelId="{5BB7258A-242A-2D42-B3C2-AA52B0733D31}" type="parTrans" cxnId="{A2D1D9A7-0E92-424D-9F6F-C8FE7F957B3D}">
      <dgm:prSet/>
      <dgm:spPr/>
      <dgm:t>
        <a:bodyPr/>
        <a:lstStyle/>
        <a:p>
          <a:endParaRPr lang="en-US" sz="1200"/>
        </a:p>
      </dgm:t>
    </dgm:pt>
    <dgm:pt modelId="{4652B0AB-5B12-C74E-8A6D-1E466CF814B5}" type="sibTrans" cxnId="{A2D1D9A7-0E92-424D-9F6F-C8FE7F957B3D}">
      <dgm:prSet/>
      <dgm:spPr/>
      <dgm:t>
        <a:bodyPr/>
        <a:lstStyle/>
        <a:p>
          <a:endParaRPr lang="en-US" sz="1200"/>
        </a:p>
      </dgm:t>
    </dgm:pt>
    <dgm:pt modelId="{81903451-1E6B-234C-8256-CAAAD3F13ED3}">
      <dgm:prSet phldrT="[Text]" custT="1"/>
      <dgm:spPr/>
      <dgm:t>
        <a:bodyPr/>
        <a:lstStyle/>
        <a:p>
          <a:r>
            <a:rPr lang="en-US" sz="1200"/>
            <a:t>Publish final report, CAPs, and study cases</a:t>
          </a:r>
        </a:p>
      </dgm:t>
    </dgm:pt>
    <dgm:pt modelId="{9439A941-61F1-BA4E-9D8E-A124B4A79357}" type="parTrans" cxnId="{B3F0B19C-E8B9-0E44-ADE2-BAA9F922258E}">
      <dgm:prSet/>
      <dgm:spPr/>
      <dgm:t>
        <a:bodyPr/>
        <a:lstStyle/>
        <a:p>
          <a:endParaRPr lang="en-US" sz="1200"/>
        </a:p>
      </dgm:t>
    </dgm:pt>
    <dgm:pt modelId="{47F67742-57B5-2F45-92E0-37BA75AD3A84}" type="sibTrans" cxnId="{B3F0B19C-E8B9-0E44-ADE2-BAA9F922258E}">
      <dgm:prSet/>
      <dgm:spPr/>
      <dgm:t>
        <a:bodyPr/>
        <a:lstStyle/>
        <a:p>
          <a:endParaRPr lang="en-US" sz="1200"/>
        </a:p>
      </dgm:t>
    </dgm:pt>
    <dgm:pt modelId="{D0E8A6BB-3A75-9E48-AC37-F51C60C1D9E6}" type="pres">
      <dgm:prSet presAssocID="{FD8791FD-9900-834A-95AD-5468BA5AA4C5}" presName="linearFlow" presStyleCnt="0">
        <dgm:presLayoutVars>
          <dgm:dir/>
          <dgm:animLvl val="lvl"/>
          <dgm:resizeHandles val="exact"/>
        </dgm:presLayoutVars>
      </dgm:prSet>
      <dgm:spPr/>
      <dgm:t>
        <a:bodyPr/>
        <a:lstStyle/>
        <a:p>
          <a:endParaRPr lang="en-US"/>
        </a:p>
      </dgm:t>
    </dgm:pt>
    <dgm:pt modelId="{E9E1308B-D666-F64F-9D49-2641756B8FF0}" type="pres">
      <dgm:prSet presAssocID="{EF594133-6C9C-E349-B949-06F9E11F7746}" presName="composite" presStyleCnt="0"/>
      <dgm:spPr/>
    </dgm:pt>
    <dgm:pt modelId="{F73E6194-01F4-F945-852B-1EA53FFC36A9}" type="pres">
      <dgm:prSet presAssocID="{EF594133-6C9C-E349-B949-06F9E11F7746}" presName="parentText" presStyleLbl="alignNode1" presStyleIdx="0" presStyleCnt="4">
        <dgm:presLayoutVars>
          <dgm:chMax val="1"/>
          <dgm:bulletEnabled val="1"/>
        </dgm:presLayoutVars>
      </dgm:prSet>
      <dgm:spPr/>
      <dgm:t>
        <a:bodyPr/>
        <a:lstStyle/>
        <a:p>
          <a:endParaRPr lang="en-US"/>
        </a:p>
      </dgm:t>
    </dgm:pt>
    <dgm:pt modelId="{AC494618-DD38-AD4A-8756-9751981E6136}" type="pres">
      <dgm:prSet presAssocID="{EF594133-6C9C-E349-B949-06F9E11F7746}" presName="descendantText" presStyleLbl="alignAcc1" presStyleIdx="0" presStyleCnt="4">
        <dgm:presLayoutVars>
          <dgm:bulletEnabled val="1"/>
        </dgm:presLayoutVars>
      </dgm:prSet>
      <dgm:spPr/>
      <dgm:t>
        <a:bodyPr/>
        <a:lstStyle/>
        <a:p>
          <a:endParaRPr lang="en-US"/>
        </a:p>
      </dgm:t>
    </dgm:pt>
    <dgm:pt modelId="{5C848293-6CD2-0845-8B66-F0DA1DB6DE65}" type="pres">
      <dgm:prSet presAssocID="{F2298D43-E288-524E-B708-668B5FBA2DC5}" presName="sp" presStyleCnt="0"/>
      <dgm:spPr/>
    </dgm:pt>
    <dgm:pt modelId="{32ED3F13-9594-204A-B6DB-6DCF897C0199}" type="pres">
      <dgm:prSet presAssocID="{4BF35D6B-38AA-2A48-BE4D-0A05219188EF}" presName="composite" presStyleCnt="0"/>
      <dgm:spPr/>
    </dgm:pt>
    <dgm:pt modelId="{EC363EFE-F2AE-0A4B-92C2-096D774C8185}" type="pres">
      <dgm:prSet presAssocID="{4BF35D6B-38AA-2A48-BE4D-0A05219188EF}" presName="parentText" presStyleLbl="alignNode1" presStyleIdx="1" presStyleCnt="4">
        <dgm:presLayoutVars>
          <dgm:chMax val="1"/>
          <dgm:bulletEnabled val="1"/>
        </dgm:presLayoutVars>
      </dgm:prSet>
      <dgm:spPr/>
      <dgm:t>
        <a:bodyPr/>
        <a:lstStyle/>
        <a:p>
          <a:endParaRPr lang="en-US"/>
        </a:p>
      </dgm:t>
    </dgm:pt>
    <dgm:pt modelId="{C6994E9C-09D4-FF4E-B7C6-DD546C215320}" type="pres">
      <dgm:prSet presAssocID="{4BF35D6B-38AA-2A48-BE4D-0A05219188EF}" presName="descendantText" presStyleLbl="alignAcc1" presStyleIdx="1" presStyleCnt="4">
        <dgm:presLayoutVars>
          <dgm:bulletEnabled val="1"/>
        </dgm:presLayoutVars>
      </dgm:prSet>
      <dgm:spPr/>
      <dgm:t>
        <a:bodyPr/>
        <a:lstStyle/>
        <a:p>
          <a:endParaRPr lang="en-US"/>
        </a:p>
      </dgm:t>
    </dgm:pt>
    <dgm:pt modelId="{E17D8983-3B95-F74F-9498-119649BD0062}" type="pres">
      <dgm:prSet presAssocID="{3F16E4EB-E60B-E44A-961F-6F10A1B3ADBA}" presName="sp" presStyleCnt="0"/>
      <dgm:spPr/>
    </dgm:pt>
    <dgm:pt modelId="{D05AF0F0-844C-3548-86FB-5A3B465ECA51}" type="pres">
      <dgm:prSet presAssocID="{D84A2274-EBDE-884B-9E2D-74BC6AF79A01}" presName="composite" presStyleCnt="0"/>
      <dgm:spPr/>
    </dgm:pt>
    <dgm:pt modelId="{9490E86C-600E-9C4E-AE84-F48F5644F7E7}" type="pres">
      <dgm:prSet presAssocID="{D84A2274-EBDE-884B-9E2D-74BC6AF79A01}" presName="parentText" presStyleLbl="alignNode1" presStyleIdx="2" presStyleCnt="4">
        <dgm:presLayoutVars>
          <dgm:chMax val="1"/>
          <dgm:bulletEnabled val="1"/>
        </dgm:presLayoutVars>
      </dgm:prSet>
      <dgm:spPr/>
      <dgm:t>
        <a:bodyPr/>
        <a:lstStyle/>
        <a:p>
          <a:endParaRPr lang="en-US"/>
        </a:p>
      </dgm:t>
    </dgm:pt>
    <dgm:pt modelId="{D8EC37BC-6D00-414C-93B6-B2A4139A6BE8}" type="pres">
      <dgm:prSet presAssocID="{D84A2274-EBDE-884B-9E2D-74BC6AF79A01}" presName="descendantText" presStyleLbl="alignAcc1" presStyleIdx="2" presStyleCnt="4">
        <dgm:presLayoutVars>
          <dgm:bulletEnabled val="1"/>
        </dgm:presLayoutVars>
      </dgm:prSet>
      <dgm:spPr/>
      <dgm:t>
        <a:bodyPr/>
        <a:lstStyle/>
        <a:p>
          <a:endParaRPr lang="en-US"/>
        </a:p>
      </dgm:t>
    </dgm:pt>
    <dgm:pt modelId="{9ACBDFA0-31A4-5A45-8258-DE91049E8FC1}" type="pres">
      <dgm:prSet presAssocID="{40172309-85D2-EF43-9997-29CA7907BDED}" presName="sp" presStyleCnt="0"/>
      <dgm:spPr/>
    </dgm:pt>
    <dgm:pt modelId="{371614BA-0062-3A49-A3D4-D26CBDCB7654}" type="pres">
      <dgm:prSet presAssocID="{6ACC2602-54D5-2B42-B634-F9809C1E4150}" presName="composite" presStyleCnt="0"/>
      <dgm:spPr/>
    </dgm:pt>
    <dgm:pt modelId="{994EBBEB-E78D-3A4A-8B67-EEEA661D6F75}" type="pres">
      <dgm:prSet presAssocID="{6ACC2602-54D5-2B42-B634-F9809C1E4150}" presName="parentText" presStyleLbl="alignNode1" presStyleIdx="3" presStyleCnt="4">
        <dgm:presLayoutVars>
          <dgm:chMax val="1"/>
          <dgm:bulletEnabled val="1"/>
        </dgm:presLayoutVars>
      </dgm:prSet>
      <dgm:spPr/>
      <dgm:t>
        <a:bodyPr/>
        <a:lstStyle/>
        <a:p>
          <a:endParaRPr lang="en-US"/>
        </a:p>
      </dgm:t>
    </dgm:pt>
    <dgm:pt modelId="{8546F53C-51EA-0748-8BCA-94AC00E96629}" type="pres">
      <dgm:prSet presAssocID="{6ACC2602-54D5-2B42-B634-F9809C1E4150}" presName="descendantText" presStyleLbl="alignAcc1" presStyleIdx="3" presStyleCnt="4">
        <dgm:presLayoutVars>
          <dgm:bulletEnabled val="1"/>
        </dgm:presLayoutVars>
      </dgm:prSet>
      <dgm:spPr/>
      <dgm:t>
        <a:bodyPr/>
        <a:lstStyle/>
        <a:p>
          <a:endParaRPr lang="en-US"/>
        </a:p>
      </dgm:t>
    </dgm:pt>
  </dgm:ptLst>
  <dgm:cxnLst>
    <dgm:cxn modelId="{35549235-0C2D-453B-BC33-B4C7FB85C1FB}" type="presOf" srcId="{029FF6B7-0BA9-884A-91A9-53DC41BCC477}" destId="{D8EC37BC-6D00-414C-93B6-B2A4139A6BE8}" srcOrd="0" destOrd="0" presId="urn:microsoft.com/office/officeart/2005/8/layout/chevron2"/>
    <dgm:cxn modelId="{2C62B5EB-6293-41B1-875E-BE85F635DEF7}" type="presOf" srcId="{D84A2274-EBDE-884B-9E2D-74BC6AF79A01}" destId="{9490E86C-600E-9C4E-AE84-F48F5644F7E7}" srcOrd="0" destOrd="0" presId="urn:microsoft.com/office/officeart/2005/8/layout/chevron2"/>
    <dgm:cxn modelId="{CF012BCF-8099-5C4C-B0E1-94224CDC2E1E}" srcId="{EF594133-6C9C-E349-B949-06F9E11F7746}" destId="{3B090DE4-F438-4649-A7E3-8AB7159CECCF}" srcOrd="1" destOrd="0" parTransId="{70095D87-76AA-9F4A-AA09-715283F546C8}" sibTransId="{BFD9B13F-5188-B348-9F0D-C64FE1C2E49B}"/>
    <dgm:cxn modelId="{844D4CD7-E8B3-A740-8434-9FCBE0BEF662}" srcId="{D84A2274-EBDE-884B-9E2D-74BC6AF79A01}" destId="{029FF6B7-0BA9-884A-91A9-53DC41BCC477}" srcOrd="0" destOrd="0" parTransId="{C432E501-D533-0540-A7B8-D872BE6B1514}" sibTransId="{12EB1834-9D58-D849-B28F-22232069C5E1}"/>
    <dgm:cxn modelId="{920EC355-4682-4625-9E81-770B0C9EA590}" type="presOf" srcId="{EF594133-6C9C-E349-B949-06F9E11F7746}" destId="{F73E6194-01F4-F945-852B-1EA53FFC36A9}" srcOrd="0" destOrd="0" presId="urn:microsoft.com/office/officeart/2005/8/layout/chevron2"/>
    <dgm:cxn modelId="{282EE613-728E-794A-B549-C5843B36DC4B}" srcId="{D84A2274-EBDE-884B-9E2D-74BC6AF79A01}" destId="{F7A139D5-451A-D04A-AE53-8DB404B96933}" srcOrd="1" destOrd="0" parTransId="{EBC5FCE9-3096-CC44-B5EE-21AE98ACC526}" sibTransId="{AF16FFF9-7A93-F643-BF2F-56C26FED5EE5}"/>
    <dgm:cxn modelId="{2D9FDD85-B761-CF43-A72F-CEB792A99EC6}" srcId="{4BF35D6B-38AA-2A48-BE4D-0A05219188EF}" destId="{3BEEFEC9-9468-FD41-BB5B-270A3128049E}" srcOrd="0" destOrd="0" parTransId="{E47C560A-E97D-B64D-8451-FB64A791A1B0}" sibTransId="{9C3F278C-CA7B-CA46-8977-1A88E942BF00}"/>
    <dgm:cxn modelId="{BF41ACA1-DC83-4645-B20A-FB3576C4DE08}" type="presOf" srcId="{3B090DE4-F438-4649-A7E3-8AB7159CECCF}" destId="{AC494618-DD38-AD4A-8756-9751981E6136}" srcOrd="0" destOrd="1" presId="urn:microsoft.com/office/officeart/2005/8/layout/chevron2"/>
    <dgm:cxn modelId="{7A4DE6D7-FD3E-4157-9F2C-82CC0274C7EE}" type="presOf" srcId="{6ACC2602-54D5-2B42-B634-F9809C1E4150}" destId="{994EBBEB-E78D-3A4A-8B67-EEEA661D6F75}" srcOrd="0" destOrd="0" presId="urn:microsoft.com/office/officeart/2005/8/layout/chevron2"/>
    <dgm:cxn modelId="{96462490-B529-D448-AB0B-88E975565123}" srcId="{EF594133-6C9C-E349-B949-06F9E11F7746}" destId="{9C43A254-3838-014F-A7C4-BA718DE39E80}" srcOrd="0" destOrd="0" parTransId="{9FF03EC4-28FA-624E-A18E-7F54A40E1700}" sibTransId="{6CE656F6-4999-E443-8B85-11B8EE00EDCC}"/>
    <dgm:cxn modelId="{77485E0C-87E1-41E9-BEE1-022C86FC62CD}" type="presOf" srcId="{F7A139D5-451A-D04A-AE53-8DB404B96933}" destId="{D8EC37BC-6D00-414C-93B6-B2A4139A6BE8}" srcOrd="0" destOrd="1" presId="urn:microsoft.com/office/officeart/2005/8/layout/chevron2"/>
    <dgm:cxn modelId="{D44D369D-008B-4CED-9524-B76986D23271}" type="presOf" srcId="{9D84BD03-54F3-7648-8765-6EB69F1C38E5}" destId="{8546F53C-51EA-0748-8BCA-94AC00E96629}" srcOrd="0" destOrd="0" presId="urn:microsoft.com/office/officeart/2005/8/layout/chevron2"/>
    <dgm:cxn modelId="{3C66EE47-842C-4E7D-BFB6-A496BDB87163}" type="presOf" srcId="{9C43A254-3838-014F-A7C4-BA718DE39E80}" destId="{AC494618-DD38-AD4A-8756-9751981E6136}" srcOrd="0" destOrd="0" presId="urn:microsoft.com/office/officeart/2005/8/layout/chevron2"/>
    <dgm:cxn modelId="{C275BFF0-ED16-4236-9002-14D7D7558C3F}" type="presOf" srcId="{81903451-1E6B-234C-8256-CAAAD3F13ED3}" destId="{8546F53C-51EA-0748-8BCA-94AC00E96629}" srcOrd="0" destOrd="1" presId="urn:microsoft.com/office/officeart/2005/8/layout/chevron2"/>
    <dgm:cxn modelId="{C4BF869B-BB0E-4BD5-9E1D-962F20A6917D}" type="presOf" srcId="{82E7506E-A7D6-2540-A421-D0CCC4E70267}" destId="{C6994E9C-09D4-FF4E-B7C6-DD546C215320}" srcOrd="0" destOrd="1" presId="urn:microsoft.com/office/officeart/2005/8/layout/chevron2"/>
    <dgm:cxn modelId="{FF36A476-09AF-4059-BE2A-B156D2798924}" type="presOf" srcId="{3BEEFEC9-9468-FD41-BB5B-270A3128049E}" destId="{C6994E9C-09D4-FF4E-B7C6-DD546C215320}" srcOrd="0" destOrd="0" presId="urn:microsoft.com/office/officeart/2005/8/layout/chevron2"/>
    <dgm:cxn modelId="{6E4C0950-6E31-4D00-B2B7-DE33FE401253}" type="presOf" srcId="{FD8791FD-9900-834A-95AD-5468BA5AA4C5}" destId="{D0E8A6BB-3A75-9E48-AC37-F51C60C1D9E6}" srcOrd="0" destOrd="0" presId="urn:microsoft.com/office/officeart/2005/8/layout/chevron2"/>
    <dgm:cxn modelId="{1C843A08-0765-412B-BB73-3118A1A973C8}" type="presOf" srcId="{FBF08DDC-EB67-2749-8DB1-B0425C48EAF6}" destId="{C6994E9C-09D4-FF4E-B7C6-DD546C215320}" srcOrd="0" destOrd="2" presId="urn:microsoft.com/office/officeart/2005/8/layout/chevron2"/>
    <dgm:cxn modelId="{4163483A-9BB7-463D-9B50-9719719AF29C}" type="presOf" srcId="{FA992A24-96AF-C744-A283-D699010345E9}" destId="{D8EC37BC-6D00-414C-93B6-B2A4139A6BE8}" srcOrd="0" destOrd="2" presId="urn:microsoft.com/office/officeart/2005/8/layout/chevron2"/>
    <dgm:cxn modelId="{FC05D602-639D-504C-B71B-6E8120A6B6E5}" srcId="{4BF35D6B-38AA-2A48-BE4D-0A05219188EF}" destId="{82E7506E-A7D6-2540-A421-D0CCC4E70267}" srcOrd="1" destOrd="0" parTransId="{38986C68-1B53-E243-B3AB-EFF49F6003F5}" sibTransId="{CD4CCC3B-5608-6B43-9B89-5B066EFCCC35}"/>
    <dgm:cxn modelId="{8B225512-04DA-B342-AFDD-AF590EC48CBD}" srcId="{4BF35D6B-38AA-2A48-BE4D-0A05219188EF}" destId="{FBF08DDC-EB67-2749-8DB1-B0425C48EAF6}" srcOrd="2" destOrd="0" parTransId="{1F9FB224-9793-EF4D-9552-712D1D7F2AFA}" sibTransId="{A98D8A7B-42F7-2B41-BECD-C6810112278D}"/>
    <dgm:cxn modelId="{F251ACF5-9D5A-FB4E-943F-FF7F995EB78E}" srcId="{FD8791FD-9900-834A-95AD-5468BA5AA4C5}" destId="{EF594133-6C9C-E349-B949-06F9E11F7746}" srcOrd="0" destOrd="0" parTransId="{D98A6350-B7CC-724B-B2BA-A9C129352689}" sibTransId="{F2298D43-E288-524E-B708-668B5FBA2DC5}"/>
    <dgm:cxn modelId="{748FC2F5-D84B-D445-AD09-86DAA13E1F34}" srcId="{D84A2274-EBDE-884B-9E2D-74BC6AF79A01}" destId="{FA992A24-96AF-C744-A283-D699010345E9}" srcOrd="2" destOrd="0" parTransId="{CC4590AD-3146-2544-9236-C605E9DE8799}" sibTransId="{BAE0C3E4-2DB1-A14E-A3EF-2A5E8ADB303F}"/>
    <dgm:cxn modelId="{3BDE0F07-8459-4E99-AF5B-E65E95E552C9}" type="presOf" srcId="{4BF35D6B-38AA-2A48-BE4D-0A05219188EF}" destId="{EC363EFE-F2AE-0A4B-92C2-096D774C8185}" srcOrd="0" destOrd="0" presId="urn:microsoft.com/office/officeart/2005/8/layout/chevron2"/>
    <dgm:cxn modelId="{B3F0B19C-E8B9-0E44-ADE2-BAA9F922258E}" srcId="{6ACC2602-54D5-2B42-B634-F9809C1E4150}" destId="{81903451-1E6B-234C-8256-CAAAD3F13ED3}" srcOrd="1" destOrd="0" parTransId="{9439A941-61F1-BA4E-9D8E-A124B4A79357}" sibTransId="{47F67742-57B5-2F45-92E0-37BA75AD3A84}"/>
    <dgm:cxn modelId="{1AA0E35E-1ED9-144B-A536-23612A188549}" srcId="{FD8791FD-9900-834A-95AD-5468BA5AA4C5}" destId="{6ACC2602-54D5-2B42-B634-F9809C1E4150}" srcOrd="3" destOrd="0" parTransId="{B5412906-ACC7-484B-BA0A-2F94D99BA965}" sibTransId="{3F8FD158-C83C-4A42-A26F-2C3E9D1F51A3}"/>
    <dgm:cxn modelId="{5B90BC2A-278D-A043-B015-6B534662853F}" srcId="{FD8791FD-9900-834A-95AD-5468BA5AA4C5}" destId="{4BF35D6B-38AA-2A48-BE4D-0A05219188EF}" srcOrd="1" destOrd="0" parTransId="{1FE00D23-09D1-994B-B9F1-CACA895700CD}" sibTransId="{3F16E4EB-E60B-E44A-961F-6F10A1B3ADBA}"/>
    <dgm:cxn modelId="{E6A119DB-7BC3-0E48-A158-B8CE64800C84}" srcId="{FD8791FD-9900-834A-95AD-5468BA5AA4C5}" destId="{D84A2274-EBDE-884B-9E2D-74BC6AF79A01}" srcOrd="2" destOrd="0" parTransId="{FDE157AE-BAD9-1C4A-A4A7-13E72324808A}" sibTransId="{40172309-85D2-EF43-9997-29CA7907BDED}"/>
    <dgm:cxn modelId="{A2D1D9A7-0E92-424D-9F6F-C8FE7F957B3D}" srcId="{6ACC2602-54D5-2B42-B634-F9809C1E4150}" destId="{9D84BD03-54F3-7648-8765-6EB69F1C38E5}" srcOrd="0" destOrd="0" parTransId="{5BB7258A-242A-2D42-B3C2-AA52B0733D31}" sibTransId="{4652B0AB-5B12-C74E-8A6D-1E466CF814B5}"/>
    <dgm:cxn modelId="{D8BB2E00-1BD6-4DE9-A19E-548ED08D0D8B}" type="presParOf" srcId="{D0E8A6BB-3A75-9E48-AC37-F51C60C1D9E6}" destId="{E9E1308B-D666-F64F-9D49-2641756B8FF0}" srcOrd="0" destOrd="0" presId="urn:microsoft.com/office/officeart/2005/8/layout/chevron2"/>
    <dgm:cxn modelId="{5D0AEBE3-93F7-43CE-A68E-1A07E19CDAA1}" type="presParOf" srcId="{E9E1308B-D666-F64F-9D49-2641756B8FF0}" destId="{F73E6194-01F4-F945-852B-1EA53FFC36A9}" srcOrd="0" destOrd="0" presId="urn:microsoft.com/office/officeart/2005/8/layout/chevron2"/>
    <dgm:cxn modelId="{B52220FD-D77A-4431-8307-5B6C56BC04B1}" type="presParOf" srcId="{E9E1308B-D666-F64F-9D49-2641756B8FF0}" destId="{AC494618-DD38-AD4A-8756-9751981E6136}" srcOrd="1" destOrd="0" presId="urn:microsoft.com/office/officeart/2005/8/layout/chevron2"/>
    <dgm:cxn modelId="{4EB831A1-2D10-4C21-8DC8-53C2954009BB}" type="presParOf" srcId="{D0E8A6BB-3A75-9E48-AC37-F51C60C1D9E6}" destId="{5C848293-6CD2-0845-8B66-F0DA1DB6DE65}" srcOrd="1" destOrd="0" presId="urn:microsoft.com/office/officeart/2005/8/layout/chevron2"/>
    <dgm:cxn modelId="{2A21B9AC-F9A8-4918-9619-88BE09DFB9E7}" type="presParOf" srcId="{D0E8A6BB-3A75-9E48-AC37-F51C60C1D9E6}" destId="{32ED3F13-9594-204A-B6DB-6DCF897C0199}" srcOrd="2" destOrd="0" presId="urn:microsoft.com/office/officeart/2005/8/layout/chevron2"/>
    <dgm:cxn modelId="{ED73ED0D-4FC3-4901-99A4-2CE964407184}" type="presParOf" srcId="{32ED3F13-9594-204A-B6DB-6DCF897C0199}" destId="{EC363EFE-F2AE-0A4B-92C2-096D774C8185}" srcOrd="0" destOrd="0" presId="urn:microsoft.com/office/officeart/2005/8/layout/chevron2"/>
    <dgm:cxn modelId="{A7926CE5-9018-441B-B406-F5687DCB6258}" type="presParOf" srcId="{32ED3F13-9594-204A-B6DB-6DCF897C0199}" destId="{C6994E9C-09D4-FF4E-B7C6-DD546C215320}" srcOrd="1" destOrd="0" presId="urn:microsoft.com/office/officeart/2005/8/layout/chevron2"/>
    <dgm:cxn modelId="{D4197212-589B-4483-B35E-474F40ACC04C}" type="presParOf" srcId="{D0E8A6BB-3A75-9E48-AC37-F51C60C1D9E6}" destId="{E17D8983-3B95-F74F-9498-119649BD0062}" srcOrd="3" destOrd="0" presId="urn:microsoft.com/office/officeart/2005/8/layout/chevron2"/>
    <dgm:cxn modelId="{A8B0F57B-7A51-4511-8426-6E8AEA2721EF}" type="presParOf" srcId="{D0E8A6BB-3A75-9E48-AC37-F51C60C1D9E6}" destId="{D05AF0F0-844C-3548-86FB-5A3B465ECA51}" srcOrd="4" destOrd="0" presId="urn:microsoft.com/office/officeart/2005/8/layout/chevron2"/>
    <dgm:cxn modelId="{87FDE834-E6B0-461A-B1A0-79861FCC60D3}" type="presParOf" srcId="{D05AF0F0-844C-3548-86FB-5A3B465ECA51}" destId="{9490E86C-600E-9C4E-AE84-F48F5644F7E7}" srcOrd="0" destOrd="0" presId="urn:microsoft.com/office/officeart/2005/8/layout/chevron2"/>
    <dgm:cxn modelId="{ABD97F53-6F36-4207-9321-9F723D057D73}" type="presParOf" srcId="{D05AF0F0-844C-3548-86FB-5A3B465ECA51}" destId="{D8EC37BC-6D00-414C-93B6-B2A4139A6BE8}" srcOrd="1" destOrd="0" presId="urn:microsoft.com/office/officeart/2005/8/layout/chevron2"/>
    <dgm:cxn modelId="{BC98C2C4-5174-4256-8D66-6D94A11DEEEE}" type="presParOf" srcId="{D0E8A6BB-3A75-9E48-AC37-F51C60C1D9E6}" destId="{9ACBDFA0-31A4-5A45-8258-DE91049E8FC1}" srcOrd="5" destOrd="0" presId="urn:microsoft.com/office/officeart/2005/8/layout/chevron2"/>
    <dgm:cxn modelId="{EDB95A13-0C5D-4736-9F67-419A3C7BD327}" type="presParOf" srcId="{D0E8A6BB-3A75-9E48-AC37-F51C60C1D9E6}" destId="{371614BA-0062-3A49-A3D4-D26CBDCB7654}" srcOrd="6" destOrd="0" presId="urn:microsoft.com/office/officeart/2005/8/layout/chevron2"/>
    <dgm:cxn modelId="{5EC33A5A-E7E6-4339-B62B-DD24CCAAB480}" type="presParOf" srcId="{371614BA-0062-3A49-A3D4-D26CBDCB7654}" destId="{994EBBEB-E78D-3A4A-8B67-EEEA661D6F75}" srcOrd="0" destOrd="0" presId="urn:microsoft.com/office/officeart/2005/8/layout/chevron2"/>
    <dgm:cxn modelId="{3168AA85-9EC3-41C1-A793-AA3D4F1CADFA}" type="presParOf" srcId="{371614BA-0062-3A49-A3D4-D26CBDCB7654}" destId="{8546F53C-51EA-0748-8BCA-94AC00E96629}" srcOrd="1" destOrd="0" presId="urn:microsoft.com/office/officeart/2005/8/layout/chevron2"/>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73E6194-01F4-F945-852B-1EA53FFC36A9}">
      <dsp:nvSpPr>
        <dsp:cNvPr id="0" name=""/>
        <dsp:cNvSpPr/>
      </dsp:nvSpPr>
      <dsp:spPr>
        <a:xfrm rot="5400000">
          <a:off x="-206529" y="213199"/>
          <a:ext cx="1376861" cy="96380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Model Development</a:t>
          </a:r>
        </a:p>
      </dsp:txBody>
      <dsp:txXfrm rot="-5400000">
        <a:off x="1" y="488570"/>
        <a:ext cx="963802" cy="413059"/>
      </dsp:txXfrm>
    </dsp:sp>
    <dsp:sp modelId="{AC494618-DD38-AD4A-8756-9751981E6136}">
      <dsp:nvSpPr>
        <dsp:cNvPr id="0" name=""/>
        <dsp:cNvSpPr/>
      </dsp:nvSpPr>
      <dsp:spPr>
        <a:xfrm rot="5400000">
          <a:off x="2999554" y="-2029081"/>
          <a:ext cx="894959" cy="49664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Start Case: 2019 SSWG 2022 Summer Peak and Minimum load cases</a:t>
          </a:r>
        </a:p>
        <a:p>
          <a:pPr marL="114300" lvl="1" indent="-114300" algn="l" defTabSz="533400">
            <a:lnSpc>
              <a:spcPct val="90000"/>
            </a:lnSpc>
            <a:spcBef>
              <a:spcPct val="0"/>
            </a:spcBef>
            <a:spcAft>
              <a:spcPct val="15000"/>
            </a:spcAft>
            <a:buChar char="••"/>
          </a:pPr>
          <a:r>
            <a:rPr lang="en-US" sz="1200" kern="1200"/>
            <a:t>GIC data based on TSP and RARF updates</a:t>
          </a:r>
        </a:p>
      </dsp:txBody>
      <dsp:txXfrm rot="-5400000">
        <a:off x="963803" y="50358"/>
        <a:ext cx="4922774" cy="807583"/>
      </dsp:txXfrm>
    </dsp:sp>
    <dsp:sp modelId="{EC363EFE-F2AE-0A4B-92C2-096D774C8185}">
      <dsp:nvSpPr>
        <dsp:cNvPr id="0" name=""/>
        <dsp:cNvSpPr/>
      </dsp:nvSpPr>
      <dsp:spPr>
        <a:xfrm rot="5400000">
          <a:off x="-206529" y="1445034"/>
          <a:ext cx="1376861" cy="96380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GIC Flows for Thermal Assessments</a:t>
          </a:r>
        </a:p>
      </dsp:txBody>
      <dsp:txXfrm rot="-5400000">
        <a:off x="1" y="1720405"/>
        <a:ext cx="963802" cy="413059"/>
      </dsp:txXfrm>
    </dsp:sp>
    <dsp:sp modelId="{C6994E9C-09D4-FF4E-B7C6-DD546C215320}">
      <dsp:nvSpPr>
        <dsp:cNvPr id="0" name=""/>
        <dsp:cNvSpPr/>
      </dsp:nvSpPr>
      <dsp:spPr>
        <a:xfrm rot="5400000">
          <a:off x="2999318" y="-797010"/>
          <a:ext cx="895430" cy="49664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Preliminary GIC flows posted for TSP and RE review</a:t>
          </a:r>
        </a:p>
        <a:p>
          <a:pPr marL="114300" lvl="1" indent="-114300" algn="l" defTabSz="533400">
            <a:lnSpc>
              <a:spcPct val="90000"/>
            </a:lnSpc>
            <a:spcBef>
              <a:spcPct val="0"/>
            </a:spcBef>
            <a:spcAft>
              <a:spcPct val="15000"/>
            </a:spcAft>
            <a:buChar char="••"/>
          </a:pPr>
          <a:r>
            <a:rPr lang="en-US" sz="1200" kern="1200"/>
            <a:t>Post final GIC flows to MIS Secure</a:t>
          </a:r>
        </a:p>
        <a:p>
          <a:pPr marL="114300" lvl="1" indent="-114300" algn="l" defTabSz="533400">
            <a:lnSpc>
              <a:spcPct val="90000"/>
            </a:lnSpc>
            <a:spcBef>
              <a:spcPct val="0"/>
            </a:spcBef>
            <a:spcAft>
              <a:spcPct val="15000"/>
            </a:spcAft>
            <a:buChar char="••"/>
          </a:pPr>
          <a:r>
            <a:rPr lang="en-US" sz="1200" kern="1200"/>
            <a:t>TSP/REs conduct and provide results of transformer thermal impact assessments if applicable</a:t>
          </a:r>
        </a:p>
      </dsp:txBody>
      <dsp:txXfrm rot="-5400000">
        <a:off x="963803" y="1282216"/>
        <a:ext cx="4922751" cy="808008"/>
      </dsp:txXfrm>
    </dsp:sp>
    <dsp:sp modelId="{9490E86C-600E-9C4E-AE84-F48F5644F7E7}">
      <dsp:nvSpPr>
        <dsp:cNvPr id="0" name=""/>
        <dsp:cNvSpPr/>
      </dsp:nvSpPr>
      <dsp:spPr>
        <a:xfrm rot="5400000">
          <a:off x="-206529" y="2676870"/>
          <a:ext cx="1376861" cy="96380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Vulnerability Assessment</a:t>
          </a:r>
        </a:p>
      </dsp:txBody>
      <dsp:txXfrm rot="-5400000">
        <a:off x="1" y="2952241"/>
        <a:ext cx="963802" cy="413059"/>
      </dsp:txXfrm>
    </dsp:sp>
    <dsp:sp modelId="{D8EC37BC-6D00-414C-93B6-B2A4139A6BE8}">
      <dsp:nvSpPr>
        <dsp:cNvPr id="0" name=""/>
        <dsp:cNvSpPr/>
      </dsp:nvSpPr>
      <dsp:spPr>
        <a:xfrm rot="5400000">
          <a:off x="2999554" y="434590"/>
          <a:ext cx="894959" cy="49664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Start case: 2019 SSWG 2022 Summer Peak and Minimum Load GIC System model</a:t>
          </a:r>
        </a:p>
        <a:p>
          <a:pPr marL="114300" lvl="1" indent="-114300" algn="l" defTabSz="533400">
            <a:lnSpc>
              <a:spcPct val="90000"/>
            </a:lnSpc>
            <a:spcBef>
              <a:spcPct val="0"/>
            </a:spcBef>
            <a:spcAft>
              <a:spcPct val="15000"/>
            </a:spcAft>
            <a:buChar char="••"/>
          </a:pPr>
          <a:r>
            <a:rPr lang="en-US" sz="1200" kern="1200"/>
            <a:t>TSP and RE to submit GMD event caused outages</a:t>
          </a:r>
        </a:p>
        <a:p>
          <a:pPr marL="114300" lvl="1" indent="-114300" algn="l" defTabSz="533400">
            <a:lnSpc>
              <a:spcPct val="90000"/>
            </a:lnSpc>
            <a:spcBef>
              <a:spcPct val="0"/>
            </a:spcBef>
            <a:spcAft>
              <a:spcPct val="15000"/>
            </a:spcAft>
            <a:buChar char="••"/>
          </a:pPr>
          <a:r>
            <a:rPr lang="en-US" sz="1200" kern="1200"/>
            <a:t>Identify GMD criteria violations and CAPs</a:t>
          </a:r>
        </a:p>
      </dsp:txBody>
      <dsp:txXfrm rot="-5400000">
        <a:off x="963803" y="2514029"/>
        <a:ext cx="4922774" cy="807583"/>
      </dsp:txXfrm>
    </dsp:sp>
    <dsp:sp modelId="{994EBBEB-E78D-3A4A-8B67-EEEA661D6F75}">
      <dsp:nvSpPr>
        <dsp:cNvPr id="0" name=""/>
        <dsp:cNvSpPr/>
      </dsp:nvSpPr>
      <dsp:spPr>
        <a:xfrm rot="5400000">
          <a:off x="-206529" y="3908706"/>
          <a:ext cx="1376861" cy="963802"/>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7620" tIns="7620" rIns="7620" bIns="7620" numCol="1" spcCol="1270" anchor="ctr" anchorCtr="0">
          <a:noAutofit/>
        </a:bodyPr>
        <a:lstStyle/>
        <a:p>
          <a:pPr lvl="0" algn="ctr" defTabSz="533400">
            <a:lnSpc>
              <a:spcPct val="90000"/>
            </a:lnSpc>
            <a:spcBef>
              <a:spcPct val="0"/>
            </a:spcBef>
            <a:spcAft>
              <a:spcPct val="35000"/>
            </a:spcAft>
          </a:pPr>
          <a:r>
            <a:rPr lang="en-US" sz="1200" kern="1200"/>
            <a:t>Final Report</a:t>
          </a:r>
        </a:p>
      </dsp:txBody>
      <dsp:txXfrm rot="-5400000">
        <a:off x="1" y="4184077"/>
        <a:ext cx="963802" cy="413059"/>
      </dsp:txXfrm>
    </dsp:sp>
    <dsp:sp modelId="{8546F53C-51EA-0748-8BCA-94AC00E96629}">
      <dsp:nvSpPr>
        <dsp:cNvPr id="0" name=""/>
        <dsp:cNvSpPr/>
      </dsp:nvSpPr>
      <dsp:spPr>
        <a:xfrm rot="5400000">
          <a:off x="2999554" y="1666425"/>
          <a:ext cx="894959" cy="4966462"/>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n-US" sz="1200" kern="1200"/>
            <a:t>Finalize CAPs and study cases</a:t>
          </a:r>
        </a:p>
        <a:p>
          <a:pPr marL="114300" lvl="1" indent="-114300" algn="l" defTabSz="533400">
            <a:lnSpc>
              <a:spcPct val="90000"/>
            </a:lnSpc>
            <a:spcBef>
              <a:spcPct val="0"/>
            </a:spcBef>
            <a:spcAft>
              <a:spcPct val="15000"/>
            </a:spcAft>
            <a:buChar char="••"/>
          </a:pPr>
          <a:r>
            <a:rPr lang="en-US" sz="1200" kern="1200"/>
            <a:t>Publish final report, CAPs, and study cases</a:t>
          </a:r>
        </a:p>
      </dsp:txBody>
      <dsp:txXfrm rot="-5400000">
        <a:off x="963803" y="3745864"/>
        <a:ext cx="4922774" cy="80758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ERCOT Identity v.2">
  <a:themeElements>
    <a:clrScheme name="ERCOT Identity">
      <a:dk1>
        <a:sysClr val="windowText" lastClr="000000"/>
      </a:dk1>
      <a:lt1>
        <a:srgbClr val="FFFFFF"/>
      </a:lt1>
      <a:dk2>
        <a:srgbClr val="5B6770"/>
      </a:dk2>
      <a:lt2>
        <a:srgbClr val="FFFFFF"/>
      </a:lt2>
      <a:accent1>
        <a:srgbClr val="00ACC8"/>
      </a:accent1>
      <a:accent2>
        <a:srgbClr val="5B6770"/>
      </a:accent2>
      <a:accent3>
        <a:srgbClr val="00CE7D"/>
      </a:accent3>
      <a:accent4>
        <a:srgbClr val="003764"/>
      </a:accent4>
      <a:accent5>
        <a:srgbClr val="6650B1"/>
      </a:accent5>
      <a:accent6>
        <a:srgbClr val="910258"/>
      </a:accent6>
      <a:hlink>
        <a:srgbClr val="0000FF"/>
      </a:hlink>
      <a:folHlink>
        <a:srgbClr val="8000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ERCOT Identity v.2" id="{FCDE9DDB-E05F-4265-8C4A-C919DCBF2C86}" vid="{AC36A756-BEA7-4EC1-ABC4-C44EBD83480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E2BDB63875B034C8B32518C6496ADD1" ma:contentTypeVersion="0" ma:contentTypeDescription="Create a new document." ma:contentTypeScope="" ma:versionID="2e49056469cb591c67c33c10da96a071">
  <xsd:schema xmlns:xsd="http://www.w3.org/2001/XMLSchema" xmlns:xs="http://www.w3.org/2001/XMLSchema" xmlns:p="http://schemas.microsoft.com/office/2006/metadata/properties" xmlns:ns2="c34af464-7aa1-4edd-9be4-83dffc1cb926" targetNamespace="http://schemas.microsoft.com/office/2006/metadata/properties" ma:root="true" ma:fieldsID="3a653c66fd0ce9b40621f227f901e684" ns2:_="">
    <xsd:import namespace="c34af464-7aa1-4edd-9be4-83dffc1cb926"/>
    <xsd:element name="properties">
      <xsd:complexType>
        <xsd:sequence>
          <xsd:element name="documentManagement">
            <xsd:complexType>
              <xsd:all>
                <xsd:element ref="ns2:Information_x0020_Classificatio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34af464-7aa1-4edd-9be4-83dffc1cb926" elementFormDefault="qualified">
    <xsd:import namespace="http://schemas.microsoft.com/office/2006/documentManagement/types"/>
    <xsd:import namespace="http://schemas.microsoft.com/office/infopath/2007/PartnerControl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_x0020_Classification xmlns="c34af464-7aa1-4edd-9be4-83dffc1cb926">ERCOT Limited</Information_x0020_Classific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78FA6B-A5D5-4BF7-90F1-69AAD93A50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33F2B6-C431-4051-8C7E-AD5F51C2E153}">
  <ds:schemaRefs>
    <ds:schemaRef ds:uri="http://purl.org/dc/terms/"/>
    <ds:schemaRef ds:uri="c34af464-7aa1-4edd-9be4-83dffc1cb926"/>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D8D93150-F042-4318-BDFC-B1D84BA19400}">
  <ds:schemaRefs>
    <ds:schemaRef ds:uri="http://schemas.microsoft.com/sharepoint/v3/contenttype/forms"/>
  </ds:schemaRefs>
</ds:datastoreItem>
</file>

<file path=customXml/itemProps4.xml><?xml version="1.0" encoding="utf-8"?>
<ds:datastoreItem xmlns:ds="http://schemas.openxmlformats.org/officeDocument/2006/customXml" ds:itemID="{F9DAE26E-9F4C-4C56-A9D3-20C28FF7E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2092</Words>
  <Characters>11931</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The Electric Reliability Council of Texas</Company>
  <LinksUpToDate>false</LinksUpToDate>
  <CharactersWithSpaces>13996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Pysh, Danya</dc:creator>
  <cp:keywords/>
  <dc:description/>
  <cp:lastModifiedBy>Han, Minnie</cp:lastModifiedBy>
  <cp:revision>3</cp:revision>
  <dcterms:created xsi:type="dcterms:W3CDTF">2021-05-10T18:55:00Z</dcterms:created>
  <dcterms:modified xsi:type="dcterms:W3CDTF">2021-05-10T18:56:00Z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0x0101002E2BDB63875B034C8B32518C6496ADD1</vt:lpwstr>
  </property>
</Properties>
</file>