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900" w:rsidRDefault="00305900">
      <w:bookmarkStart w:id="0" w:name="_GoBack"/>
      <w:bookmarkEnd w:id="0"/>
      <w:r>
        <w:t>Task Force ERCOT.com Logistics --- Client Services to establish listserv, homepage</w:t>
      </w:r>
    </w:p>
    <w:p w:rsidR="00305900" w:rsidRDefault="00305900" w:rsidP="00305900">
      <w:pPr>
        <w:pStyle w:val="ListParagraph"/>
        <w:numPr>
          <w:ilvl w:val="0"/>
          <w:numId w:val="1"/>
        </w:numPr>
      </w:pPr>
      <w:r>
        <w:t>Post charter, scope, purpose</w:t>
      </w:r>
    </w:p>
    <w:p w:rsidR="00305900" w:rsidRDefault="00305900" w:rsidP="00305900">
      <w:pPr>
        <w:pStyle w:val="ListParagraph"/>
        <w:numPr>
          <w:ilvl w:val="0"/>
          <w:numId w:val="1"/>
        </w:numPr>
      </w:pPr>
      <w:r>
        <w:t>PPT presentation to key documents</w:t>
      </w:r>
    </w:p>
    <w:p w:rsidR="00305900" w:rsidRDefault="00305900" w:rsidP="00305900">
      <w:pPr>
        <w:pStyle w:val="ListParagraph"/>
        <w:numPr>
          <w:ilvl w:val="0"/>
          <w:numId w:val="1"/>
        </w:numPr>
      </w:pPr>
      <w:r>
        <w:t>Add meeting dates</w:t>
      </w:r>
    </w:p>
    <w:p w:rsidR="00305900" w:rsidRDefault="00305900" w:rsidP="00305900">
      <w:pPr>
        <w:pStyle w:val="ListParagraph"/>
        <w:numPr>
          <w:ilvl w:val="0"/>
          <w:numId w:val="1"/>
        </w:numPr>
      </w:pPr>
      <w:r>
        <w:t>Set up WebEx meetings (with Host Key)</w:t>
      </w:r>
    </w:p>
    <w:p w:rsidR="00305900" w:rsidRDefault="00305900" w:rsidP="00305900"/>
    <w:p w:rsidR="00305900" w:rsidRDefault="00305900" w:rsidP="00305900">
      <w:r>
        <w:t>May 18</w:t>
      </w:r>
      <w:r w:rsidRPr="00305900">
        <w:rPr>
          <w:vertAlign w:val="superscript"/>
        </w:rPr>
        <w:t>th</w:t>
      </w:r>
      <w:r>
        <w:t xml:space="preserve"> Meeting Agenda</w:t>
      </w:r>
    </w:p>
    <w:p w:rsidR="00305900" w:rsidRDefault="00063135" w:rsidP="00B7268F">
      <w:pPr>
        <w:pStyle w:val="ListParagraph"/>
        <w:numPr>
          <w:ilvl w:val="0"/>
          <w:numId w:val="4"/>
        </w:numPr>
        <w:ind w:left="360"/>
      </w:pPr>
      <w:r>
        <w:t>Review of r</w:t>
      </w:r>
      <w:r w:rsidR="00EE5A2F">
        <w:t>estructure</w:t>
      </w:r>
      <w:r>
        <w:t>d</w:t>
      </w:r>
      <w:r w:rsidR="00EE5A2F">
        <w:t xml:space="preserve"> </w:t>
      </w:r>
      <w:r w:rsidR="00493005">
        <w:t>Emergency Conditions Issue List</w:t>
      </w:r>
    </w:p>
    <w:p w:rsidR="00EB0A07" w:rsidRDefault="00EB0A07" w:rsidP="00B7268F">
      <w:pPr>
        <w:pStyle w:val="ListParagraph"/>
        <w:ind w:left="360"/>
      </w:pPr>
    </w:p>
    <w:p w:rsidR="00EE5A2F" w:rsidRPr="00B7268F" w:rsidRDefault="00EE5A2F" w:rsidP="00B7268F">
      <w:pPr>
        <w:pStyle w:val="ListParagraph"/>
        <w:numPr>
          <w:ilvl w:val="0"/>
          <w:numId w:val="5"/>
        </w:numPr>
        <w:ind w:left="360"/>
        <w:rPr>
          <w:b/>
          <w:u w:val="single"/>
        </w:rPr>
      </w:pPr>
      <w:r w:rsidRPr="00B7268F">
        <w:rPr>
          <w:b/>
          <w:u w:val="single"/>
        </w:rPr>
        <w:t>Communications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058"/>
        <w:gridCol w:w="1613"/>
        <w:gridCol w:w="1290"/>
        <w:gridCol w:w="1471"/>
        <w:gridCol w:w="1723"/>
        <w:gridCol w:w="1378"/>
      </w:tblGrid>
      <w:tr w:rsidR="00EE5A2F" w:rsidRPr="00493005" w:rsidTr="00B7268F">
        <w:trPr>
          <w:trHeight w:val="576"/>
        </w:trPr>
        <w:tc>
          <w:tcPr>
            <w:tcW w:w="471" w:type="pct"/>
            <w:shd w:val="clear" w:color="auto" w:fill="auto"/>
            <w:hideMark/>
          </w:tcPr>
          <w:p w:rsidR="00EE5A2F" w:rsidRPr="00493005" w:rsidRDefault="00EE5A2F" w:rsidP="00717C60">
            <w:pPr>
              <w:spacing w:after="0" w:line="240" w:lineRule="auto"/>
              <w:jc w:val="center"/>
              <w:rPr>
                <w:rFonts w:ascii="Calibri" w:eastAsia="Times New Roman" w:hAnsi="Calibri" w:cs="Calibri"/>
                <w:color w:val="000000"/>
              </w:rPr>
            </w:pPr>
            <w:r w:rsidRPr="00493005">
              <w:rPr>
                <w:rFonts w:ascii="Calibri" w:eastAsia="Times New Roman" w:hAnsi="Calibri" w:cs="Calibri"/>
                <w:color w:val="000000"/>
              </w:rPr>
              <w:t>8</w:t>
            </w:r>
          </w:p>
        </w:tc>
        <w:tc>
          <w:tcPr>
            <w:tcW w:w="600" w:type="pct"/>
            <w:shd w:val="clear" w:color="auto" w:fill="auto"/>
            <w:hideMark/>
          </w:tcPr>
          <w:p w:rsidR="00EE5A2F" w:rsidRPr="00493005" w:rsidRDefault="00EE5A2F" w:rsidP="00717C60">
            <w:pPr>
              <w:spacing w:after="0" w:line="240" w:lineRule="auto"/>
              <w:jc w:val="center"/>
              <w:rPr>
                <w:rFonts w:ascii="Calibri" w:eastAsia="Times New Roman" w:hAnsi="Calibri" w:cs="Calibri"/>
                <w:color w:val="000000"/>
              </w:rPr>
            </w:pPr>
            <w:r w:rsidRPr="00493005">
              <w:rPr>
                <w:rFonts w:ascii="Calibri" w:eastAsia="Times New Roman" w:hAnsi="Calibri" w:cs="Calibri"/>
                <w:color w:val="000000"/>
              </w:rPr>
              <w:t>RMS</w:t>
            </w:r>
          </w:p>
        </w:tc>
        <w:tc>
          <w:tcPr>
            <w:tcW w:w="848" w:type="pct"/>
            <w:shd w:val="clear" w:color="auto" w:fill="auto"/>
            <w:hideMark/>
          </w:tcPr>
          <w:p w:rsidR="00EE5A2F" w:rsidRPr="00493005" w:rsidRDefault="00EE5A2F" w:rsidP="00717C60">
            <w:pPr>
              <w:spacing w:after="0" w:line="240" w:lineRule="auto"/>
              <w:rPr>
                <w:rFonts w:ascii="Calibri" w:eastAsia="Times New Roman" w:hAnsi="Calibri" w:cs="Calibri"/>
                <w:color w:val="000000"/>
              </w:rPr>
            </w:pPr>
            <w:r w:rsidRPr="00493005">
              <w:rPr>
                <w:rFonts w:ascii="Calibri" w:eastAsia="Times New Roman" w:hAnsi="Calibri" w:cs="Calibri"/>
                <w:color w:val="000000"/>
              </w:rPr>
              <w:t>Have RMS preparation discussions twice a year to cover summer and winter</w:t>
            </w:r>
          </w:p>
        </w:tc>
        <w:tc>
          <w:tcPr>
            <w:tcW w:w="690" w:type="pct"/>
            <w:shd w:val="clear" w:color="auto" w:fill="auto"/>
            <w:hideMark/>
          </w:tcPr>
          <w:p w:rsidR="00EE5A2F" w:rsidRPr="00493005" w:rsidRDefault="00EE5A2F" w:rsidP="00717C60">
            <w:pPr>
              <w:spacing w:after="0" w:line="240" w:lineRule="auto"/>
              <w:jc w:val="center"/>
              <w:rPr>
                <w:rFonts w:ascii="Calibri" w:eastAsia="Times New Roman" w:hAnsi="Calibri" w:cs="Calibri"/>
                <w:color w:val="000000"/>
              </w:rPr>
            </w:pPr>
            <w:r w:rsidRPr="00493005">
              <w:rPr>
                <w:rFonts w:ascii="Calibri" w:eastAsia="Times New Roman" w:hAnsi="Calibri" w:cs="Calibri"/>
                <w:color w:val="000000"/>
              </w:rPr>
              <w:t>Near-Term Stakeholder Items</w:t>
            </w:r>
          </w:p>
        </w:tc>
        <w:tc>
          <w:tcPr>
            <w:tcW w:w="821" w:type="pct"/>
            <w:shd w:val="clear" w:color="auto" w:fill="auto"/>
            <w:hideMark/>
          </w:tcPr>
          <w:p w:rsidR="00EE5A2F" w:rsidRPr="00493005" w:rsidRDefault="00EE5A2F" w:rsidP="00717C60">
            <w:pPr>
              <w:spacing w:after="0" w:line="240" w:lineRule="auto"/>
              <w:jc w:val="center"/>
              <w:rPr>
                <w:rFonts w:ascii="Calibri" w:eastAsia="Times New Roman" w:hAnsi="Calibri" w:cs="Calibri"/>
                <w:color w:val="000000"/>
              </w:rPr>
            </w:pPr>
            <w:r w:rsidRPr="00493005">
              <w:rPr>
                <w:rFonts w:ascii="Calibri" w:eastAsia="Times New Roman" w:hAnsi="Calibri" w:cs="Calibri"/>
                <w:color w:val="000000"/>
              </w:rPr>
              <w:t>RMS</w:t>
            </w:r>
          </w:p>
        </w:tc>
        <w:tc>
          <w:tcPr>
            <w:tcW w:w="921" w:type="pct"/>
            <w:shd w:val="clear" w:color="auto" w:fill="auto"/>
            <w:hideMark/>
          </w:tcPr>
          <w:p w:rsidR="00EE5A2F" w:rsidRPr="00493005" w:rsidRDefault="00EE5A2F" w:rsidP="00717C60">
            <w:pPr>
              <w:spacing w:after="0" w:line="240" w:lineRule="auto"/>
              <w:rPr>
                <w:rFonts w:ascii="Calibri" w:eastAsia="Times New Roman" w:hAnsi="Calibri" w:cs="Calibri"/>
                <w:color w:val="000000"/>
              </w:rPr>
            </w:pPr>
            <w:r w:rsidRPr="00493005">
              <w:rPr>
                <w:rFonts w:ascii="Calibri" w:eastAsia="Times New Roman" w:hAnsi="Calibri" w:cs="Calibri"/>
                <w:color w:val="000000"/>
              </w:rPr>
              <w:t>Communications and Governance</w:t>
            </w:r>
          </w:p>
        </w:tc>
        <w:tc>
          <w:tcPr>
            <w:tcW w:w="649" w:type="pct"/>
            <w:shd w:val="clear" w:color="auto" w:fill="auto"/>
            <w:hideMark/>
          </w:tcPr>
          <w:p w:rsidR="00EE5A2F" w:rsidRPr="00493005" w:rsidRDefault="00EE5A2F" w:rsidP="00717C60">
            <w:pPr>
              <w:spacing w:after="0" w:line="240" w:lineRule="auto"/>
              <w:rPr>
                <w:rFonts w:ascii="Calibri" w:eastAsia="Times New Roman" w:hAnsi="Calibri" w:cs="Calibri"/>
                <w:b/>
                <w:bCs/>
                <w:color w:val="C65911"/>
              </w:rPr>
            </w:pPr>
            <w:r w:rsidRPr="00493005">
              <w:rPr>
                <w:rFonts w:ascii="Calibri" w:eastAsia="Times New Roman" w:hAnsi="Calibri" w:cs="Calibri"/>
                <w:b/>
                <w:bCs/>
                <w:color w:val="C65911"/>
              </w:rPr>
              <w:t xml:space="preserve">RECTF </w:t>
            </w:r>
            <w:r>
              <w:rPr>
                <w:rFonts w:ascii="Calibri" w:eastAsia="Times New Roman" w:hAnsi="Calibri" w:cs="Calibri"/>
                <w:b/>
                <w:bCs/>
                <w:color w:val="C65911"/>
              </w:rPr>
              <w:t>&amp; RMS leadership</w:t>
            </w:r>
          </w:p>
        </w:tc>
      </w:tr>
      <w:tr w:rsidR="00B7268F" w:rsidRPr="00EE5A2F" w:rsidTr="00B7268F">
        <w:trPr>
          <w:trHeight w:val="576"/>
        </w:trPr>
        <w:tc>
          <w:tcPr>
            <w:tcW w:w="471"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jc w:val="center"/>
              <w:rPr>
                <w:rFonts w:ascii="Calibri" w:eastAsia="Times New Roman" w:hAnsi="Calibri" w:cs="Calibri"/>
                <w:color w:val="000000"/>
              </w:rPr>
            </w:pPr>
            <w:r w:rsidRPr="00EE5A2F">
              <w:rPr>
                <w:rFonts w:ascii="Calibri" w:eastAsia="Times New Roman" w:hAnsi="Calibri" w:cs="Calibri"/>
                <w:color w:val="000000"/>
              </w:rPr>
              <w:t>14</w:t>
            </w:r>
          </w:p>
        </w:tc>
        <w:tc>
          <w:tcPr>
            <w:tcW w:w="600"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jc w:val="center"/>
              <w:rPr>
                <w:rFonts w:ascii="Calibri" w:eastAsia="Times New Roman" w:hAnsi="Calibri" w:cs="Calibri"/>
                <w:color w:val="000000"/>
              </w:rPr>
            </w:pPr>
            <w:r w:rsidRPr="00EE5A2F">
              <w:rPr>
                <w:rFonts w:ascii="Calibri" w:eastAsia="Times New Roman" w:hAnsi="Calibri" w:cs="Calibri"/>
                <w:color w:val="000000"/>
              </w:rPr>
              <w:t>RMS</w:t>
            </w:r>
          </w:p>
        </w:tc>
        <w:tc>
          <w:tcPr>
            <w:tcW w:w="848"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rPr>
                <w:rFonts w:ascii="Calibri" w:eastAsia="Times New Roman" w:hAnsi="Calibri" w:cs="Calibri"/>
                <w:color w:val="000000"/>
              </w:rPr>
            </w:pPr>
            <w:r w:rsidRPr="00EE5A2F">
              <w:rPr>
                <w:rFonts w:ascii="Calibri" w:eastAsia="Times New Roman" w:hAnsi="Calibri" w:cs="Calibri"/>
                <w:color w:val="000000"/>
              </w:rPr>
              <w:t>The ERCOT listserv was down for much of the event, how can there be a backup for that, and what can ERCOT and stakeholders identify for communication if the listserv is unavailable.</w:t>
            </w: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jc w:val="center"/>
              <w:rPr>
                <w:rFonts w:ascii="Calibri" w:eastAsia="Times New Roman" w:hAnsi="Calibri" w:cs="Calibri"/>
                <w:color w:val="000000"/>
              </w:rPr>
            </w:pPr>
            <w:r w:rsidRPr="00EE5A2F">
              <w:rPr>
                <w:rFonts w:ascii="Calibri" w:eastAsia="Times New Roman" w:hAnsi="Calibri" w:cs="Calibri"/>
                <w:color w:val="000000"/>
              </w:rPr>
              <w:t>Near-Term Stakeholder Items</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jc w:val="center"/>
              <w:rPr>
                <w:rFonts w:ascii="Calibri" w:eastAsia="Times New Roman" w:hAnsi="Calibri" w:cs="Calibri"/>
                <w:color w:val="000000"/>
              </w:rPr>
            </w:pPr>
            <w:r w:rsidRPr="00EE5A2F">
              <w:rPr>
                <w:rFonts w:ascii="Calibri" w:eastAsia="Times New Roman" w:hAnsi="Calibri" w:cs="Calibri"/>
                <w:color w:val="000000"/>
              </w:rPr>
              <w:t>RMS</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rPr>
                <w:rFonts w:ascii="Calibri" w:eastAsia="Times New Roman" w:hAnsi="Calibri" w:cs="Calibri"/>
                <w:color w:val="000000"/>
              </w:rPr>
            </w:pPr>
            <w:r w:rsidRPr="00EE5A2F">
              <w:rPr>
                <w:rFonts w:ascii="Calibri" w:eastAsia="Times New Roman" w:hAnsi="Calibri" w:cs="Calibri"/>
                <w:color w:val="000000"/>
              </w:rPr>
              <w:t>Project No. 51889, Review of Communications for the Electric Market</w:t>
            </w:r>
          </w:p>
        </w:tc>
        <w:tc>
          <w:tcPr>
            <w:tcW w:w="649"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rPr>
                <w:rFonts w:ascii="Calibri" w:eastAsia="Times New Roman" w:hAnsi="Calibri" w:cs="Calibri"/>
                <w:b/>
                <w:bCs/>
                <w:color w:val="C65911"/>
              </w:rPr>
            </w:pPr>
            <w:r w:rsidRPr="00EE5A2F">
              <w:rPr>
                <w:rFonts w:ascii="Calibri" w:eastAsia="Times New Roman" w:hAnsi="Calibri" w:cs="Calibri"/>
                <w:b/>
                <w:bCs/>
                <w:color w:val="C65911"/>
              </w:rPr>
              <w:t>(Changed assignment from ERCOT to RMS -- Grouping #14 &amp; #24)</w:t>
            </w:r>
            <w:r w:rsidRPr="00EE5A2F">
              <w:rPr>
                <w:rFonts w:ascii="Calibri" w:eastAsia="Times New Roman" w:hAnsi="Calibri" w:cs="Calibri"/>
                <w:b/>
                <w:bCs/>
                <w:color w:val="C65911"/>
              </w:rPr>
              <w:br/>
            </w:r>
            <w:r w:rsidRPr="00EE5A2F">
              <w:rPr>
                <w:rFonts w:ascii="Calibri" w:eastAsia="Times New Roman" w:hAnsi="Calibri" w:cs="Calibri"/>
                <w:b/>
                <w:bCs/>
                <w:color w:val="C65911"/>
              </w:rPr>
              <w:br/>
              <w:t>TDTMS -- evaluate if current listserv set up and ERCOT SLO w/ Vendor is adequate. ERCOT to determine if Listserv functionality can be brought in-house.</w:t>
            </w:r>
          </w:p>
        </w:tc>
      </w:tr>
      <w:tr w:rsidR="00B7268F" w:rsidRPr="00EE5A2F" w:rsidTr="00B7268F">
        <w:trPr>
          <w:trHeight w:val="576"/>
        </w:trPr>
        <w:tc>
          <w:tcPr>
            <w:tcW w:w="471"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jc w:val="center"/>
              <w:rPr>
                <w:rFonts w:ascii="Calibri" w:eastAsia="Times New Roman" w:hAnsi="Calibri" w:cs="Calibri"/>
                <w:color w:val="000000"/>
              </w:rPr>
            </w:pPr>
            <w:r w:rsidRPr="00EE5A2F">
              <w:rPr>
                <w:rFonts w:ascii="Calibri" w:eastAsia="Times New Roman" w:hAnsi="Calibri" w:cs="Calibri"/>
                <w:color w:val="000000"/>
              </w:rPr>
              <w:t>24</w:t>
            </w:r>
          </w:p>
        </w:tc>
        <w:tc>
          <w:tcPr>
            <w:tcW w:w="600"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jc w:val="center"/>
              <w:rPr>
                <w:rFonts w:ascii="Calibri" w:eastAsia="Times New Roman" w:hAnsi="Calibri" w:cs="Calibri"/>
                <w:color w:val="000000"/>
              </w:rPr>
            </w:pPr>
            <w:r w:rsidRPr="00EE5A2F">
              <w:rPr>
                <w:rFonts w:ascii="Calibri" w:eastAsia="Times New Roman" w:hAnsi="Calibri" w:cs="Calibri"/>
                <w:color w:val="000000"/>
              </w:rPr>
              <w:t>RMS</w:t>
            </w:r>
          </w:p>
        </w:tc>
        <w:tc>
          <w:tcPr>
            <w:tcW w:w="848"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rPr>
                <w:rFonts w:ascii="Calibri" w:eastAsia="Times New Roman" w:hAnsi="Calibri" w:cs="Calibri"/>
                <w:color w:val="000000"/>
              </w:rPr>
            </w:pPr>
            <w:r w:rsidRPr="00EE5A2F">
              <w:rPr>
                <w:rFonts w:ascii="Calibri" w:eastAsia="Times New Roman" w:hAnsi="Calibri" w:cs="Calibri"/>
                <w:color w:val="000000"/>
              </w:rPr>
              <w:t>Review of SLA language for after-hour issues</w:t>
            </w: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jc w:val="center"/>
              <w:rPr>
                <w:rFonts w:ascii="Calibri" w:eastAsia="Times New Roman" w:hAnsi="Calibri" w:cs="Calibri"/>
                <w:color w:val="000000"/>
              </w:rPr>
            </w:pPr>
            <w:r w:rsidRPr="00EE5A2F">
              <w:rPr>
                <w:rFonts w:ascii="Calibri" w:eastAsia="Times New Roman" w:hAnsi="Calibri" w:cs="Calibri"/>
                <w:color w:val="000000"/>
              </w:rPr>
              <w:t>Near-Term Stakeholder Items</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jc w:val="center"/>
              <w:rPr>
                <w:rFonts w:ascii="Calibri" w:eastAsia="Times New Roman" w:hAnsi="Calibri" w:cs="Calibri"/>
                <w:color w:val="000000"/>
              </w:rPr>
            </w:pPr>
            <w:r w:rsidRPr="00EE5A2F">
              <w:rPr>
                <w:rFonts w:ascii="Calibri" w:eastAsia="Times New Roman" w:hAnsi="Calibri" w:cs="Calibri"/>
                <w:color w:val="000000"/>
              </w:rPr>
              <w:t>RMS</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rPr>
                <w:rFonts w:ascii="Calibri" w:eastAsia="Times New Roman" w:hAnsi="Calibri" w:cs="Calibri"/>
                <w:color w:val="000000"/>
              </w:rPr>
            </w:pPr>
          </w:p>
        </w:tc>
        <w:tc>
          <w:tcPr>
            <w:tcW w:w="649" w:type="pct"/>
            <w:tcBorders>
              <w:top w:val="single" w:sz="4" w:space="0" w:color="auto"/>
              <w:left w:val="single" w:sz="4" w:space="0" w:color="auto"/>
              <w:bottom w:val="single" w:sz="4" w:space="0" w:color="auto"/>
              <w:right w:val="single" w:sz="4" w:space="0" w:color="auto"/>
            </w:tcBorders>
            <w:shd w:val="clear" w:color="auto" w:fill="auto"/>
            <w:hideMark/>
          </w:tcPr>
          <w:p w:rsidR="00B7268F" w:rsidRPr="00EE5A2F" w:rsidRDefault="00B7268F" w:rsidP="00717C60">
            <w:pPr>
              <w:spacing w:after="0" w:line="240" w:lineRule="auto"/>
              <w:rPr>
                <w:rFonts w:ascii="Calibri" w:eastAsia="Times New Roman" w:hAnsi="Calibri" w:cs="Calibri"/>
                <w:b/>
                <w:bCs/>
                <w:color w:val="C65911"/>
              </w:rPr>
            </w:pPr>
            <w:r w:rsidRPr="00EE5A2F">
              <w:rPr>
                <w:rFonts w:ascii="Calibri" w:eastAsia="Times New Roman" w:hAnsi="Calibri" w:cs="Calibri"/>
                <w:b/>
                <w:bCs/>
                <w:color w:val="C65911"/>
              </w:rPr>
              <w:t>TDTMS -- Grouping #14 &amp; #24</w:t>
            </w:r>
          </w:p>
        </w:tc>
      </w:tr>
    </w:tbl>
    <w:p w:rsidR="00EE5A2F" w:rsidRDefault="00EE5A2F" w:rsidP="00EE5A2F">
      <w:pPr>
        <w:pStyle w:val="ListParagraph"/>
        <w:ind w:left="1080"/>
      </w:pPr>
    </w:p>
    <w:p w:rsidR="00EE5A2F" w:rsidRDefault="00EE5A2F" w:rsidP="00EE5A2F">
      <w:pPr>
        <w:pStyle w:val="ListParagraph"/>
        <w:ind w:left="1080"/>
      </w:pPr>
    </w:p>
    <w:p w:rsidR="00EE5A2F" w:rsidRDefault="00EE5A2F" w:rsidP="00EE5A2F">
      <w:pPr>
        <w:pStyle w:val="ListParagraph"/>
        <w:ind w:left="1080"/>
      </w:pPr>
    </w:p>
    <w:p w:rsidR="00EE5A2F" w:rsidRPr="00B7268F" w:rsidRDefault="00EE5A2F" w:rsidP="00B7268F">
      <w:pPr>
        <w:pStyle w:val="ListParagraph"/>
        <w:numPr>
          <w:ilvl w:val="0"/>
          <w:numId w:val="5"/>
        </w:numPr>
        <w:ind w:left="360"/>
        <w:rPr>
          <w:b/>
          <w:u w:val="single"/>
        </w:rPr>
      </w:pPr>
      <w:r w:rsidRPr="00B7268F">
        <w:rPr>
          <w:b/>
          <w:u w:val="single"/>
        </w:rPr>
        <w:t>Meter Data Expectations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25"/>
        <w:gridCol w:w="3218"/>
        <w:gridCol w:w="1290"/>
        <w:gridCol w:w="643"/>
        <w:gridCol w:w="1214"/>
        <w:gridCol w:w="1920"/>
      </w:tblGrid>
      <w:tr w:rsidR="00B7268F" w:rsidRPr="00EB0A07" w:rsidTr="00717C60">
        <w:trPr>
          <w:trHeight w:val="576"/>
        </w:trPr>
        <w:tc>
          <w:tcPr>
            <w:tcW w:w="235" w:type="pct"/>
            <w:shd w:val="clear" w:color="auto" w:fill="auto"/>
            <w:hideMark/>
          </w:tcPr>
          <w:p w:rsidR="00B7268F" w:rsidRPr="00B7268F" w:rsidRDefault="00B7268F" w:rsidP="00B7268F">
            <w:pPr>
              <w:spacing w:after="0" w:line="240" w:lineRule="auto"/>
              <w:rPr>
                <w:rFonts w:ascii="Calibri" w:eastAsia="Times New Roman" w:hAnsi="Calibri" w:cs="Calibri"/>
                <w:color w:val="000000"/>
              </w:rPr>
            </w:pPr>
            <w:r w:rsidRPr="00B7268F">
              <w:rPr>
                <w:rFonts w:ascii="Calibri" w:eastAsia="Times New Roman" w:hAnsi="Calibri" w:cs="Calibri"/>
                <w:color w:val="000000"/>
              </w:rPr>
              <w:t>18</w:t>
            </w:r>
          </w:p>
        </w:tc>
        <w:tc>
          <w:tcPr>
            <w:tcW w:w="334"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RMS</w:t>
            </w:r>
          </w:p>
        </w:tc>
        <w:tc>
          <w:tcPr>
            <w:tcW w:w="1721" w:type="pct"/>
            <w:shd w:val="clear" w:color="auto" w:fill="auto"/>
            <w:hideMark/>
          </w:tcPr>
          <w:p w:rsidR="00B7268F" w:rsidRPr="00EB0A07" w:rsidRDefault="00B7268F" w:rsidP="00717C60">
            <w:pPr>
              <w:spacing w:after="0" w:line="240" w:lineRule="auto"/>
              <w:rPr>
                <w:rFonts w:ascii="Calibri" w:eastAsia="Times New Roman" w:hAnsi="Calibri" w:cs="Calibri"/>
                <w:color w:val="000000"/>
              </w:rPr>
            </w:pPr>
            <w:r w:rsidRPr="00EB0A07">
              <w:rPr>
                <w:rFonts w:ascii="Calibri" w:eastAsia="Times New Roman" w:hAnsi="Calibri" w:cs="Calibri"/>
                <w:color w:val="000000"/>
              </w:rPr>
              <w:t>Evaluate the establishment of standardized expectations regarding meter data and the use of estimates during customer outages</w:t>
            </w:r>
          </w:p>
        </w:tc>
        <w:tc>
          <w:tcPr>
            <w:tcW w:w="690"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Long-Term Stakeholder Items</w:t>
            </w:r>
          </w:p>
        </w:tc>
        <w:tc>
          <w:tcPr>
            <w:tcW w:w="344"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RMS</w:t>
            </w:r>
          </w:p>
        </w:tc>
        <w:tc>
          <w:tcPr>
            <w:tcW w:w="649" w:type="pct"/>
            <w:shd w:val="clear" w:color="auto" w:fill="auto"/>
            <w:hideMark/>
          </w:tcPr>
          <w:p w:rsidR="00B7268F" w:rsidRPr="00EB0A07" w:rsidRDefault="00B7268F" w:rsidP="00717C60">
            <w:pPr>
              <w:spacing w:after="0" w:line="240" w:lineRule="auto"/>
              <w:rPr>
                <w:rFonts w:ascii="Calibri" w:eastAsia="Times New Roman" w:hAnsi="Calibri" w:cs="Calibri"/>
                <w:color w:val="000000"/>
              </w:rPr>
            </w:pPr>
            <w:r w:rsidRPr="00EB0A07">
              <w:rPr>
                <w:rFonts w:ascii="Calibri" w:eastAsia="Times New Roman" w:hAnsi="Calibri" w:cs="Calibri"/>
                <w:color w:val="000000"/>
              </w:rPr>
              <w:t>Retail Market</w:t>
            </w:r>
          </w:p>
        </w:tc>
        <w:tc>
          <w:tcPr>
            <w:tcW w:w="1027" w:type="pct"/>
            <w:shd w:val="clear" w:color="auto" w:fill="auto"/>
            <w:hideMark/>
          </w:tcPr>
          <w:p w:rsidR="00B7268F" w:rsidRPr="00EB0A07" w:rsidRDefault="00B7268F" w:rsidP="00717C60">
            <w:pPr>
              <w:spacing w:after="0" w:line="240" w:lineRule="auto"/>
              <w:rPr>
                <w:rFonts w:ascii="Calibri" w:eastAsia="Times New Roman" w:hAnsi="Calibri" w:cs="Calibri"/>
                <w:b/>
                <w:bCs/>
                <w:color w:val="C65911"/>
              </w:rPr>
            </w:pPr>
            <w:r w:rsidRPr="00EB0A07">
              <w:rPr>
                <w:rFonts w:ascii="Calibri" w:eastAsia="Times New Roman" w:hAnsi="Calibri" w:cs="Calibri"/>
                <w:b/>
                <w:bCs/>
                <w:color w:val="C65911"/>
              </w:rPr>
              <w:t>RECTF --Grouping #18 &amp; #20 (Meter Data+VEE)</w:t>
            </w:r>
          </w:p>
        </w:tc>
      </w:tr>
      <w:tr w:rsidR="00B7268F" w:rsidRPr="00EB0A07" w:rsidTr="00B7268F">
        <w:trPr>
          <w:trHeight w:val="576"/>
        </w:trPr>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B7268F" w:rsidRPr="00EB0A07" w:rsidRDefault="00B7268F" w:rsidP="00B7268F">
            <w:pPr>
              <w:spacing w:after="0" w:line="240" w:lineRule="auto"/>
              <w:rPr>
                <w:rFonts w:ascii="Calibri" w:eastAsia="Times New Roman" w:hAnsi="Calibri" w:cs="Calibri"/>
                <w:color w:val="000000"/>
              </w:rPr>
            </w:pPr>
            <w:r w:rsidRPr="00EB0A07">
              <w:rPr>
                <w:rFonts w:ascii="Calibri" w:eastAsia="Times New Roman" w:hAnsi="Calibri" w:cs="Calibri"/>
                <w:color w:val="000000"/>
              </w:rPr>
              <w:t>20</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RMS</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rsidR="00B7268F" w:rsidRPr="00EB0A07" w:rsidRDefault="00B7268F" w:rsidP="00717C60">
            <w:pPr>
              <w:spacing w:after="0" w:line="240" w:lineRule="auto"/>
              <w:rPr>
                <w:rFonts w:ascii="Calibri" w:eastAsia="Times New Roman" w:hAnsi="Calibri" w:cs="Calibri"/>
                <w:color w:val="000000"/>
              </w:rPr>
            </w:pPr>
            <w:r w:rsidRPr="00EB0A07">
              <w:rPr>
                <w:rFonts w:ascii="Calibri" w:eastAsia="Times New Roman" w:hAnsi="Calibri" w:cs="Calibri"/>
                <w:color w:val="000000"/>
              </w:rPr>
              <w:t>Should there be modifications for Validation, Editing and Estimation of meter data? What is the extend of billing error caused by this?</w:t>
            </w: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Long-Term Stakeholder Items</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RMS</w:t>
            </w:r>
          </w:p>
        </w:tc>
        <w:tc>
          <w:tcPr>
            <w:tcW w:w="649" w:type="pct"/>
            <w:tcBorders>
              <w:top w:val="single" w:sz="4" w:space="0" w:color="auto"/>
              <w:left w:val="single" w:sz="4" w:space="0" w:color="auto"/>
              <w:bottom w:val="single" w:sz="4" w:space="0" w:color="auto"/>
              <w:right w:val="single" w:sz="4" w:space="0" w:color="auto"/>
            </w:tcBorders>
            <w:shd w:val="clear" w:color="auto" w:fill="auto"/>
            <w:hideMark/>
          </w:tcPr>
          <w:p w:rsidR="00B7268F" w:rsidRPr="00EB0A07" w:rsidRDefault="00B7268F" w:rsidP="00717C60">
            <w:pPr>
              <w:spacing w:after="0" w:line="240" w:lineRule="auto"/>
              <w:rPr>
                <w:rFonts w:ascii="Calibri" w:eastAsia="Times New Roman" w:hAnsi="Calibri" w:cs="Calibri"/>
                <w:color w:val="000000"/>
              </w:rPr>
            </w:pPr>
            <w:r w:rsidRPr="00EB0A07">
              <w:rPr>
                <w:rFonts w:ascii="Calibri" w:eastAsia="Times New Roman" w:hAnsi="Calibri" w:cs="Calibri"/>
                <w:color w:val="000000"/>
              </w:rPr>
              <w:t>Retail Market</w:t>
            </w:r>
          </w:p>
        </w:tc>
        <w:tc>
          <w:tcPr>
            <w:tcW w:w="1027" w:type="pct"/>
            <w:tcBorders>
              <w:top w:val="single" w:sz="4" w:space="0" w:color="auto"/>
              <w:left w:val="single" w:sz="4" w:space="0" w:color="auto"/>
              <w:bottom w:val="single" w:sz="4" w:space="0" w:color="auto"/>
              <w:right w:val="single" w:sz="4" w:space="0" w:color="auto"/>
            </w:tcBorders>
            <w:shd w:val="clear" w:color="auto" w:fill="auto"/>
            <w:hideMark/>
          </w:tcPr>
          <w:p w:rsidR="00B7268F" w:rsidRPr="00EB0A07" w:rsidRDefault="00B7268F" w:rsidP="00717C60">
            <w:pPr>
              <w:spacing w:after="0" w:line="240" w:lineRule="auto"/>
              <w:rPr>
                <w:rFonts w:ascii="Calibri" w:eastAsia="Times New Roman" w:hAnsi="Calibri" w:cs="Calibri"/>
                <w:b/>
                <w:bCs/>
                <w:color w:val="C65911"/>
              </w:rPr>
            </w:pPr>
            <w:r w:rsidRPr="00EB0A07">
              <w:rPr>
                <w:rFonts w:ascii="Calibri" w:eastAsia="Times New Roman" w:hAnsi="Calibri" w:cs="Calibri"/>
                <w:b/>
                <w:bCs/>
                <w:color w:val="C65911"/>
              </w:rPr>
              <w:t>RECTF --Grouping #18 &amp; #20 (Meter Data+VEE)</w:t>
            </w:r>
          </w:p>
        </w:tc>
      </w:tr>
      <w:tr w:rsidR="00B7268F" w:rsidRPr="00EB0A07" w:rsidTr="00B7268F">
        <w:trPr>
          <w:trHeight w:val="576"/>
        </w:trPr>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B7268F" w:rsidRPr="00EB0A07" w:rsidRDefault="00B7268F" w:rsidP="00B7268F">
            <w:pPr>
              <w:spacing w:after="0" w:line="240" w:lineRule="auto"/>
              <w:rPr>
                <w:rFonts w:ascii="Calibri" w:eastAsia="Times New Roman" w:hAnsi="Calibri" w:cs="Calibri"/>
                <w:color w:val="000000"/>
              </w:rPr>
            </w:pPr>
            <w:r w:rsidRPr="00EB0A07">
              <w:rPr>
                <w:rFonts w:ascii="Calibri" w:eastAsia="Times New Roman" w:hAnsi="Calibri" w:cs="Calibri"/>
                <w:color w:val="000000"/>
              </w:rPr>
              <w:t>19</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RMS</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rsidR="00B7268F" w:rsidRPr="00EB0A07" w:rsidRDefault="00B7268F" w:rsidP="00717C60">
            <w:pPr>
              <w:spacing w:after="0" w:line="240" w:lineRule="auto"/>
              <w:rPr>
                <w:rFonts w:ascii="Calibri" w:eastAsia="Times New Roman" w:hAnsi="Calibri" w:cs="Calibri"/>
                <w:color w:val="000000"/>
              </w:rPr>
            </w:pPr>
            <w:r w:rsidRPr="00EB0A07">
              <w:rPr>
                <w:rFonts w:ascii="Calibri" w:eastAsia="Times New Roman" w:hAnsi="Calibri" w:cs="Calibri"/>
                <w:color w:val="000000"/>
              </w:rPr>
              <w:t>Subset of C&amp;I customers using medium and large profiles, high initial estimates cause large impacts to large C&amp;I.  C&amp;I to receive similar treatment as the mass market residential segment</w:t>
            </w: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Long-Term Stakeholder Items</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RMS</w:t>
            </w:r>
          </w:p>
        </w:tc>
        <w:tc>
          <w:tcPr>
            <w:tcW w:w="649" w:type="pct"/>
            <w:tcBorders>
              <w:top w:val="single" w:sz="4" w:space="0" w:color="auto"/>
              <w:left w:val="single" w:sz="4" w:space="0" w:color="auto"/>
              <w:bottom w:val="single" w:sz="4" w:space="0" w:color="auto"/>
              <w:right w:val="single" w:sz="4" w:space="0" w:color="auto"/>
            </w:tcBorders>
            <w:shd w:val="clear" w:color="auto" w:fill="auto"/>
            <w:hideMark/>
          </w:tcPr>
          <w:p w:rsidR="00B7268F" w:rsidRPr="00EB0A07" w:rsidRDefault="00B7268F" w:rsidP="00717C60">
            <w:pPr>
              <w:spacing w:after="0" w:line="240" w:lineRule="auto"/>
              <w:rPr>
                <w:rFonts w:ascii="Calibri" w:eastAsia="Times New Roman" w:hAnsi="Calibri" w:cs="Calibri"/>
                <w:color w:val="000000"/>
              </w:rPr>
            </w:pPr>
            <w:r w:rsidRPr="00EB0A07">
              <w:rPr>
                <w:rFonts w:ascii="Calibri" w:eastAsia="Times New Roman" w:hAnsi="Calibri" w:cs="Calibri"/>
                <w:color w:val="000000"/>
              </w:rPr>
              <w:t>Retail Market</w:t>
            </w:r>
          </w:p>
        </w:tc>
        <w:tc>
          <w:tcPr>
            <w:tcW w:w="1027" w:type="pct"/>
            <w:tcBorders>
              <w:top w:val="single" w:sz="4" w:space="0" w:color="auto"/>
              <w:left w:val="single" w:sz="4" w:space="0" w:color="auto"/>
              <w:bottom w:val="single" w:sz="4" w:space="0" w:color="auto"/>
              <w:right w:val="single" w:sz="4" w:space="0" w:color="auto"/>
            </w:tcBorders>
            <w:shd w:val="clear" w:color="auto" w:fill="auto"/>
            <w:hideMark/>
          </w:tcPr>
          <w:p w:rsidR="00B7268F" w:rsidRDefault="00B7268F" w:rsidP="00717C60">
            <w:pPr>
              <w:spacing w:after="0" w:line="240" w:lineRule="auto"/>
              <w:rPr>
                <w:rFonts w:ascii="Calibri" w:eastAsia="Times New Roman" w:hAnsi="Calibri" w:cs="Calibri"/>
                <w:b/>
                <w:bCs/>
                <w:color w:val="C65911"/>
              </w:rPr>
            </w:pPr>
            <w:r w:rsidRPr="00EB0A07">
              <w:rPr>
                <w:rFonts w:ascii="Calibri" w:eastAsia="Times New Roman" w:hAnsi="Calibri" w:cs="Calibri"/>
                <w:b/>
                <w:bCs/>
                <w:color w:val="C65911"/>
              </w:rPr>
              <w:t>RECTF -- Specific to LC&amp;I customers</w:t>
            </w:r>
          </w:p>
          <w:p w:rsidR="00B7268F" w:rsidRDefault="00B7268F" w:rsidP="00717C60">
            <w:pPr>
              <w:spacing w:after="0" w:line="240" w:lineRule="auto"/>
              <w:rPr>
                <w:rFonts w:ascii="Calibri" w:eastAsia="Times New Roman" w:hAnsi="Calibri" w:cs="Calibri"/>
                <w:b/>
                <w:bCs/>
                <w:color w:val="C65911"/>
              </w:rPr>
            </w:pPr>
          </w:p>
          <w:p w:rsidR="00B7268F" w:rsidRPr="00EB0A07" w:rsidRDefault="00B7268F" w:rsidP="00717C60">
            <w:pPr>
              <w:spacing w:after="0" w:line="240" w:lineRule="auto"/>
              <w:rPr>
                <w:rFonts w:ascii="Calibri" w:eastAsia="Times New Roman" w:hAnsi="Calibri" w:cs="Calibri"/>
                <w:b/>
                <w:bCs/>
                <w:color w:val="C65911"/>
              </w:rPr>
            </w:pPr>
            <w:r>
              <w:rPr>
                <w:rFonts w:ascii="Calibri" w:eastAsia="Times New Roman" w:hAnsi="Calibri" w:cs="Calibri"/>
                <w:b/>
                <w:bCs/>
                <w:color w:val="C65911"/>
              </w:rPr>
              <w:t>PWG efforts with IDR Daily Settlement</w:t>
            </w:r>
          </w:p>
        </w:tc>
      </w:tr>
    </w:tbl>
    <w:p w:rsidR="00A421EE" w:rsidRDefault="00A421EE" w:rsidP="00B7268F">
      <w:pPr>
        <w:rPr>
          <w:b/>
          <w:u w:val="single"/>
        </w:rPr>
      </w:pPr>
    </w:p>
    <w:p w:rsidR="00A421EE" w:rsidRDefault="00A421EE" w:rsidP="00B7268F">
      <w:pPr>
        <w:rPr>
          <w:b/>
          <w:u w:val="single"/>
        </w:rPr>
      </w:pPr>
      <w:r>
        <w:rPr>
          <w:b/>
          <w:u w:val="single"/>
        </w:rPr>
        <w:t>Example TXSET TDSP AMS Data Practices Documentation:</w:t>
      </w:r>
    </w:p>
    <w:p w:rsidR="00B7268F" w:rsidRDefault="008C6D78" w:rsidP="00B7268F">
      <w:pPr>
        <w:rPr>
          <w:b/>
          <w:u w:val="single"/>
        </w:rPr>
      </w:pPr>
      <w:hyperlink r:id="rId9" w:history="1">
        <w:r w:rsidR="00B7268F" w:rsidRPr="009B39D0">
          <w:rPr>
            <w:rStyle w:val="Hyperlink"/>
            <w:b/>
          </w:rPr>
          <w:t>http://www.ercot.com/content/committees/board/tac/rms/txset/keydocs/2013/07c.(2)_20130509_TDSP_AMS_Data_Practices_Summary_FINAL.ppt</w:t>
        </w:r>
      </w:hyperlink>
    </w:p>
    <w:p w:rsidR="00B7268F" w:rsidRDefault="008C6D78" w:rsidP="00B7268F">
      <w:pPr>
        <w:rPr>
          <w:b/>
          <w:u w:val="single"/>
        </w:rPr>
      </w:pPr>
      <w:hyperlink r:id="rId10" w:history="1">
        <w:r w:rsidR="00B7268F" w:rsidRPr="009B39D0">
          <w:rPr>
            <w:rStyle w:val="Hyperlink"/>
            <w:b/>
          </w:rPr>
          <w:t>http://www.ercot.com/content/committees/board/tac/rms/txset/keydocs/2013/07c.(3)_20130509_TDSP_AMS_Data_Practices_Matrix_FINAL.doc</w:t>
        </w:r>
      </w:hyperlink>
    </w:p>
    <w:p w:rsidR="00A421EE" w:rsidRPr="00A421EE" w:rsidRDefault="00A421EE" w:rsidP="00B7268F">
      <w:pPr>
        <w:rPr>
          <w:b/>
          <w:sz w:val="24"/>
          <w:u w:val="single"/>
        </w:rPr>
      </w:pPr>
      <w:r w:rsidRPr="00A421EE">
        <w:rPr>
          <w:b/>
          <w:sz w:val="24"/>
          <w:u w:val="single"/>
        </w:rPr>
        <w:t xml:space="preserve">Example Questionnaire: </w:t>
      </w:r>
    </w:p>
    <w:tbl>
      <w:tblPr>
        <w:tblW w:w="5000" w:type="pct"/>
        <w:tblCellMar>
          <w:left w:w="0" w:type="dxa"/>
          <w:right w:w="0" w:type="dxa"/>
        </w:tblCellMar>
        <w:tblLook w:val="04A0" w:firstRow="1" w:lastRow="0" w:firstColumn="1" w:lastColumn="0" w:noHBand="0" w:noVBand="1"/>
      </w:tblPr>
      <w:tblGrid>
        <w:gridCol w:w="9340"/>
      </w:tblGrid>
      <w:tr w:rsidR="00A421EE" w:rsidTr="00717C60">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21EE" w:rsidRDefault="00A421EE" w:rsidP="00717C60">
            <w:pPr>
              <w:jc w:val="center"/>
              <w:rPr>
                <w:b/>
                <w:bCs/>
                <w:sz w:val="28"/>
                <w:szCs w:val="28"/>
              </w:rPr>
            </w:pPr>
            <w:r>
              <w:rPr>
                <w:b/>
                <w:bCs/>
                <w:sz w:val="28"/>
                <w:szCs w:val="28"/>
              </w:rPr>
              <w:t>Prolonged outages-AMS Data impacts</w:t>
            </w:r>
          </w:p>
          <w:p w:rsidR="00A421EE" w:rsidRDefault="00A421EE" w:rsidP="00717C60">
            <w:pPr>
              <w:rPr>
                <w:rFonts w:ascii="Times New Roman" w:hAnsi="Times New Roman" w:cs="Times New Roman"/>
              </w:rPr>
            </w:pPr>
          </w:p>
        </w:tc>
      </w:tr>
      <w:tr w:rsidR="00A421EE" w:rsidTr="00717C60">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21EE" w:rsidRDefault="00A421EE" w:rsidP="00717C60">
            <w:pPr>
              <w:ind w:right="-108"/>
              <w:rPr>
                <w:rFonts w:ascii="Calibri" w:hAnsi="Calibri" w:cs="Calibri"/>
                <w:b/>
                <w:bCs/>
                <w:sz w:val="18"/>
                <w:szCs w:val="18"/>
              </w:rPr>
            </w:pPr>
            <w:r>
              <w:rPr>
                <w:b/>
                <w:bCs/>
                <w:sz w:val="18"/>
                <w:szCs w:val="18"/>
              </w:rPr>
              <w:t xml:space="preserve">If an </w:t>
            </w:r>
            <w:r>
              <w:rPr>
                <w:b/>
                <w:bCs/>
                <w:sz w:val="18"/>
                <w:szCs w:val="18"/>
                <w:u w:val="single"/>
              </w:rPr>
              <w:t>intermittent outage</w:t>
            </w:r>
            <w:r>
              <w:rPr>
                <w:b/>
                <w:bCs/>
                <w:sz w:val="18"/>
                <w:szCs w:val="18"/>
              </w:rPr>
              <w:t xml:space="preserve"> occurs and communication is lost to a meter, how are the missing intervals handled?</w:t>
            </w:r>
          </w:p>
          <w:p w:rsidR="00A421EE" w:rsidRDefault="00A421EE" w:rsidP="00717C60">
            <w:pPr>
              <w:ind w:right="72"/>
              <w:rPr>
                <w:rFonts w:ascii="Times New Roman" w:hAnsi="Times New Roman" w:cs="Times New Roman"/>
              </w:rPr>
            </w:pPr>
          </w:p>
        </w:tc>
      </w:tr>
      <w:tr w:rsidR="00A421EE" w:rsidTr="00717C60">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21EE" w:rsidRDefault="00A421EE" w:rsidP="00717C60">
            <w:pPr>
              <w:ind w:right="-108"/>
              <w:rPr>
                <w:rFonts w:ascii="Calibri" w:hAnsi="Calibri" w:cs="Calibri"/>
                <w:b/>
                <w:bCs/>
                <w:sz w:val="18"/>
                <w:szCs w:val="18"/>
              </w:rPr>
            </w:pPr>
            <w:r>
              <w:rPr>
                <w:b/>
                <w:bCs/>
                <w:sz w:val="18"/>
                <w:szCs w:val="18"/>
              </w:rPr>
              <w:t xml:space="preserve">If a </w:t>
            </w:r>
            <w:r>
              <w:rPr>
                <w:b/>
                <w:bCs/>
                <w:sz w:val="18"/>
                <w:szCs w:val="18"/>
                <w:u w:val="single"/>
              </w:rPr>
              <w:t>widespread prolonged outage</w:t>
            </w:r>
            <w:r>
              <w:rPr>
                <w:b/>
                <w:bCs/>
                <w:sz w:val="18"/>
                <w:szCs w:val="18"/>
              </w:rPr>
              <w:t xml:space="preserve"> was to occur and communication is lost to a meter, how are the missing intervals handled?</w:t>
            </w:r>
          </w:p>
          <w:p w:rsidR="00A421EE" w:rsidRDefault="00A421EE" w:rsidP="00717C60">
            <w:pPr>
              <w:rPr>
                <w:rFonts w:ascii="Times New Roman" w:hAnsi="Times New Roman" w:cs="Times New Roman"/>
              </w:rPr>
            </w:pPr>
          </w:p>
        </w:tc>
      </w:tr>
      <w:tr w:rsidR="00A421EE" w:rsidTr="00717C60">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21EE" w:rsidRDefault="00A421EE" w:rsidP="00717C60">
            <w:pPr>
              <w:rPr>
                <w:rFonts w:ascii="Calibri" w:hAnsi="Calibri" w:cs="Calibri"/>
                <w:b/>
                <w:bCs/>
                <w:sz w:val="18"/>
                <w:szCs w:val="18"/>
              </w:rPr>
            </w:pPr>
            <w:r>
              <w:rPr>
                <w:b/>
                <w:bCs/>
                <w:sz w:val="18"/>
                <w:szCs w:val="18"/>
              </w:rPr>
              <w:t>What will be visible to customers via SMT Portal?</w:t>
            </w:r>
          </w:p>
          <w:p w:rsidR="00A421EE" w:rsidRDefault="00A421EE" w:rsidP="00717C60">
            <w:pPr>
              <w:rPr>
                <w:rFonts w:ascii="Times New Roman" w:hAnsi="Times New Roman" w:cs="Times New Roman"/>
              </w:rPr>
            </w:pPr>
          </w:p>
        </w:tc>
      </w:tr>
      <w:tr w:rsidR="00A421EE" w:rsidTr="00717C60">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21EE" w:rsidRDefault="00A421EE" w:rsidP="00717C60">
            <w:pPr>
              <w:rPr>
                <w:rFonts w:ascii="Calibri" w:hAnsi="Calibri" w:cs="Calibri"/>
                <w:b/>
                <w:bCs/>
                <w:sz w:val="18"/>
                <w:szCs w:val="18"/>
              </w:rPr>
            </w:pPr>
            <w:r>
              <w:rPr>
                <w:b/>
                <w:bCs/>
                <w:sz w:val="18"/>
                <w:szCs w:val="18"/>
              </w:rPr>
              <w:t>Will 867s and 810s be generated?</w:t>
            </w:r>
          </w:p>
          <w:p w:rsidR="00A421EE" w:rsidRDefault="00A421EE" w:rsidP="00717C60">
            <w:pPr>
              <w:rPr>
                <w:rFonts w:ascii="Times New Roman" w:hAnsi="Times New Roman" w:cs="Times New Roman"/>
              </w:rPr>
            </w:pPr>
          </w:p>
        </w:tc>
      </w:tr>
      <w:tr w:rsidR="00A421EE" w:rsidTr="00717C60">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21EE" w:rsidRDefault="00A421EE" w:rsidP="00717C60">
            <w:pPr>
              <w:rPr>
                <w:rFonts w:ascii="Calibri" w:hAnsi="Calibri" w:cs="Calibri"/>
                <w:b/>
                <w:bCs/>
                <w:sz w:val="18"/>
                <w:szCs w:val="18"/>
              </w:rPr>
            </w:pPr>
            <w:r>
              <w:rPr>
                <w:b/>
                <w:bCs/>
                <w:sz w:val="18"/>
                <w:szCs w:val="18"/>
              </w:rPr>
              <w:lastRenderedPageBreak/>
              <w:t>Does the AMS meter store data?</w:t>
            </w:r>
          </w:p>
          <w:p w:rsidR="00A421EE" w:rsidRDefault="00A421EE" w:rsidP="00717C60">
            <w:pPr>
              <w:rPr>
                <w:rFonts w:ascii="Times New Roman" w:hAnsi="Times New Roman" w:cs="Times New Roman"/>
              </w:rPr>
            </w:pPr>
          </w:p>
        </w:tc>
      </w:tr>
      <w:tr w:rsidR="00A421EE" w:rsidTr="00717C60">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21EE" w:rsidRDefault="00A421EE" w:rsidP="00717C60">
            <w:pPr>
              <w:rPr>
                <w:rFonts w:ascii="Calibri" w:hAnsi="Calibri" w:cs="Calibri"/>
              </w:rPr>
            </w:pPr>
            <w:r>
              <w:rPr>
                <w:b/>
                <w:bCs/>
                <w:sz w:val="18"/>
                <w:szCs w:val="18"/>
              </w:rPr>
              <w:t>What is defined as a widespread prolonged outage?</w:t>
            </w:r>
          </w:p>
        </w:tc>
      </w:tr>
      <w:tr w:rsidR="00A421EE" w:rsidTr="00717C60">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21EE" w:rsidRDefault="00A421EE" w:rsidP="00717C60">
            <w:pPr>
              <w:rPr>
                <w:b/>
                <w:bCs/>
                <w:sz w:val="18"/>
                <w:szCs w:val="18"/>
              </w:rPr>
            </w:pPr>
            <w:r>
              <w:rPr>
                <w:b/>
                <w:bCs/>
                <w:sz w:val="18"/>
                <w:szCs w:val="18"/>
              </w:rPr>
              <w:t>Please explain the estimation process --method(s)</w:t>
            </w:r>
          </w:p>
        </w:tc>
      </w:tr>
    </w:tbl>
    <w:p w:rsidR="00A421EE" w:rsidRDefault="00A421EE" w:rsidP="00B7268F">
      <w:pPr>
        <w:rPr>
          <w:b/>
          <w:u w:val="single"/>
        </w:rPr>
      </w:pPr>
    </w:p>
    <w:p w:rsidR="00A421EE" w:rsidRDefault="00A421EE" w:rsidP="00B7268F"/>
    <w:p w:rsidR="00EE5A2F" w:rsidRPr="00B7268F" w:rsidRDefault="00EE5A2F" w:rsidP="00B7268F">
      <w:pPr>
        <w:pStyle w:val="ListParagraph"/>
        <w:numPr>
          <w:ilvl w:val="0"/>
          <w:numId w:val="5"/>
        </w:numPr>
        <w:ind w:left="450" w:hanging="450"/>
        <w:rPr>
          <w:b/>
          <w:u w:val="single"/>
        </w:rPr>
      </w:pPr>
      <w:r w:rsidRPr="00B7268F">
        <w:rPr>
          <w:b/>
          <w:u w:val="single"/>
        </w:rPr>
        <w:t>Mass Transition/Acquisition Transfer</w:t>
      </w:r>
    </w:p>
    <w:p w:rsidR="00B7268F" w:rsidRDefault="00B7268F" w:rsidP="00B7268F">
      <w:pPr>
        <w:pStyle w:val="ListParagraph"/>
        <w:ind w:left="108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25"/>
        <w:gridCol w:w="2321"/>
        <w:gridCol w:w="1290"/>
        <w:gridCol w:w="625"/>
        <w:gridCol w:w="1723"/>
        <w:gridCol w:w="2326"/>
      </w:tblGrid>
      <w:tr w:rsidR="00B7268F" w:rsidRPr="00EB0A07" w:rsidTr="00717C60">
        <w:trPr>
          <w:trHeight w:val="864"/>
        </w:trPr>
        <w:tc>
          <w:tcPr>
            <w:tcW w:w="153"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21</w:t>
            </w:r>
          </w:p>
        </w:tc>
        <w:tc>
          <w:tcPr>
            <w:tcW w:w="177"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RMS</w:t>
            </w:r>
          </w:p>
        </w:tc>
        <w:tc>
          <w:tcPr>
            <w:tcW w:w="1823" w:type="pct"/>
            <w:shd w:val="clear" w:color="auto" w:fill="auto"/>
            <w:hideMark/>
          </w:tcPr>
          <w:p w:rsidR="00B7268F" w:rsidRPr="00EB0A07" w:rsidRDefault="00B7268F" w:rsidP="00717C60">
            <w:pPr>
              <w:spacing w:after="0" w:line="240" w:lineRule="auto"/>
              <w:rPr>
                <w:rFonts w:ascii="Calibri" w:eastAsia="Times New Roman" w:hAnsi="Calibri" w:cs="Calibri"/>
                <w:color w:val="000000"/>
              </w:rPr>
            </w:pPr>
            <w:bookmarkStart w:id="1" w:name="RANGE!F22"/>
            <w:r w:rsidRPr="00EB0A07">
              <w:rPr>
                <w:rFonts w:ascii="Calibri" w:eastAsia="Times New Roman" w:hAnsi="Calibri" w:cs="Calibri"/>
                <w:color w:val="000000"/>
              </w:rPr>
              <w:t>Not enough transparency in ERCOT default and acquisition processes – more transparency into default and acquisitions to pass on to customers (when happening and how impacts customers)</w:t>
            </w:r>
            <w:bookmarkEnd w:id="1"/>
          </w:p>
        </w:tc>
        <w:tc>
          <w:tcPr>
            <w:tcW w:w="515"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Long-Term Stakeholder Items</w:t>
            </w:r>
          </w:p>
        </w:tc>
        <w:tc>
          <w:tcPr>
            <w:tcW w:w="446"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RMS</w:t>
            </w:r>
          </w:p>
        </w:tc>
        <w:tc>
          <w:tcPr>
            <w:tcW w:w="753" w:type="pct"/>
            <w:shd w:val="clear" w:color="auto" w:fill="auto"/>
            <w:hideMark/>
          </w:tcPr>
          <w:p w:rsidR="00B7268F" w:rsidRPr="00EB0A07" w:rsidRDefault="00B7268F" w:rsidP="00717C60">
            <w:pPr>
              <w:spacing w:after="0" w:line="240" w:lineRule="auto"/>
              <w:rPr>
                <w:rFonts w:ascii="Calibri" w:eastAsia="Times New Roman" w:hAnsi="Calibri" w:cs="Calibri"/>
                <w:color w:val="000000"/>
              </w:rPr>
            </w:pPr>
            <w:r w:rsidRPr="00EB0A07">
              <w:rPr>
                <w:rFonts w:ascii="Calibri" w:eastAsia="Times New Roman" w:hAnsi="Calibri" w:cs="Calibri"/>
                <w:color w:val="000000"/>
              </w:rPr>
              <w:t>Retail Market</w:t>
            </w:r>
          </w:p>
        </w:tc>
        <w:tc>
          <w:tcPr>
            <w:tcW w:w="1131" w:type="pct"/>
            <w:shd w:val="clear" w:color="auto" w:fill="auto"/>
            <w:hideMark/>
          </w:tcPr>
          <w:p w:rsidR="00B7268F" w:rsidRDefault="00B7268F" w:rsidP="00717C60">
            <w:pPr>
              <w:spacing w:after="0" w:line="240" w:lineRule="auto"/>
              <w:rPr>
                <w:rFonts w:ascii="Calibri" w:eastAsia="Times New Roman" w:hAnsi="Calibri" w:cs="Calibri"/>
                <w:b/>
                <w:bCs/>
                <w:color w:val="C65911"/>
              </w:rPr>
            </w:pPr>
            <w:r w:rsidRPr="00EB0A07">
              <w:rPr>
                <w:rFonts w:ascii="Calibri" w:eastAsia="Times New Roman" w:hAnsi="Calibri" w:cs="Calibri"/>
                <w:b/>
                <w:bCs/>
                <w:color w:val="C65911"/>
              </w:rPr>
              <w:t>RECTF -- Grouping #21, 22, 23 (Mass Tra</w:t>
            </w:r>
            <w:r>
              <w:rPr>
                <w:rFonts w:ascii="Calibri" w:eastAsia="Times New Roman" w:hAnsi="Calibri" w:cs="Calibri"/>
                <w:b/>
                <w:bCs/>
                <w:color w:val="C65911"/>
              </w:rPr>
              <w:t>n</w:t>
            </w:r>
            <w:r w:rsidRPr="00EB0A07">
              <w:rPr>
                <w:rFonts w:ascii="Calibri" w:eastAsia="Times New Roman" w:hAnsi="Calibri" w:cs="Calibri"/>
                <w:b/>
                <w:bCs/>
                <w:color w:val="C65911"/>
              </w:rPr>
              <w:t>sition/Acquisit</w:t>
            </w:r>
            <w:r>
              <w:rPr>
                <w:rFonts w:ascii="Calibri" w:eastAsia="Times New Roman" w:hAnsi="Calibri" w:cs="Calibri"/>
                <w:b/>
                <w:bCs/>
                <w:color w:val="C65911"/>
              </w:rPr>
              <w:t>i</w:t>
            </w:r>
            <w:r w:rsidRPr="00EB0A07">
              <w:rPr>
                <w:rFonts w:ascii="Calibri" w:eastAsia="Times New Roman" w:hAnsi="Calibri" w:cs="Calibri"/>
                <w:b/>
                <w:bCs/>
                <w:color w:val="C65911"/>
              </w:rPr>
              <w:t>on)</w:t>
            </w:r>
          </w:p>
          <w:p w:rsidR="00B7268F" w:rsidRDefault="00B7268F" w:rsidP="00717C60">
            <w:pPr>
              <w:spacing w:after="0" w:line="240" w:lineRule="auto"/>
              <w:rPr>
                <w:rFonts w:ascii="Calibri" w:eastAsia="Times New Roman" w:hAnsi="Calibri" w:cs="Calibri"/>
                <w:b/>
                <w:bCs/>
                <w:color w:val="C65911"/>
              </w:rPr>
            </w:pPr>
          </w:p>
          <w:p w:rsidR="00B7268F" w:rsidRPr="00EB0A07" w:rsidRDefault="00B7268F" w:rsidP="00717C60">
            <w:pPr>
              <w:spacing w:after="0" w:line="240" w:lineRule="auto"/>
              <w:rPr>
                <w:rFonts w:ascii="Calibri" w:eastAsia="Times New Roman" w:hAnsi="Calibri" w:cs="Calibri"/>
                <w:b/>
                <w:bCs/>
                <w:color w:val="C65911"/>
              </w:rPr>
            </w:pPr>
            <w:r>
              <w:rPr>
                <w:rFonts w:ascii="Calibri" w:eastAsia="Times New Roman" w:hAnsi="Calibri" w:cs="Calibri"/>
                <w:b/>
                <w:bCs/>
                <w:color w:val="C65911"/>
              </w:rPr>
              <w:t>**will hand over to RMTTF to modify Mass Transition module</w:t>
            </w:r>
          </w:p>
        </w:tc>
      </w:tr>
      <w:tr w:rsidR="00B7268F" w:rsidRPr="00EB0A07" w:rsidTr="00717C60">
        <w:trPr>
          <w:trHeight w:val="864"/>
        </w:trPr>
        <w:tc>
          <w:tcPr>
            <w:tcW w:w="153"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22</w:t>
            </w:r>
          </w:p>
        </w:tc>
        <w:tc>
          <w:tcPr>
            <w:tcW w:w="177"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RMS</w:t>
            </w:r>
          </w:p>
        </w:tc>
        <w:tc>
          <w:tcPr>
            <w:tcW w:w="1823" w:type="pct"/>
            <w:shd w:val="clear" w:color="auto" w:fill="auto"/>
            <w:hideMark/>
          </w:tcPr>
          <w:p w:rsidR="00B7268F" w:rsidRPr="00EB0A07" w:rsidRDefault="00B7268F" w:rsidP="00717C60">
            <w:pPr>
              <w:spacing w:after="0" w:line="240" w:lineRule="auto"/>
              <w:rPr>
                <w:rFonts w:ascii="Calibri" w:eastAsia="Times New Roman" w:hAnsi="Calibri" w:cs="Calibri"/>
                <w:color w:val="000000"/>
              </w:rPr>
            </w:pPr>
            <w:r w:rsidRPr="00EB0A07">
              <w:rPr>
                <w:rFonts w:ascii="Calibri" w:eastAsia="Times New Roman" w:hAnsi="Calibri" w:cs="Calibri"/>
                <w:color w:val="000000"/>
              </w:rPr>
              <w:t>Mass Transition expectations and scenarios for customers</w:t>
            </w:r>
          </w:p>
        </w:tc>
        <w:tc>
          <w:tcPr>
            <w:tcW w:w="515"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Long-Term Stakeholder Items</w:t>
            </w:r>
          </w:p>
        </w:tc>
        <w:tc>
          <w:tcPr>
            <w:tcW w:w="446"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RMS</w:t>
            </w:r>
          </w:p>
        </w:tc>
        <w:tc>
          <w:tcPr>
            <w:tcW w:w="753" w:type="pct"/>
            <w:shd w:val="clear" w:color="auto" w:fill="auto"/>
            <w:hideMark/>
          </w:tcPr>
          <w:p w:rsidR="00B7268F" w:rsidRPr="00EB0A07" w:rsidRDefault="00B7268F" w:rsidP="00717C60">
            <w:pPr>
              <w:spacing w:after="0" w:line="240" w:lineRule="auto"/>
              <w:rPr>
                <w:rFonts w:ascii="Calibri" w:eastAsia="Times New Roman" w:hAnsi="Calibri" w:cs="Calibri"/>
                <w:color w:val="000000"/>
              </w:rPr>
            </w:pPr>
            <w:r w:rsidRPr="00EB0A07">
              <w:rPr>
                <w:rFonts w:ascii="Calibri" w:eastAsia="Times New Roman" w:hAnsi="Calibri" w:cs="Calibri"/>
                <w:color w:val="000000"/>
              </w:rPr>
              <w:t>Project No. 51889, Review of Communications for the Electric Market</w:t>
            </w:r>
          </w:p>
        </w:tc>
        <w:tc>
          <w:tcPr>
            <w:tcW w:w="1131" w:type="pct"/>
            <w:shd w:val="clear" w:color="auto" w:fill="auto"/>
            <w:hideMark/>
          </w:tcPr>
          <w:p w:rsidR="00B7268F" w:rsidRDefault="00B7268F" w:rsidP="00717C60">
            <w:pPr>
              <w:spacing w:after="0" w:line="240" w:lineRule="auto"/>
              <w:rPr>
                <w:rFonts w:ascii="Calibri" w:eastAsia="Times New Roman" w:hAnsi="Calibri" w:cs="Calibri"/>
                <w:b/>
                <w:bCs/>
                <w:color w:val="C65911"/>
              </w:rPr>
            </w:pPr>
            <w:r w:rsidRPr="00EB0A07">
              <w:rPr>
                <w:rFonts w:ascii="Calibri" w:eastAsia="Times New Roman" w:hAnsi="Calibri" w:cs="Calibri"/>
                <w:b/>
                <w:bCs/>
                <w:color w:val="C65911"/>
              </w:rPr>
              <w:t>RECTF -- Grouping #21, 22, 23 (Mass Transition/Acquisition)</w:t>
            </w:r>
          </w:p>
          <w:p w:rsidR="00B7268F" w:rsidRDefault="00B7268F" w:rsidP="00717C60">
            <w:pPr>
              <w:spacing w:after="0" w:line="240" w:lineRule="auto"/>
              <w:rPr>
                <w:rFonts w:ascii="Calibri" w:eastAsia="Times New Roman" w:hAnsi="Calibri" w:cs="Calibri"/>
                <w:b/>
                <w:bCs/>
                <w:color w:val="C65911"/>
              </w:rPr>
            </w:pPr>
          </w:p>
          <w:p w:rsidR="00B7268F" w:rsidRPr="00EB0A07" w:rsidRDefault="00B7268F" w:rsidP="00717C60">
            <w:pPr>
              <w:spacing w:after="0" w:line="240" w:lineRule="auto"/>
              <w:rPr>
                <w:rFonts w:ascii="Calibri" w:eastAsia="Times New Roman" w:hAnsi="Calibri" w:cs="Calibri"/>
                <w:b/>
                <w:bCs/>
                <w:color w:val="C65911"/>
              </w:rPr>
            </w:pPr>
            <w:r>
              <w:rPr>
                <w:rFonts w:ascii="Calibri" w:eastAsia="Times New Roman" w:hAnsi="Calibri" w:cs="Calibri"/>
                <w:b/>
                <w:bCs/>
                <w:color w:val="C65911"/>
              </w:rPr>
              <w:t>**will hand over to RMTTF to develop modules</w:t>
            </w:r>
          </w:p>
        </w:tc>
      </w:tr>
      <w:tr w:rsidR="00B7268F" w:rsidRPr="00EB0A07" w:rsidTr="00717C60">
        <w:trPr>
          <w:trHeight w:val="864"/>
        </w:trPr>
        <w:tc>
          <w:tcPr>
            <w:tcW w:w="153"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23</w:t>
            </w:r>
          </w:p>
        </w:tc>
        <w:tc>
          <w:tcPr>
            <w:tcW w:w="177"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RMS</w:t>
            </w:r>
          </w:p>
        </w:tc>
        <w:tc>
          <w:tcPr>
            <w:tcW w:w="1823" w:type="pct"/>
            <w:shd w:val="clear" w:color="auto" w:fill="auto"/>
            <w:hideMark/>
          </w:tcPr>
          <w:p w:rsidR="00B7268F" w:rsidRPr="00EB0A07" w:rsidRDefault="00B7268F" w:rsidP="00717C60">
            <w:pPr>
              <w:spacing w:after="0" w:line="240" w:lineRule="auto"/>
              <w:rPr>
                <w:rFonts w:ascii="Calibri" w:eastAsia="Times New Roman" w:hAnsi="Calibri" w:cs="Calibri"/>
                <w:color w:val="000000"/>
              </w:rPr>
            </w:pPr>
            <w:bookmarkStart w:id="2" w:name="RANGE!F24"/>
            <w:r w:rsidRPr="00EB0A07">
              <w:rPr>
                <w:rFonts w:ascii="Calibri" w:eastAsia="Times New Roman" w:hAnsi="Calibri" w:cs="Calibri"/>
                <w:color w:val="000000"/>
              </w:rPr>
              <w:t>Acquisition transfer process and expectations for customers</w:t>
            </w:r>
            <w:bookmarkEnd w:id="2"/>
          </w:p>
        </w:tc>
        <w:tc>
          <w:tcPr>
            <w:tcW w:w="515"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Long-Term Stakeholder Items</w:t>
            </w:r>
          </w:p>
        </w:tc>
        <w:tc>
          <w:tcPr>
            <w:tcW w:w="446" w:type="pct"/>
            <w:shd w:val="clear" w:color="auto" w:fill="auto"/>
            <w:hideMark/>
          </w:tcPr>
          <w:p w:rsidR="00B7268F" w:rsidRPr="00EB0A07" w:rsidRDefault="00B7268F" w:rsidP="00717C60">
            <w:pPr>
              <w:spacing w:after="0" w:line="240" w:lineRule="auto"/>
              <w:jc w:val="center"/>
              <w:rPr>
                <w:rFonts w:ascii="Calibri" w:eastAsia="Times New Roman" w:hAnsi="Calibri" w:cs="Calibri"/>
                <w:color w:val="000000"/>
              </w:rPr>
            </w:pPr>
            <w:r w:rsidRPr="00EB0A07">
              <w:rPr>
                <w:rFonts w:ascii="Calibri" w:eastAsia="Times New Roman" w:hAnsi="Calibri" w:cs="Calibri"/>
                <w:color w:val="000000"/>
              </w:rPr>
              <w:t>RMS</w:t>
            </w:r>
          </w:p>
        </w:tc>
        <w:tc>
          <w:tcPr>
            <w:tcW w:w="753" w:type="pct"/>
            <w:shd w:val="clear" w:color="auto" w:fill="auto"/>
            <w:hideMark/>
          </w:tcPr>
          <w:p w:rsidR="00B7268F" w:rsidRPr="00EB0A07" w:rsidRDefault="00B7268F" w:rsidP="00717C60">
            <w:pPr>
              <w:spacing w:after="0" w:line="240" w:lineRule="auto"/>
              <w:rPr>
                <w:rFonts w:ascii="Calibri" w:eastAsia="Times New Roman" w:hAnsi="Calibri" w:cs="Calibri"/>
                <w:color w:val="000000"/>
              </w:rPr>
            </w:pPr>
            <w:r w:rsidRPr="00EB0A07">
              <w:rPr>
                <w:rFonts w:ascii="Calibri" w:eastAsia="Times New Roman" w:hAnsi="Calibri" w:cs="Calibri"/>
                <w:color w:val="000000"/>
              </w:rPr>
              <w:t>Project No. 51889, Review of Communications for the Electric Market</w:t>
            </w:r>
          </w:p>
        </w:tc>
        <w:tc>
          <w:tcPr>
            <w:tcW w:w="1131" w:type="pct"/>
            <w:shd w:val="clear" w:color="auto" w:fill="auto"/>
            <w:hideMark/>
          </w:tcPr>
          <w:p w:rsidR="00B7268F" w:rsidRDefault="00B7268F" w:rsidP="00717C60">
            <w:pPr>
              <w:spacing w:after="0" w:line="240" w:lineRule="auto"/>
              <w:rPr>
                <w:rFonts w:ascii="Calibri" w:eastAsia="Times New Roman" w:hAnsi="Calibri" w:cs="Calibri"/>
                <w:b/>
                <w:bCs/>
                <w:color w:val="C65911"/>
              </w:rPr>
            </w:pPr>
            <w:r w:rsidRPr="00EB0A07">
              <w:rPr>
                <w:rFonts w:ascii="Calibri" w:eastAsia="Times New Roman" w:hAnsi="Calibri" w:cs="Calibri"/>
                <w:b/>
                <w:bCs/>
                <w:color w:val="C65911"/>
              </w:rPr>
              <w:t>RECTF -- Grouping #21, 22, 23 (Mass Transition/Acquisition)</w:t>
            </w:r>
          </w:p>
          <w:p w:rsidR="00B7268F" w:rsidRDefault="00B7268F" w:rsidP="00717C60">
            <w:pPr>
              <w:spacing w:after="0" w:line="240" w:lineRule="auto"/>
              <w:rPr>
                <w:rFonts w:ascii="Calibri" w:eastAsia="Times New Roman" w:hAnsi="Calibri" w:cs="Calibri"/>
                <w:b/>
                <w:bCs/>
                <w:color w:val="C65911"/>
              </w:rPr>
            </w:pPr>
          </w:p>
          <w:p w:rsidR="00B7268F" w:rsidRPr="00EB0A07" w:rsidRDefault="00B7268F" w:rsidP="00717C60">
            <w:pPr>
              <w:spacing w:after="0" w:line="240" w:lineRule="auto"/>
              <w:rPr>
                <w:rFonts w:ascii="Calibri" w:eastAsia="Times New Roman" w:hAnsi="Calibri" w:cs="Calibri"/>
                <w:b/>
                <w:bCs/>
                <w:color w:val="C65911"/>
              </w:rPr>
            </w:pPr>
            <w:r>
              <w:rPr>
                <w:rFonts w:ascii="Calibri" w:eastAsia="Times New Roman" w:hAnsi="Calibri" w:cs="Calibri"/>
                <w:b/>
                <w:bCs/>
                <w:color w:val="C65911"/>
              </w:rPr>
              <w:t>**will hand over to RMTTF to develop modules</w:t>
            </w:r>
          </w:p>
        </w:tc>
      </w:tr>
    </w:tbl>
    <w:p w:rsidR="00B7268F" w:rsidRDefault="00B7268F" w:rsidP="00B7268F">
      <w:pPr>
        <w:pStyle w:val="ListParagraph"/>
        <w:ind w:left="1080"/>
      </w:pPr>
    </w:p>
    <w:p w:rsidR="00EE5A2F" w:rsidRPr="00B7268F" w:rsidRDefault="00063135" w:rsidP="00B7268F">
      <w:pPr>
        <w:pStyle w:val="ListParagraph"/>
        <w:numPr>
          <w:ilvl w:val="0"/>
          <w:numId w:val="5"/>
        </w:numPr>
        <w:ind w:left="360"/>
        <w:rPr>
          <w:b/>
          <w:u w:val="single"/>
        </w:rPr>
      </w:pPr>
      <w:r>
        <w:rPr>
          <w:b/>
          <w:u w:val="single"/>
        </w:rPr>
        <w:t xml:space="preserve">Summer/Winter </w:t>
      </w:r>
      <w:r w:rsidR="00EE5A2F" w:rsidRPr="00B7268F">
        <w:rPr>
          <w:b/>
          <w:u w:val="single"/>
        </w:rPr>
        <w:t>Weather Preparedness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970"/>
        <w:gridCol w:w="1700"/>
        <w:gridCol w:w="1290"/>
        <w:gridCol w:w="1646"/>
        <w:gridCol w:w="1723"/>
        <w:gridCol w:w="1139"/>
      </w:tblGrid>
      <w:tr w:rsidR="00EE5A2F" w:rsidRPr="00493005" w:rsidTr="00063135">
        <w:trPr>
          <w:trHeight w:val="576"/>
        </w:trPr>
        <w:tc>
          <w:tcPr>
            <w:tcW w:w="472" w:type="pct"/>
            <w:tcBorders>
              <w:top w:val="single" w:sz="4" w:space="0" w:color="auto"/>
              <w:left w:val="single" w:sz="4" w:space="0" w:color="auto"/>
              <w:bottom w:val="single" w:sz="4" w:space="0" w:color="auto"/>
              <w:right w:val="single" w:sz="4" w:space="0" w:color="auto"/>
            </w:tcBorders>
            <w:shd w:val="clear" w:color="auto" w:fill="auto"/>
          </w:tcPr>
          <w:p w:rsidR="00EE5A2F" w:rsidRPr="00E63DD4" w:rsidRDefault="00EE5A2F" w:rsidP="00717C60">
            <w:r w:rsidRPr="00E63DD4">
              <w:t>16</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EE5A2F" w:rsidRPr="00E63DD4" w:rsidRDefault="00EE5A2F" w:rsidP="00717C60">
            <w:r w:rsidRPr="00E63DD4">
              <w:t>RMS</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EE5A2F" w:rsidRPr="00E63DD4" w:rsidRDefault="00EE5A2F" w:rsidP="00717C60">
            <w:r w:rsidRPr="00E63DD4">
              <w:t>Should ERCOT Summer Preparedness communications begin to include Winter preparedness</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EE5A2F" w:rsidRPr="00E63DD4" w:rsidRDefault="00EE5A2F" w:rsidP="00717C60">
            <w:r w:rsidRPr="00E63DD4">
              <w:t>Near-Term Stakeholder Items</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EE5A2F" w:rsidRPr="00E63DD4" w:rsidRDefault="00EE5A2F" w:rsidP="00717C60">
            <w:r w:rsidRPr="00E63DD4">
              <w:t>ROS/WMS/RMS</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EE5A2F" w:rsidRPr="00E63DD4" w:rsidRDefault="00EE5A2F" w:rsidP="00717C60">
            <w:r w:rsidRPr="00E63DD4">
              <w:t>Project No. 51889, Review of Communications for the Electric Market</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EE5A2F" w:rsidRDefault="00EE5A2F" w:rsidP="00717C60">
            <w:r w:rsidRPr="00E63DD4">
              <w:t>RECTF (RMS)</w:t>
            </w:r>
          </w:p>
        </w:tc>
      </w:tr>
    </w:tbl>
    <w:p w:rsidR="00B7268F" w:rsidRDefault="008C6D78" w:rsidP="00B7268F">
      <w:hyperlink r:id="rId11" w:history="1">
        <w:r w:rsidR="00B7268F" w:rsidRPr="009B39D0">
          <w:rPr>
            <w:rStyle w:val="Hyperlink"/>
          </w:rPr>
          <w:t>http://www.ercot.com/content/wcm/key_documents_lists/175565/Summer_Preparedness_FAQ_TDSPedits_20190314.xlsx</w:t>
        </w:r>
      </w:hyperlink>
      <w:r w:rsidR="00B7268F">
        <w:t xml:space="preserve"> </w:t>
      </w:r>
    </w:p>
    <w:p w:rsidR="00EE5A2F" w:rsidRDefault="008C6D78" w:rsidP="00B7268F">
      <w:hyperlink r:id="rId12" w:history="1">
        <w:r w:rsidR="00B7268F" w:rsidRPr="009B39D0">
          <w:rPr>
            <w:rStyle w:val="Hyperlink"/>
          </w:rPr>
          <w:t>http://www.ercot.com/content/wcm/key_documents_lists/175565/Summer_Preparedness_Questions_from_REPs.docx</w:t>
        </w:r>
      </w:hyperlink>
    </w:p>
    <w:p w:rsidR="00EB0A07" w:rsidRDefault="00EB0A07" w:rsidP="00305900">
      <w:pPr>
        <w:rPr>
          <w:b/>
          <w:u w:val="single"/>
        </w:rPr>
      </w:pPr>
    </w:p>
    <w:p w:rsidR="00EE5A2F" w:rsidRPr="00B7268F" w:rsidRDefault="00EE5A2F" w:rsidP="00B7268F">
      <w:pPr>
        <w:pStyle w:val="ListParagraph"/>
        <w:numPr>
          <w:ilvl w:val="0"/>
          <w:numId w:val="5"/>
        </w:numPr>
        <w:ind w:left="360"/>
        <w:rPr>
          <w:b/>
          <w:u w:val="single"/>
        </w:rPr>
      </w:pPr>
      <w:r w:rsidRPr="00B7268F">
        <w:rPr>
          <w:b/>
          <w:u w:val="single"/>
        </w:rPr>
        <w:t>Awaiting PUCT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25"/>
        <w:gridCol w:w="2308"/>
        <w:gridCol w:w="1306"/>
        <w:gridCol w:w="8"/>
        <w:gridCol w:w="1579"/>
        <w:gridCol w:w="59"/>
        <w:gridCol w:w="1694"/>
        <w:gridCol w:w="29"/>
        <w:gridCol w:w="1302"/>
      </w:tblGrid>
      <w:tr w:rsidR="00A421EE" w:rsidTr="00A421EE">
        <w:trPr>
          <w:trHeight w:val="864"/>
        </w:trPr>
        <w:tc>
          <w:tcPr>
            <w:tcW w:w="153" w:type="pct"/>
            <w:shd w:val="clear" w:color="auto" w:fill="auto"/>
            <w:hideMark/>
          </w:tcPr>
          <w:p w:rsidR="00A421EE" w:rsidRDefault="00A421EE">
            <w:pPr>
              <w:jc w:val="center"/>
              <w:rPr>
                <w:rFonts w:ascii="Calibri" w:hAnsi="Calibri" w:cs="Calibri"/>
                <w:color w:val="000000"/>
              </w:rPr>
            </w:pPr>
            <w:r>
              <w:rPr>
                <w:rFonts w:ascii="Calibri" w:hAnsi="Calibri" w:cs="Calibri"/>
                <w:color w:val="000000"/>
              </w:rPr>
              <w:t>10</w:t>
            </w:r>
          </w:p>
        </w:tc>
        <w:tc>
          <w:tcPr>
            <w:tcW w:w="177" w:type="pct"/>
            <w:shd w:val="clear" w:color="auto" w:fill="auto"/>
            <w:hideMark/>
          </w:tcPr>
          <w:p w:rsidR="00A421EE" w:rsidRDefault="00A421EE">
            <w:pPr>
              <w:jc w:val="center"/>
              <w:rPr>
                <w:rFonts w:ascii="Calibri" w:hAnsi="Calibri" w:cs="Calibri"/>
                <w:color w:val="000000"/>
              </w:rPr>
            </w:pPr>
            <w:r>
              <w:rPr>
                <w:rFonts w:ascii="Calibri" w:hAnsi="Calibri" w:cs="Calibri"/>
                <w:color w:val="000000"/>
              </w:rPr>
              <w:t>RMS</w:t>
            </w:r>
          </w:p>
        </w:tc>
        <w:tc>
          <w:tcPr>
            <w:tcW w:w="1823" w:type="pct"/>
            <w:shd w:val="clear" w:color="auto" w:fill="auto"/>
            <w:hideMark/>
          </w:tcPr>
          <w:p w:rsidR="00A421EE" w:rsidRDefault="00A421EE">
            <w:pPr>
              <w:rPr>
                <w:rFonts w:ascii="Calibri" w:hAnsi="Calibri" w:cs="Calibri"/>
                <w:color w:val="000000"/>
              </w:rPr>
            </w:pPr>
            <w:r>
              <w:rPr>
                <w:rFonts w:ascii="Calibri" w:hAnsi="Calibri" w:cs="Calibri"/>
                <w:color w:val="000000"/>
              </w:rPr>
              <w:t>Review limitations on the ability of a REP/LSE to communicate to customers regardless of communications coming from ERCOT</w:t>
            </w:r>
          </w:p>
        </w:tc>
        <w:tc>
          <w:tcPr>
            <w:tcW w:w="515" w:type="pct"/>
            <w:gridSpan w:val="2"/>
            <w:shd w:val="clear" w:color="auto" w:fill="auto"/>
            <w:hideMark/>
          </w:tcPr>
          <w:p w:rsidR="00A421EE" w:rsidRDefault="00A421EE">
            <w:pPr>
              <w:jc w:val="center"/>
              <w:rPr>
                <w:rFonts w:ascii="Calibri" w:hAnsi="Calibri" w:cs="Calibri"/>
                <w:color w:val="000000"/>
              </w:rPr>
            </w:pPr>
            <w:r>
              <w:rPr>
                <w:rFonts w:ascii="Calibri" w:hAnsi="Calibri" w:cs="Calibri"/>
                <w:color w:val="000000"/>
              </w:rPr>
              <w:t>Awaiting Commission Direction</w:t>
            </w:r>
          </w:p>
        </w:tc>
        <w:tc>
          <w:tcPr>
            <w:tcW w:w="448" w:type="pct"/>
            <w:shd w:val="clear" w:color="auto" w:fill="auto"/>
            <w:hideMark/>
          </w:tcPr>
          <w:p w:rsidR="00A421EE" w:rsidRDefault="00A421EE">
            <w:pPr>
              <w:jc w:val="center"/>
              <w:rPr>
                <w:rFonts w:ascii="Calibri" w:hAnsi="Calibri" w:cs="Calibri"/>
                <w:color w:val="000000"/>
              </w:rPr>
            </w:pPr>
            <w:r>
              <w:rPr>
                <w:rFonts w:ascii="Calibri" w:hAnsi="Calibri" w:cs="Calibri"/>
                <w:color w:val="000000"/>
              </w:rPr>
              <w:t>RMS</w:t>
            </w:r>
          </w:p>
        </w:tc>
        <w:tc>
          <w:tcPr>
            <w:tcW w:w="753" w:type="pct"/>
            <w:gridSpan w:val="2"/>
            <w:shd w:val="clear" w:color="auto" w:fill="auto"/>
            <w:hideMark/>
          </w:tcPr>
          <w:p w:rsidR="00A421EE" w:rsidRDefault="00A421EE">
            <w:pPr>
              <w:rPr>
                <w:rFonts w:ascii="Calibri" w:hAnsi="Calibri" w:cs="Calibri"/>
                <w:color w:val="000000"/>
              </w:rPr>
            </w:pPr>
            <w:r>
              <w:rPr>
                <w:rFonts w:ascii="Calibri" w:hAnsi="Calibri" w:cs="Calibri"/>
                <w:color w:val="000000"/>
              </w:rPr>
              <w:t>Project No. 51889, Review of Communications for the Electric Market</w:t>
            </w:r>
          </w:p>
        </w:tc>
        <w:tc>
          <w:tcPr>
            <w:tcW w:w="1131" w:type="pct"/>
            <w:gridSpan w:val="2"/>
            <w:shd w:val="clear" w:color="auto" w:fill="auto"/>
            <w:hideMark/>
          </w:tcPr>
          <w:p w:rsidR="00A421EE" w:rsidRDefault="00A421EE">
            <w:pPr>
              <w:rPr>
                <w:rFonts w:ascii="Calibri" w:hAnsi="Calibri" w:cs="Calibri"/>
                <w:b/>
                <w:bCs/>
                <w:color w:val="C65911"/>
              </w:rPr>
            </w:pPr>
            <w:r>
              <w:rPr>
                <w:rFonts w:ascii="Calibri" w:hAnsi="Calibri" w:cs="Calibri"/>
                <w:b/>
                <w:bCs/>
                <w:color w:val="C65911"/>
              </w:rPr>
              <w:t>RECTF (RMS)</w:t>
            </w:r>
          </w:p>
        </w:tc>
      </w:tr>
      <w:tr w:rsidR="00A421EE" w:rsidRPr="00EE5A2F" w:rsidTr="00A421EE">
        <w:trPr>
          <w:trHeight w:val="864"/>
        </w:trPr>
        <w:tc>
          <w:tcPr>
            <w:tcW w:w="153" w:type="pct"/>
            <w:shd w:val="clear" w:color="auto" w:fill="auto"/>
            <w:hideMark/>
          </w:tcPr>
          <w:p w:rsidR="00EE5A2F" w:rsidRPr="00EE5A2F" w:rsidRDefault="00EE5A2F" w:rsidP="00EE5A2F">
            <w:pPr>
              <w:spacing w:after="0" w:line="240" w:lineRule="auto"/>
              <w:jc w:val="center"/>
              <w:rPr>
                <w:rFonts w:ascii="Calibri" w:eastAsia="Times New Roman" w:hAnsi="Calibri" w:cs="Calibri"/>
                <w:color w:val="000000"/>
              </w:rPr>
            </w:pPr>
            <w:r w:rsidRPr="00EE5A2F">
              <w:rPr>
                <w:rFonts w:ascii="Calibri" w:eastAsia="Times New Roman" w:hAnsi="Calibri" w:cs="Calibri"/>
                <w:color w:val="000000"/>
              </w:rPr>
              <w:t>11</w:t>
            </w:r>
          </w:p>
        </w:tc>
        <w:tc>
          <w:tcPr>
            <w:tcW w:w="196" w:type="pct"/>
            <w:shd w:val="clear" w:color="auto" w:fill="auto"/>
            <w:hideMark/>
          </w:tcPr>
          <w:p w:rsidR="00EE5A2F" w:rsidRPr="00EE5A2F" w:rsidRDefault="00EE5A2F" w:rsidP="00EE5A2F">
            <w:pPr>
              <w:spacing w:after="0" w:line="240" w:lineRule="auto"/>
              <w:jc w:val="center"/>
              <w:rPr>
                <w:rFonts w:ascii="Calibri" w:eastAsia="Times New Roman" w:hAnsi="Calibri" w:cs="Calibri"/>
                <w:color w:val="000000"/>
              </w:rPr>
            </w:pPr>
            <w:r w:rsidRPr="00EE5A2F">
              <w:rPr>
                <w:rFonts w:ascii="Calibri" w:eastAsia="Times New Roman" w:hAnsi="Calibri" w:cs="Calibri"/>
                <w:color w:val="000000"/>
              </w:rPr>
              <w:t>RMS</w:t>
            </w:r>
          </w:p>
        </w:tc>
        <w:tc>
          <w:tcPr>
            <w:tcW w:w="1804" w:type="pct"/>
            <w:shd w:val="clear" w:color="auto" w:fill="auto"/>
            <w:hideMark/>
          </w:tcPr>
          <w:p w:rsidR="00EE5A2F" w:rsidRPr="00EE5A2F" w:rsidRDefault="00EE5A2F" w:rsidP="00EE5A2F">
            <w:pPr>
              <w:spacing w:after="0" w:line="240" w:lineRule="auto"/>
              <w:rPr>
                <w:rFonts w:ascii="Calibri" w:eastAsia="Times New Roman" w:hAnsi="Calibri" w:cs="Calibri"/>
                <w:color w:val="000000"/>
              </w:rPr>
            </w:pPr>
            <w:r w:rsidRPr="00EE5A2F">
              <w:rPr>
                <w:rFonts w:ascii="Calibri" w:eastAsia="Times New Roman" w:hAnsi="Calibri" w:cs="Calibri"/>
                <w:color w:val="000000"/>
              </w:rPr>
              <w:t xml:space="preserve">Consistency in delivery and content of messaging in communications from the TDUs </w:t>
            </w:r>
          </w:p>
        </w:tc>
        <w:tc>
          <w:tcPr>
            <w:tcW w:w="513" w:type="pct"/>
            <w:shd w:val="clear" w:color="auto" w:fill="auto"/>
            <w:hideMark/>
          </w:tcPr>
          <w:p w:rsidR="00EE5A2F" w:rsidRPr="00EE5A2F" w:rsidRDefault="00EE5A2F" w:rsidP="00EE5A2F">
            <w:pPr>
              <w:spacing w:after="0" w:line="240" w:lineRule="auto"/>
              <w:jc w:val="center"/>
              <w:rPr>
                <w:rFonts w:ascii="Calibri" w:eastAsia="Times New Roman" w:hAnsi="Calibri" w:cs="Calibri"/>
                <w:color w:val="000000"/>
              </w:rPr>
            </w:pPr>
            <w:r w:rsidRPr="00EE5A2F">
              <w:rPr>
                <w:rFonts w:ascii="Calibri" w:eastAsia="Times New Roman" w:hAnsi="Calibri" w:cs="Calibri"/>
                <w:color w:val="000000"/>
              </w:rPr>
              <w:t>Awaiting Commission Direction</w:t>
            </w:r>
          </w:p>
        </w:tc>
        <w:tc>
          <w:tcPr>
            <w:tcW w:w="467" w:type="pct"/>
            <w:gridSpan w:val="3"/>
            <w:shd w:val="clear" w:color="auto" w:fill="auto"/>
            <w:hideMark/>
          </w:tcPr>
          <w:p w:rsidR="00EE5A2F" w:rsidRPr="00EE5A2F" w:rsidRDefault="00EE5A2F" w:rsidP="00EE5A2F">
            <w:pPr>
              <w:spacing w:after="0" w:line="240" w:lineRule="auto"/>
              <w:jc w:val="center"/>
              <w:rPr>
                <w:rFonts w:ascii="Calibri" w:eastAsia="Times New Roman" w:hAnsi="Calibri" w:cs="Calibri"/>
                <w:color w:val="000000"/>
              </w:rPr>
            </w:pPr>
            <w:r w:rsidRPr="00EE5A2F">
              <w:rPr>
                <w:rFonts w:ascii="Calibri" w:eastAsia="Times New Roman" w:hAnsi="Calibri" w:cs="Calibri"/>
                <w:color w:val="000000"/>
              </w:rPr>
              <w:t>ROS/WMS/RMS</w:t>
            </w:r>
          </w:p>
        </w:tc>
        <w:tc>
          <w:tcPr>
            <w:tcW w:w="749" w:type="pct"/>
            <w:gridSpan w:val="2"/>
            <w:shd w:val="clear" w:color="auto" w:fill="auto"/>
            <w:hideMark/>
          </w:tcPr>
          <w:p w:rsidR="00EE5A2F" w:rsidRPr="00EE5A2F" w:rsidRDefault="00EE5A2F" w:rsidP="00EE5A2F">
            <w:pPr>
              <w:spacing w:after="0" w:line="240" w:lineRule="auto"/>
              <w:rPr>
                <w:rFonts w:ascii="Calibri" w:eastAsia="Times New Roman" w:hAnsi="Calibri" w:cs="Calibri"/>
                <w:color w:val="000000"/>
              </w:rPr>
            </w:pPr>
            <w:r w:rsidRPr="00EE5A2F">
              <w:rPr>
                <w:rFonts w:ascii="Calibri" w:eastAsia="Times New Roman" w:hAnsi="Calibri" w:cs="Calibri"/>
                <w:color w:val="000000"/>
              </w:rPr>
              <w:t>Project No. 51889, Review of Communications for the Electric Market</w:t>
            </w:r>
          </w:p>
        </w:tc>
        <w:tc>
          <w:tcPr>
            <w:tcW w:w="1117" w:type="pct"/>
            <w:shd w:val="clear" w:color="auto" w:fill="auto"/>
            <w:hideMark/>
          </w:tcPr>
          <w:p w:rsidR="00EE5A2F" w:rsidRPr="00EE5A2F" w:rsidRDefault="00EE5A2F" w:rsidP="00EE5A2F">
            <w:pPr>
              <w:spacing w:after="0" w:line="240" w:lineRule="auto"/>
              <w:rPr>
                <w:rFonts w:ascii="Calibri" w:eastAsia="Times New Roman" w:hAnsi="Calibri" w:cs="Calibri"/>
                <w:b/>
                <w:bCs/>
                <w:color w:val="C65911"/>
              </w:rPr>
            </w:pPr>
            <w:r w:rsidRPr="00EE5A2F">
              <w:rPr>
                <w:rFonts w:ascii="Calibri" w:eastAsia="Times New Roman" w:hAnsi="Calibri" w:cs="Calibri"/>
                <w:b/>
                <w:bCs/>
                <w:color w:val="C65911"/>
              </w:rPr>
              <w:t>Awaiting PUCT project, assist as needed</w:t>
            </w:r>
          </w:p>
        </w:tc>
      </w:tr>
      <w:tr w:rsidR="00B7268F" w:rsidRPr="00493005" w:rsidTr="00A421EE">
        <w:trPr>
          <w:trHeight w:val="864"/>
        </w:trPr>
        <w:tc>
          <w:tcPr>
            <w:tcW w:w="153" w:type="pct"/>
            <w:shd w:val="clear" w:color="auto" w:fill="auto"/>
            <w:hideMark/>
          </w:tcPr>
          <w:p w:rsidR="00B7268F" w:rsidRPr="00493005" w:rsidRDefault="00B7268F" w:rsidP="00717C60">
            <w:pPr>
              <w:spacing w:after="0" w:line="240" w:lineRule="auto"/>
              <w:jc w:val="center"/>
              <w:rPr>
                <w:rFonts w:ascii="Calibri" w:eastAsia="Times New Roman" w:hAnsi="Calibri" w:cs="Calibri"/>
                <w:color w:val="000000"/>
              </w:rPr>
            </w:pPr>
            <w:r w:rsidRPr="00493005">
              <w:rPr>
                <w:rFonts w:ascii="Calibri" w:eastAsia="Times New Roman" w:hAnsi="Calibri" w:cs="Calibri"/>
                <w:color w:val="000000"/>
              </w:rPr>
              <w:t>12</w:t>
            </w:r>
          </w:p>
        </w:tc>
        <w:tc>
          <w:tcPr>
            <w:tcW w:w="196" w:type="pct"/>
            <w:shd w:val="clear" w:color="auto" w:fill="auto"/>
            <w:hideMark/>
          </w:tcPr>
          <w:p w:rsidR="00B7268F" w:rsidRPr="00493005" w:rsidRDefault="00B7268F" w:rsidP="00717C60">
            <w:pPr>
              <w:spacing w:after="0" w:line="240" w:lineRule="auto"/>
              <w:jc w:val="center"/>
              <w:rPr>
                <w:rFonts w:ascii="Calibri" w:eastAsia="Times New Roman" w:hAnsi="Calibri" w:cs="Calibri"/>
                <w:color w:val="000000"/>
              </w:rPr>
            </w:pPr>
            <w:r w:rsidRPr="00493005">
              <w:rPr>
                <w:rFonts w:ascii="Calibri" w:eastAsia="Times New Roman" w:hAnsi="Calibri" w:cs="Calibri"/>
                <w:color w:val="000000"/>
              </w:rPr>
              <w:t>RMS</w:t>
            </w:r>
          </w:p>
        </w:tc>
        <w:tc>
          <w:tcPr>
            <w:tcW w:w="1804" w:type="pct"/>
            <w:shd w:val="clear" w:color="auto" w:fill="auto"/>
            <w:hideMark/>
          </w:tcPr>
          <w:p w:rsidR="00B7268F" w:rsidRPr="00493005" w:rsidRDefault="00B7268F" w:rsidP="00717C60">
            <w:pPr>
              <w:spacing w:after="0" w:line="240" w:lineRule="auto"/>
              <w:rPr>
                <w:rFonts w:ascii="Calibri" w:eastAsia="Times New Roman" w:hAnsi="Calibri" w:cs="Calibri"/>
                <w:color w:val="000000"/>
              </w:rPr>
            </w:pPr>
            <w:r w:rsidRPr="00493005">
              <w:rPr>
                <w:rFonts w:ascii="Calibri" w:eastAsia="Times New Roman" w:hAnsi="Calibri" w:cs="Calibri"/>
                <w:color w:val="000000"/>
              </w:rPr>
              <w:t xml:space="preserve">Concerns with the high </w:t>
            </w:r>
            <w:r w:rsidRPr="00493005">
              <w:rPr>
                <w:rFonts w:ascii="Calibri" w:eastAsia="Times New Roman" w:hAnsi="Calibri" w:cs="Calibri"/>
                <w:b/>
                <w:i/>
                <w:color w:val="000000"/>
              </w:rPr>
              <w:t>uplift</w:t>
            </w:r>
            <w:r w:rsidRPr="00493005">
              <w:rPr>
                <w:rFonts w:ascii="Calibri" w:eastAsia="Times New Roman" w:hAnsi="Calibri" w:cs="Calibri"/>
                <w:color w:val="000000"/>
              </w:rPr>
              <w:t xml:space="preserve"> and impacts to a residential customer, how to communicate what uplift is, how it works, including refunds to customers</w:t>
            </w:r>
          </w:p>
        </w:tc>
        <w:tc>
          <w:tcPr>
            <w:tcW w:w="513" w:type="pct"/>
            <w:shd w:val="clear" w:color="auto" w:fill="auto"/>
            <w:hideMark/>
          </w:tcPr>
          <w:p w:rsidR="00B7268F" w:rsidRPr="00493005" w:rsidRDefault="00B7268F" w:rsidP="00717C60">
            <w:pPr>
              <w:spacing w:after="0" w:line="240" w:lineRule="auto"/>
              <w:jc w:val="center"/>
              <w:rPr>
                <w:rFonts w:ascii="Calibri" w:eastAsia="Times New Roman" w:hAnsi="Calibri" w:cs="Calibri"/>
                <w:color w:val="000000"/>
              </w:rPr>
            </w:pPr>
            <w:r w:rsidRPr="00493005">
              <w:rPr>
                <w:rFonts w:ascii="Calibri" w:eastAsia="Times New Roman" w:hAnsi="Calibri" w:cs="Calibri"/>
                <w:color w:val="000000"/>
              </w:rPr>
              <w:t>Awaiting Commission Direction</w:t>
            </w:r>
          </w:p>
        </w:tc>
        <w:tc>
          <w:tcPr>
            <w:tcW w:w="467" w:type="pct"/>
            <w:gridSpan w:val="3"/>
            <w:shd w:val="clear" w:color="auto" w:fill="auto"/>
            <w:hideMark/>
          </w:tcPr>
          <w:p w:rsidR="00B7268F" w:rsidRPr="00493005" w:rsidRDefault="00B7268F" w:rsidP="00717C60">
            <w:pPr>
              <w:spacing w:after="0" w:line="240" w:lineRule="auto"/>
              <w:jc w:val="center"/>
              <w:rPr>
                <w:rFonts w:ascii="Calibri" w:eastAsia="Times New Roman" w:hAnsi="Calibri" w:cs="Calibri"/>
                <w:color w:val="000000"/>
              </w:rPr>
            </w:pPr>
            <w:r w:rsidRPr="00493005">
              <w:rPr>
                <w:rFonts w:ascii="Calibri" w:eastAsia="Times New Roman" w:hAnsi="Calibri" w:cs="Calibri"/>
                <w:color w:val="000000"/>
              </w:rPr>
              <w:t>RMS</w:t>
            </w:r>
          </w:p>
        </w:tc>
        <w:tc>
          <w:tcPr>
            <w:tcW w:w="749" w:type="pct"/>
            <w:gridSpan w:val="2"/>
            <w:shd w:val="clear" w:color="auto" w:fill="auto"/>
            <w:hideMark/>
          </w:tcPr>
          <w:p w:rsidR="00B7268F" w:rsidRPr="00493005" w:rsidRDefault="00B7268F" w:rsidP="00717C60">
            <w:pPr>
              <w:spacing w:after="0" w:line="240" w:lineRule="auto"/>
              <w:rPr>
                <w:rFonts w:ascii="Calibri" w:eastAsia="Times New Roman" w:hAnsi="Calibri" w:cs="Calibri"/>
                <w:color w:val="000000"/>
              </w:rPr>
            </w:pPr>
            <w:r w:rsidRPr="00493005">
              <w:rPr>
                <w:rFonts w:ascii="Calibri" w:eastAsia="Times New Roman" w:hAnsi="Calibri" w:cs="Calibri"/>
                <w:color w:val="000000"/>
              </w:rPr>
              <w:t>Project No. 51889, Review of Communications for the Electric Market</w:t>
            </w:r>
          </w:p>
        </w:tc>
        <w:tc>
          <w:tcPr>
            <w:tcW w:w="1117" w:type="pct"/>
            <w:shd w:val="clear" w:color="auto" w:fill="auto"/>
            <w:hideMark/>
          </w:tcPr>
          <w:p w:rsidR="00B7268F" w:rsidRPr="00493005" w:rsidRDefault="00B7268F" w:rsidP="00717C60">
            <w:pPr>
              <w:spacing w:after="0" w:line="240" w:lineRule="auto"/>
              <w:rPr>
                <w:rFonts w:ascii="Calibri" w:eastAsia="Times New Roman" w:hAnsi="Calibri" w:cs="Calibri"/>
                <w:b/>
                <w:bCs/>
                <w:color w:val="C65911"/>
              </w:rPr>
            </w:pPr>
            <w:r w:rsidRPr="00493005">
              <w:rPr>
                <w:rFonts w:ascii="Calibri" w:eastAsia="Times New Roman" w:hAnsi="Calibri" w:cs="Calibri"/>
                <w:b/>
                <w:bCs/>
                <w:color w:val="C65911"/>
              </w:rPr>
              <w:t xml:space="preserve">RECTF to </w:t>
            </w:r>
            <w:r>
              <w:rPr>
                <w:rFonts w:ascii="Calibri" w:eastAsia="Times New Roman" w:hAnsi="Calibri" w:cs="Calibri"/>
                <w:b/>
                <w:bCs/>
                <w:color w:val="C65911"/>
              </w:rPr>
              <w:t xml:space="preserve">develop market materials to </w:t>
            </w:r>
            <w:r w:rsidRPr="00493005">
              <w:rPr>
                <w:rFonts w:ascii="Calibri" w:eastAsia="Times New Roman" w:hAnsi="Calibri" w:cs="Calibri"/>
                <w:b/>
                <w:bCs/>
                <w:color w:val="C65911"/>
              </w:rPr>
              <w:t xml:space="preserve">simplify uplift explanation </w:t>
            </w:r>
            <w:r>
              <w:rPr>
                <w:rFonts w:ascii="Calibri" w:eastAsia="Times New Roman" w:hAnsi="Calibri" w:cs="Calibri"/>
                <w:b/>
                <w:bCs/>
                <w:color w:val="C65911"/>
              </w:rPr>
              <w:t>to end-use</w:t>
            </w:r>
            <w:r w:rsidRPr="00493005">
              <w:rPr>
                <w:rFonts w:ascii="Calibri" w:eastAsia="Times New Roman" w:hAnsi="Calibri" w:cs="Calibri"/>
                <w:b/>
                <w:bCs/>
                <w:color w:val="C65911"/>
              </w:rPr>
              <w:t xml:space="preserve"> customers</w:t>
            </w:r>
          </w:p>
        </w:tc>
      </w:tr>
    </w:tbl>
    <w:tbl>
      <w:tblPr>
        <w:tblStyle w:val="TableGrid"/>
        <w:tblW w:w="5000" w:type="pct"/>
        <w:tblLook w:val="04A0" w:firstRow="1" w:lastRow="0" w:firstColumn="1" w:lastColumn="0" w:noHBand="0" w:noVBand="1"/>
      </w:tblPr>
      <w:tblGrid>
        <w:gridCol w:w="440"/>
        <w:gridCol w:w="584"/>
        <w:gridCol w:w="2230"/>
        <w:gridCol w:w="1290"/>
        <w:gridCol w:w="1646"/>
        <w:gridCol w:w="1723"/>
        <w:gridCol w:w="1437"/>
      </w:tblGrid>
      <w:tr w:rsidR="00A421EE" w:rsidRPr="00A421EE" w:rsidTr="00B125E0">
        <w:trPr>
          <w:trHeight w:val="864"/>
        </w:trPr>
        <w:tc>
          <w:tcPr>
            <w:tcW w:w="236" w:type="pct"/>
            <w:hideMark/>
          </w:tcPr>
          <w:p w:rsidR="00A421EE" w:rsidRPr="00A421EE" w:rsidRDefault="00A421EE" w:rsidP="00A421EE">
            <w:pPr>
              <w:jc w:val="center"/>
              <w:rPr>
                <w:rFonts w:ascii="Calibri" w:eastAsia="Times New Roman" w:hAnsi="Calibri" w:cs="Calibri"/>
                <w:color w:val="000000"/>
              </w:rPr>
            </w:pPr>
            <w:r w:rsidRPr="00A421EE">
              <w:rPr>
                <w:rFonts w:ascii="Calibri" w:eastAsia="Times New Roman" w:hAnsi="Calibri" w:cs="Calibri"/>
                <w:color w:val="000000"/>
              </w:rPr>
              <w:t>32</w:t>
            </w:r>
          </w:p>
        </w:tc>
        <w:tc>
          <w:tcPr>
            <w:tcW w:w="337" w:type="pct"/>
            <w:hideMark/>
          </w:tcPr>
          <w:p w:rsidR="00A421EE" w:rsidRPr="00A421EE" w:rsidRDefault="00A421EE" w:rsidP="00A421EE">
            <w:pPr>
              <w:jc w:val="center"/>
              <w:rPr>
                <w:rFonts w:ascii="Calibri" w:eastAsia="Times New Roman" w:hAnsi="Calibri" w:cs="Calibri"/>
                <w:color w:val="000000"/>
              </w:rPr>
            </w:pPr>
            <w:r w:rsidRPr="00A421EE">
              <w:rPr>
                <w:rFonts w:ascii="Calibri" w:eastAsia="Times New Roman" w:hAnsi="Calibri" w:cs="Calibri"/>
                <w:color w:val="000000"/>
              </w:rPr>
              <w:t>ROS</w:t>
            </w:r>
          </w:p>
        </w:tc>
        <w:tc>
          <w:tcPr>
            <w:tcW w:w="1205" w:type="pct"/>
            <w:hideMark/>
          </w:tcPr>
          <w:p w:rsidR="00A421EE" w:rsidRPr="00A421EE" w:rsidRDefault="00A421EE" w:rsidP="00A421EE">
            <w:pPr>
              <w:rPr>
                <w:rFonts w:ascii="Calibri" w:eastAsia="Times New Roman" w:hAnsi="Calibri" w:cs="Calibri"/>
                <w:color w:val="000000"/>
              </w:rPr>
            </w:pPr>
            <w:r w:rsidRPr="00A421EE">
              <w:rPr>
                <w:rFonts w:ascii="Calibri" w:eastAsia="Times New Roman" w:hAnsi="Calibri" w:cs="Calibri"/>
                <w:color w:val="000000"/>
              </w:rPr>
              <w:t xml:space="preserve">ERCOT Communications: Review ERCOT communications to the public and market participants before, during, and after the event and identify potential process improvements and recommendations for ERCOT and market participant communications plans for future ERCOT emergency events, </w:t>
            </w:r>
            <w:r w:rsidRPr="00A421EE">
              <w:rPr>
                <w:rFonts w:ascii="Calibri" w:eastAsia="Times New Roman" w:hAnsi="Calibri" w:cs="Calibri"/>
                <w:color w:val="000000"/>
              </w:rPr>
              <w:lastRenderedPageBreak/>
              <w:t>including extreme load shed scenarios.</w:t>
            </w:r>
          </w:p>
        </w:tc>
        <w:tc>
          <w:tcPr>
            <w:tcW w:w="640" w:type="pct"/>
            <w:hideMark/>
          </w:tcPr>
          <w:p w:rsidR="00A421EE" w:rsidRPr="00A421EE" w:rsidRDefault="00A421EE" w:rsidP="00A421EE">
            <w:pPr>
              <w:jc w:val="center"/>
              <w:rPr>
                <w:rFonts w:ascii="Calibri" w:eastAsia="Times New Roman" w:hAnsi="Calibri" w:cs="Calibri"/>
                <w:color w:val="000000"/>
              </w:rPr>
            </w:pPr>
            <w:r w:rsidRPr="00A421EE">
              <w:rPr>
                <w:rFonts w:ascii="Calibri" w:eastAsia="Times New Roman" w:hAnsi="Calibri" w:cs="Calibri"/>
                <w:color w:val="000000"/>
              </w:rPr>
              <w:lastRenderedPageBreak/>
              <w:t>Near-Term Stakeholder Items</w:t>
            </w:r>
          </w:p>
        </w:tc>
        <w:tc>
          <w:tcPr>
            <w:tcW w:w="880" w:type="pct"/>
            <w:hideMark/>
          </w:tcPr>
          <w:p w:rsidR="00A421EE" w:rsidRPr="00A421EE" w:rsidRDefault="00A421EE" w:rsidP="00A421EE">
            <w:pPr>
              <w:jc w:val="center"/>
              <w:rPr>
                <w:rFonts w:ascii="Calibri" w:eastAsia="Times New Roman" w:hAnsi="Calibri" w:cs="Calibri"/>
                <w:color w:val="000000"/>
              </w:rPr>
            </w:pPr>
            <w:r w:rsidRPr="00A421EE">
              <w:rPr>
                <w:rFonts w:ascii="Calibri" w:eastAsia="Times New Roman" w:hAnsi="Calibri" w:cs="Calibri"/>
                <w:color w:val="000000"/>
              </w:rPr>
              <w:t>ROS/WMS/RMS</w:t>
            </w:r>
          </w:p>
        </w:tc>
        <w:tc>
          <w:tcPr>
            <w:tcW w:w="921" w:type="pct"/>
            <w:hideMark/>
          </w:tcPr>
          <w:p w:rsidR="00A421EE" w:rsidRPr="00A421EE" w:rsidRDefault="00A421EE" w:rsidP="00A421EE">
            <w:pPr>
              <w:rPr>
                <w:rFonts w:ascii="Calibri" w:eastAsia="Times New Roman" w:hAnsi="Calibri" w:cs="Calibri"/>
                <w:color w:val="000000"/>
              </w:rPr>
            </w:pPr>
            <w:r w:rsidRPr="00A421EE">
              <w:rPr>
                <w:rFonts w:ascii="Calibri" w:eastAsia="Times New Roman" w:hAnsi="Calibri" w:cs="Calibri"/>
                <w:color w:val="000000"/>
              </w:rPr>
              <w:t>Project No . 51888, Review of Critical Load Standards and Processes</w:t>
            </w:r>
            <w:r w:rsidRPr="00A421EE">
              <w:rPr>
                <w:rFonts w:ascii="Calibri" w:eastAsia="Times New Roman" w:hAnsi="Calibri" w:cs="Calibri"/>
                <w:color w:val="000000"/>
              </w:rPr>
              <w:br/>
            </w:r>
            <w:r w:rsidRPr="00A421EE">
              <w:rPr>
                <w:rFonts w:ascii="Calibri" w:eastAsia="Times New Roman" w:hAnsi="Calibri" w:cs="Calibri"/>
                <w:color w:val="000000"/>
              </w:rPr>
              <w:br/>
              <w:t>Project No. 51889, Review of Communications for the Electric Market</w:t>
            </w:r>
          </w:p>
        </w:tc>
        <w:tc>
          <w:tcPr>
            <w:tcW w:w="781" w:type="pct"/>
            <w:hideMark/>
          </w:tcPr>
          <w:p w:rsidR="00A421EE" w:rsidRPr="00A421EE" w:rsidRDefault="00A421EE" w:rsidP="00A421EE">
            <w:pPr>
              <w:rPr>
                <w:rFonts w:ascii="Calibri" w:eastAsia="Times New Roman" w:hAnsi="Calibri" w:cs="Calibri"/>
                <w:b/>
                <w:bCs/>
                <w:color w:val="C65911"/>
              </w:rPr>
            </w:pPr>
            <w:r w:rsidRPr="00A421EE">
              <w:rPr>
                <w:rFonts w:ascii="Calibri" w:eastAsia="Times New Roman" w:hAnsi="Calibri" w:cs="Calibri"/>
                <w:b/>
                <w:bCs/>
                <w:color w:val="C65911"/>
              </w:rPr>
              <w:t>Awaiting PUCT project, assist as needed</w:t>
            </w:r>
          </w:p>
        </w:tc>
      </w:tr>
    </w:tbl>
    <w:p w:rsidR="00EE5A2F" w:rsidRDefault="00EE5A2F" w:rsidP="00A421EE"/>
    <w:p w:rsidR="00063135" w:rsidRDefault="00063135" w:rsidP="00063135">
      <w:pPr>
        <w:pStyle w:val="ListParagraph"/>
        <w:numPr>
          <w:ilvl w:val="0"/>
          <w:numId w:val="4"/>
        </w:numPr>
      </w:pPr>
      <w:r>
        <w:t>Identify and prioritize issues list</w:t>
      </w:r>
    </w:p>
    <w:p w:rsidR="00063135" w:rsidRDefault="00063135" w:rsidP="00063135">
      <w:pPr>
        <w:pStyle w:val="ListParagraph"/>
        <w:numPr>
          <w:ilvl w:val="1"/>
          <w:numId w:val="4"/>
        </w:numPr>
      </w:pPr>
      <w:r>
        <w:t>Easy/Medium/Hard</w:t>
      </w:r>
    </w:p>
    <w:p w:rsidR="00063135" w:rsidRDefault="00063135" w:rsidP="00063135">
      <w:pPr>
        <w:pStyle w:val="ListParagraph"/>
        <w:numPr>
          <w:ilvl w:val="1"/>
          <w:numId w:val="4"/>
        </w:numPr>
      </w:pPr>
      <w:r>
        <w:t>Near-Term/Mid-Term/Long-Term</w:t>
      </w:r>
    </w:p>
    <w:p w:rsidR="00063135" w:rsidRDefault="00063135" w:rsidP="00063135">
      <w:pPr>
        <w:pStyle w:val="ListParagraph"/>
        <w:numPr>
          <w:ilvl w:val="1"/>
          <w:numId w:val="4"/>
        </w:numPr>
      </w:pPr>
      <w:r>
        <w:t>Collaboration w/ other WGs &amp; TFs</w:t>
      </w:r>
    </w:p>
    <w:p w:rsidR="00063135" w:rsidRDefault="00063135" w:rsidP="00063135">
      <w:pPr>
        <w:pStyle w:val="ListParagraph"/>
        <w:numPr>
          <w:ilvl w:val="0"/>
          <w:numId w:val="4"/>
        </w:numPr>
      </w:pPr>
      <w:r>
        <w:t>Next Steps/Action Items</w:t>
      </w:r>
    </w:p>
    <w:p w:rsidR="00063135" w:rsidRDefault="00063135" w:rsidP="00063135">
      <w:pPr>
        <w:pStyle w:val="ListParagraph"/>
        <w:numPr>
          <w:ilvl w:val="0"/>
          <w:numId w:val="4"/>
        </w:numPr>
      </w:pPr>
      <w:r>
        <w:t>Strawman 6/29/21 Meeting Agenda</w:t>
      </w:r>
    </w:p>
    <w:p w:rsidR="00063135" w:rsidRDefault="00063135" w:rsidP="00063135">
      <w:pPr>
        <w:pStyle w:val="ListParagraph"/>
        <w:numPr>
          <w:ilvl w:val="0"/>
          <w:numId w:val="4"/>
        </w:numPr>
      </w:pPr>
      <w:r>
        <w:t>Other Business</w:t>
      </w:r>
    </w:p>
    <w:p w:rsidR="00063135" w:rsidRPr="00EE5A2F" w:rsidRDefault="00063135" w:rsidP="00063135">
      <w:pPr>
        <w:pStyle w:val="ListParagraph"/>
        <w:numPr>
          <w:ilvl w:val="0"/>
          <w:numId w:val="4"/>
        </w:numPr>
      </w:pPr>
      <w:r>
        <w:t>A</w:t>
      </w:r>
      <w:r w:rsidR="00FE0D4A">
        <w:t>djourn</w:t>
      </w:r>
    </w:p>
    <w:sectPr w:rsidR="00063135" w:rsidRPr="00EE5A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D78" w:rsidRDefault="008C6D78" w:rsidP="00305900">
      <w:pPr>
        <w:spacing w:after="0" w:line="240" w:lineRule="auto"/>
      </w:pPr>
      <w:r>
        <w:separator/>
      </w:r>
    </w:p>
  </w:endnote>
  <w:endnote w:type="continuationSeparator" w:id="0">
    <w:p w:rsidR="008C6D78" w:rsidRDefault="008C6D78" w:rsidP="0030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D78" w:rsidRDefault="008C6D78" w:rsidP="00305900">
      <w:pPr>
        <w:spacing w:after="0" w:line="240" w:lineRule="auto"/>
      </w:pPr>
      <w:r>
        <w:separator/>
      </w:r>
    </w:p>
  </w:footnote>
  <w:footnote w:type="continuationSeparator" w:id="0">
    <w:p w:rsidR="008C6D78" w:rsidRDefault="008C6D78" w:rsidP="00305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D08A1"/>
    <w:multiLevelType w:val="hybridMultilevel"/>
    <w:tmpl w:val="E22EB03A"/>
    <w:lvl w:ilvl="0" w:tplc="B62687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791CC5"/>
    <w:multiLevelType w:val="hybridMultilevel"/>
    <w:tmpl w:val="3D962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046AC"/>
    <w:multiLevelType w:val="hybridMultilevel"/>
    <w:tmpl w:val="8408C8A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74FA6"/>
    <w:multiLevelType w:val="hybridMultilevel"/>
    <w:tmpl w:val="02EC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81249"/>
    <w:multiLevelType w:val="hybridMultilevel"/>
    <w:tmpl w:val="B67662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00"/>
    <w:rsid w:val="0005730D"/>
    <w:rsid w:val="00063135"/>
    <w:rsid w:val="001840F5"/>
    <w:rsid w:val="00305900"/>
    <w:rsid w:val="00493005"/>
    <w:rsid w:val="004F70EB"/>
    <w:rsid w:val="006111A9"/>
    <w:rsid w:val="00695FDA"/>
    <w:rsid w:val="008B3B93"/>
    <w:rsid w:val="008C6D78"/>
    <w:rsid w:val="009E1D88"/>
    <w:rsid w:val="00A421EE"/>
    <w:rsid w:val="00B125E0"/>
    <w:rsid w:val="00B7268F"/>
    <w:rsid w:val="00E51957"/>
    <w:rsid w:val="00EB0A07"/>
    <w:rsid w:val="00EE5A2F"/>
    <w:rsid w:val="00FE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31D56F-A19B-4D2D-8452-353F6A82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900"/>
  </w:style>
  <w:style w:type="paragraph" w:styleId="Footer">
    <w:name w:val="footer"/>
    <w:basedOn w:val="Normal"/>
    <w:link w:val="FooterChar"/>
    <w:uiPriority w:val="99"/>
    <w:unhideWhenUsed/>
    <w:rsid w:val="00305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900"/>
  </w:style>
  <w:style w:type="paragraph" w:styleId="ListParagraph">
    <w:name w:val="List Paragraph"/>
    <w:basedOn w:val="Normal"/>
    <w:uiPriority w:val="34"/>
    <w:qFormat/>
    <w:rsid w:val="00305900"/>
    <w:pPr>
      <w:ind w:left="720"/>
      <w:contextualSpacing/>
    </w:pPr>
  </w:style>
  <w:style w:type="character" w:styleId="Hyperlink">
    <w:name w:val="Hyperlink"/>
    <w:basedOn w:val="DefaultParagraphFont"/>
    <w:uiPriority w:val="99"/>
    <w:unhideWhenUsed/>
    <w:rsid w:val="00EB0A07"/>
    <w:rPr>
      <w:color w:val="0563C1" w:themeColor="hyperlink"/>
      <w:u w:val="single"/>
    </w:rPr>
  </w:style>
  <w:style w:type="table" w:styleId="TableGrid">
    <w:name w:val="Table Grid"/>
    <w:basedOn w:val="TableNormal"/>
    <w:uiPriority w:val="39"/>
    <w:rsid w:val="00A4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78263">
      <w:bodyDiv w:val="1"/>
      <w:marLeft w:val="0"/>
      <w:marRight w:val="0"/>
      <w:marTop w:val="0"/>
      <w:marBottom w:val="0"/>
      <w:divBdr>
        <w:top w:val="none" w:sz="0" w:space="0" w:color="auto"/>
        <w:left w:val="none" w:sz="0" w:space="0" w:color="auto"/>
        <w:bottom w:val="none" w:sz="0" w:space="0" w:color="auto"/>
        <w:right w:val="none" w:sz="0" w:space="0" w:color="auto"/>
      </w:divBdr>
    </w:div>
    <w:div w:id="584606281">
      <w:bodyDiv w:val="1"/>
      <w:marLeft w:val="0"/>
      <w:marRight w:val="0"/>
      <w:marTop w:val="0"/>
      <w:marBottom w:val="0"/>
      <w:divBdr>
        <w:top w:val="none" w:sz="0" w:space="0" w:color="auto"/>
        <w:left w:val="none" w:sz="0" w:space="0" w:color="auto"/>
        <w:bottom w:val="none" w:sz="0" w:space="0" w:color="auto"/>
        <w:right w:val="none" w:sz="0" w:space="0" w:color="auto"/>
      </w:divBdr>
    </w:div>
    <w:div w:id="646129412">
      <w:bodyDiv w:val="1"/>
      <w:marLeft w:val="0"/>
      <w:marRight w:val="0"/>
      <w:marTop w:val="0"/>
      <w:marBottom w:val="0"/>
      <w:divBdr>
        <w:top w:val="none" w:sz="0" w:space="0" w:color="auto"/>
        <w:left w:val="none" w:sz="0" w:space="0" w:color="auto"/>
        <w:bottom w:val="none" w:sz="0" w:space="0" w:color="auto"/>
        <w:right w:val="none" w:sz="0" w:space="0" w:color="auto"/>
      </w:divBdr>
    </w:div>
    <w:div w:id="699356743">
      <w:bodyDiv w:val="1"/>
      <w:marLeft w:val="0"/>
      <w:marRight w:val="0"/>
      <w:marTop w:val="0"/>
      <w:marBottom w:val="0"/>
      <w:divBdr>
        <w:top w:val="none" w:sz="0" w:space="0" w:color="auto"/>
        <w:left w:val="none" w:sz="0" w:space="0" w:color="auto"/>
        <w:bottom w:val="none" w:sz="0" w:space="0" w:color="auto"/>
        <w:right w:val="none" w:sz="0" w:space="0" w:color="auto"/>
      </w:divBdr>
    </w:div>
    <w:div w:id="1027605392">
      <w:bodyDiv w:val="1"/>
      <w:marLeft w:val="0"/>
      <w:marRight w:val="0"/>
      <w:marTop w:val="0"/>
      <w:marBottom w:val="0"/>
      <w:divBdr>
        <w:top w:val="none" w:sz="0" w:space="0" w:color="auto"/>
        <w:left w:val="none" w:sz="0" w:space="0" w:color="auto"/>
        <w:bottom w:val="none" w:sz="0" w:space="0" w:color="auto"/>
        <w:right w:val="none" w:sz="0" w:space="0" w:color="auto"/>
      </w:divBdr>
    </w:div>
    <w:div w:id="1047071474">
      <w:bodyDiv w:val="1"/>
      <w:marLeft w:val="0"/>
      <w:marRight w:val="0"/>
      <w:marTop w:val="0"/>
      <w:marBottom w:val="0"/>
      <w:divBdr>
        <w:top w:val="none" w:sz="0" w:space="0" w:color="auto"/>
        <w:left w:val="none" w:sz="0" w:space="0" w:color="auto"/>
        <w:bottom w:val="none" w:sz="0" w:space="0" w:color="auto"/>
        <w:right w:val="none" w:sz="0" w:space="0" w:color="auto"/>
      </w:divBdr>
    </w:div>
    <w:div w:id="1059129829">
      <w:bodyDiv w:val="1"/>
      <w:marLeft w:val="0"/>
      <w:marRight w:val="0"/>
      <w:marTop w:val="0"/>
      <w:marBottom w:val="0"/>
      <w:divBdr>
        <w:top w:val="none" w:sz="0" w:space="0" w:color="auto"/>
        <w:left w:val="none" w:sz="0" w:space="0" w:color="auto"/>
        <w:bottom w:val="none" w:sz="0" w:space="0" w:color="auto"/>
        <w:right w:val="none" w:sz="0" w:space="0" w:color="auto"/>
      </w:divBdr>
    </w:div>
    <w:div w:id="1064908056">
      <w:bodyDiv w:val="1"/>
      <w:marLeft w:val="0"/>
      <w:marRight w:val="0"/>
      <w:marTop w:val="0"/>
      <w:marBottom w:val="0"/>
      <w:divBdr>
        <w:top w:val="none" w:sz="0" w:space="0" w:color="auto"/>
        <w:left w:val="none" w:sz="0" w:space="0" w:color="auto"/>
        <w:bottom w:val="none" w:sz="0" w:space="0" w:color="auto"/>
        <w:right w:val="none" w:sz="0" w:space="0" w:color="auto"/>
      </w:divBdr>
    </w:div>
    <w:div w:id="1220287192">
      <w:bodyDiv w:val="1"/>
      <w:marLeft w:val="0"/>
      <w:marRight w:val="0"/>
      <w:marTop w:val="0"/>
      <w:marBottom w:val="0"/>
      <w:divBdr>
        <w:top w:val="none" w:sz="0" w:space="0" w:color="auto"/>
        <w:left w:val="none" w:sz="0" w:space="0" w:color="auto"/>
        <w:bottom w:val="none" w:sz="0" w:space="0" w:color="auto"/>
        <w:right w:val="none" w:sz="0" w:space="0" w:color="auto"/>
      </w:divBdr>
    </w:div>
    <w:div w:id="1364285499">
      <w:bodyDiv w:val="1"/>
      <w:marLeft w:val="0"/>
      <w:marRight w:val="0"/>
      <w:marTop w:val="0"/>
      <w:marBottom w:val="0"/>
      <w:divBdr>
        <w:top w:val="none" w:sz="0" w:space="0" w:color="auto"/>
        <w:left w:val="none" w:sz="0" w:space="0" w:color="auto"/>
        <w:bottom w:val="none" w:sz="0" w:space="0" w:color="auto"/>
        <w:right w:val="none" w:sz="0" w:space="0" w:color="auto"/>
      </w:divBdr>
    </w:div>
    <w:div w:id="1373459998">
      <w:bodyDiv w:val="1"/>
      <w:marLeft w:val="0"/>
      <w:marRight w:val="0"/>
      <w:marTop w:val="0"/>
      <w:marBottom w:val="0"/>
      <w:divBdr>
        <w:top w:val="none" w:sz="0" w:space="0" w:color="auto"/>
        <w:left w:val="none" w:sz="0" w:space="0" w:color="auto"/>
        <w:bottom w:val="none" w:sz="0" w:space="0" w:color="auto"/>
        <w:right w:val="none" w:sz="0" w:space="0" w:color="auto"/>
      </w:divBdr>
    </w:div>
    <w:div w:id="1644240241">
      <w:bodyDiv w:val="1"/>
      <w:marLeft w:val="0"/>
      <w:marRight w:val="0"/>
      <w:marTop w:val="0"/>
      <w:marBottom w:val="0"/>
      <w:divBdr>
        <w:top w:val="none" w:sz="0" w:space="0" w:color="auto"/>
        <w:left w:val="none" w:sz="0" w:space="0" w:color="auto"/>
        <w:bottom w:val="none" w:sz="0" w:space="0" w:color="auto"/>
        <w:right w:val="none" w:sz="0" w:space="0" w:color="auto"/>
      </w:divBdr>
    </w:div>
    <w:div w:id="18477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rcot.com/content/wcm/key_documents_lists/175565/Summer_Preparedness_Questions_from_REP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content/wcm/key_documents_lists/175565/Summer_Preparedness_FAQ_TDSPedits_20190314.xlsx" TargetMode="External"/><Relationship Id="rId5" Type="http://schemas.openxmlformats.org/officeDocument/2006/relationships/settings" Target="settings.xml"/><Relationship Id="rId10" Type="http://schemas.openxmlformats.org/officeDocument/2006/relationships/hyperlink" Target="http://www.ercot.com/content/committees/board/tac/rms/txset/keydocs/2013/07c.(3)_20130509_TDSP_AMS_Data_Practices_Matrix_FINAL.doc" TargetMode="External"/><Relationship Id="rId4" Type="http://schemas.openxmlformats.org/officeDocument/2006/relationships/styles" Target="styles.xml"/><Relationship Id="rId9" Type="http://schemas.openxmlformats.org/officeDocument/2006/relationships/hyperlink" Target="http://www.ercot.com/content/committees/board/tac/rms/txset/keydocs/2013/07c.(2)_20130509_TDSP_AMS_Data_Practices_Summary_FINAL.p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defaultValue">
  <element uid="936e22d5-45a7-4cb7-95ab-1aa8c7c8878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64C6C-47A6-43B6-9F4B-79E09CBAFF1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6147012-89E1-420E-ABBB-AD7ED119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s262089</dc:creator>
  <cp:keywords/>
  <dc:description/>
  <cp:lastModifiedBy>Wiegand, Sheri</cp:lastModifiedBy>
  <cp:revision>2</cp:revision>
  <dcterms:created xsi:type="dcterms:W3CDTF">2021-05-10T16:40:00Z</dcterms:created>
  <dcterms:modified xsi:type="dcterms:W3CDTF">2021-05-10T16:40:00Z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80322f7e-90e1-4e8b-9476-48482f3a8367</vt:lpwstr>
  </property>
  <property fmtid="{D5CDD505-2E9C-101B-9397-08002B2CF9AE}" pid="3" name="bjDocumentLabelXML">
    <vt:lpwstr>&lt;?xml version="1.0" encoding="us-ascii"?&gt;&lt;sisl xmlns:xsi="http://www.w3.org/2001/XMLSchema-instance" xmlns:xsd="http://www.w3.org/2001/XMLSchema" sislVersion="0" policy="e9c0b8d7-bdb4-4fd3-b62a-f50327aaefce" origin="defaultValue"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hVeZjyyepu7wfUb3kwBo4T82bAn9HrXq</vt:lpwstr>
  </property>
</Properties>
</file>