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7107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6A4987" w:rsidRPr="006A4987">
                <w:rPr>
                  <w:rStyle w:val="Hyperlink"/>
                </w:rPr>
                <w:t>1074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6A498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“mp” Definition Revision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64F2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27,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2C38FE">
              <w:rPr>
                <w:rFonts w:cs="Arial"/>
              </w:rPr>
              <w:t>ERCOT Board approval</w:t>
            </w:r>
            <w:r w:rsidR="00424401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1074NPRR-06 Impact Analysis 042721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BC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C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A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C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8D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7D3"/>
    <w:multiLevelType w:val="multilevel"/>
    <w:tmpl w:val="97484CF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76F05D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E6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6E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CE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D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ED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4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8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4987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078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64F25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7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c34af464-7aa1-4edd-9be4-83dffc1cb926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9429B-8377-4533-B692-E284D481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2007-01-12T13:31:00Z</cp:lastPrinted>
  <dcterms:created xsi:type="dcterms:W3CDTF">2021-04-27T16:45:00Z</dcterms:created>
  <dcterms:modified xsi:type="dcterms:W3CDTF">2021-04-27T16:45:00Z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