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179AE" w14:textId="77777777" w:rsidR="00C625C6" w:rsidRPr="002103BD" w:rsidRDefault="00C241D5" w:rsidP="0042616E">
      <w:pPr>
        <w:pStyle w:val="Heading1"/>
        <w:jc w:val="both"/>
        <w:rPr>
          <w:b/>
        </w:rPr>
      </w:pPr>
      <w:r w:rsidRPr="002103BD">
        <w:rPr>
          <w:b/>
        </w:rPr>
        <w:t>Policy Questions</w:t>
      </w:r>
      <w:r w:rsidR="0008292C" w:rsidRPr="002103BD">
        <w:rPr>
          <w:b/>
        </w:rPr>
        <w:t xml:space="preserve"> for Behind-The-Meter (BTM) Resource</w:t>
      </w:r>
      <w:r w:rsidR="001F1A9A">
        <w:rPr>
          <w:b/>
        </w:rPr>
        <w:t xml:space="preserve"> (04-12-2021)</w:t>
      </w:r>
    </w:p>
    <w:p w14:paraId="2695C74D" w14:textId="77777777" w:rsidR="0008292C" w:rsidRPr="0008292C" w:rsidRDefault="0008292C" w:rsidP="0042616E">
      <w:pPr>
        <w:jc w:val="both"/>
      </w:pPr>
    </w:p>
    <w:p w14:paraId="5B0BAC90" w14:textId="77777777" w:rsidR="00353256" w:rsidRDefault="00980F8D" w:rsidP="0042616E">
      <w:pPr>
        <w:jc w:val="both"/>
        <w:rPr>
          <w:sz w:val="24"/>
        </w:rPr>
      </w:pPr>
      <w:r>
        <w:rPr>
          <w:sz w:val="24"/>
        </w:rPr>
        <w:t xml:space="preserve">While it is not a current defined term in the ERCOT Nodal Protocols, </w:t>
      </w:r>
      <w:r w:rsidRPr="0042616E">
        <w:rPr>
          <w:sz w:val="24"/>
          <w:u w:val="single"/>
        </w:rPr>
        <w:t>f</w:t>
      </w:r>
      <w:r w:rsidR="00353256" w:rsidRPr="0042616E">
        <w:rPr>
          <w:sz w:val="24"/>
          <w:u w:val="single"/>
        </w:rPr>
        <w:t>or purposes of this discussion</w:t>
      </w:r>
      <w:r w:rsidR="00353256">
        <w:rPr>
          <w:sz w:val="24"/>
        </w:rPr>
        <w:t xml:space="preserve"> a BTM Resource is defined as</w:t>
      </w:r>
      <w:r w:rsidR="001F1A9A">
        <w:rPr>
          <w:sz w:val="24"/>
        </w:rPr>
        <w:t xml:space="preserve"> a </w:t>
      </w:r>
      <w:r w:rsidR="00D82041">
        <w:rPr>
          <w:sz w:val="24"/>
        </w:rPr>
        <w:t xml:space="preserve">Resource at a </w:t>
      </w:r>
      <w:r w:rsidR="001F1A9A">
        <w:rPr>
          <w:sz w:val="24"/>
        </w:rPr>
        <w:t>site</w:t>
      </w:r>
      <w:r w:rsidR="00353256">
        <w:rPr>
          <w:sz w:val="24"/>
        </w:rPr>
        <w:t>:</w:t>
      </w:r>
    </w:p>
    <w:p w14:paraId="69E7F71D" w14:textId="77777777" w:rsidR="00353256" w:rsidRDefault="001F1A9A" w:rsidP="0042616E">
      <w:pPr>
        <w:pStyle w:val="ListParagraph"/>
        <w:numPr>
          <w:ilvl w:val="0"/>
          <w:numId w:val="2"/>
        </w:numPr>
        <w:jc w:val="both"/>
        <w:rPr>
          <w:sz w:val="24"/>
        </w:rPr>
      </w:pPr>
      <w:r>
        <w:rPr>
          <w:sz w:val="24"/>
        </w:rPr>
        <w:t>W</w:t>
      </w:r>
      <w:r w:rsidR="00C241D5" w:rsidRPr="00353256">
        <w:rPr>
          <w:sz w:val="24"/>
        </w:rPr>
        <w:t xml:space="preserve">ith </w:t>
      </w:r>
      <w:r w:rsidR="00353256" w:rsidRPr="00353256">
        <w:rPr>
          <w:sz w:val="24"/>
        </w:rPr>
        <w:t xml:space="preserve">one or more </w:t>
      </w:r>
      <w:r w:rsidR="00C241D5" w:rsidRPr="00353256">
        <w:rPr>
          <w:sz w:val="24"/>
        </w:rPr>
        <w:t>Generation Resource</w:t>
      </w:r>
      <w:r w:rsidR="00353256">
        <w:rPr>
          <w:sz w:val="24"/>
        </w:rPr>
        <w:t>s</w:t>
      </w:r>
      <w:r w:rsidR="005540A2">
        <w:rPr>
          <w:sz w:val="24"/>
        </w:rPr>
        <w:t xml:space="preserve"> (GRs)</w:t>
      </w:r>
      <w:r w:rsidR="00C241D5" w:rsidRPr="00353256">
        <w:rPr>
          <w:sz w:val="24"/>
        </w:rPr>
        <w:t xml:space="preserve"> and/or Energy Storage Resource</w:t>
      </w:r>
      <w:r w:rsidR="00353256">
        <w:rPr>
          <w:sz w:val="24"/>
        </w:rPr>
        <w:t>s</w:t>
      </w:r>
      <w:r w:rsidR="005540A2">
        <w:rPr>
          <w:sz w:val="24"/>
        </w:rPr>
        <w:t xml:space="preserve"> (ESRs)</w:t>
      </w:r>
      <w:r w:rsidR="00353256" w:rsidRPr="00353256">
        <w:rPr>
          <w:sz w:val="24"/>
        </w:rPr>
        <w:t xml:space="preserve"> co-located with customer (retail) Load</w:t>
      </w:r>
      <w:r w:rsidR="005950B7">
        <w:rPr>
          <w:sz w:val="24"/>
        </w:rPr>
        <w:t xml:space="preserve"> behind a single POI</w:t>
      </w:r>
      <w:r w:rsidR="00353256">
        <w:rPr>
          <w:sz w:val="24"/>
        </w:rPr>
        <w:t>;</w:t>
      </w:r>
    </w:p>
    <w:p w14:paraId="02FFF578" w14:textId="77777777" w:rsidR="00353256" w:rsidRDefault="001F1A9A" w:rsidP="0042616E">
      <w:pPr>
        <w:pStyle w:val="ListParagraph"/>
        <w:numPr>
          <w:ilvl w:val="0"/>
          <w:numId w:val="2"/>
        </w:numPr>
        <w:jc w:val="both"/>
        <w:rPr>
          <w:sz w:val="24"/>
        </w:rPr>
      </w:pPr>
      <w:r>
        <w:rPr>
          <w:sz w:val="24"/>
        </w:rPr>
        <w:t>I</w:t>
      </w:r>
      <w:r w:rsidR="00986DD1" w:rsidRPr="00353256">
        <w:rPr>
          <w:sz w:val="24"/>
        </w:rPr>
        <w:t xml:space="preserve">s a net </w:t>
      </w:r>
      <w:r w:rsidR="00353256">
        <w:rPr>
          <w:sz w:val="24"/>
        </w:rPr>
        <w:t>L</w:t>
      </w:r>
      <w:r w:rsidR="00986DD1" w:rsidRPr="00353256">
        <w:rPr>
          <w:sz w:val="24"/>
        </w:rPr>
        <w:t>oad site</w:t>
      </w:r>
      <w:r w:rsidR="00353256">
        <w:rPr>
          <w:sz w:val="24"/>
        </w:rPr>
        <w:t xml:space="preserve"> at all times; and</w:t>
      </w:r>
    </w:p>
    <w:p w14:paraId="3078BF95" w14:textId="75493B91" w:rsidR="00353256" w:rsidRDefault="001F1A9A" w:rsidP="0042616E">
      <w:pPr>
        <w:pStyle w:val="ListParagraph"/>
        <w:numPr>
          <w:ilvl w:val="0"/>
          <w:numId w:val="2"/>
        </w:numPr>
        <w:jc w:val="both"/>
        <w:rPr>
          <w:sz w:val="24"/>
        </w:rPr>
      </w:pPr>
      <w:r>
        <w:rPr>
          <w:sz w:val="24"/>
        </w:rPr>
        <w:t xml:space="preserve">Has </w:t>
      </w:r>
      <w:r w:rsidR="005540A2">
        <w:rPr>
          <w:sz w:val="24"/>
        </w:rPr>
        <w:t>ESR</w:t>
      </w:r>
      <w:r>
        <w:rPr>
          <w:sz w:val="24"/>
        </w:rPr>
        <w:t>s</w:t>
      </w:r>
      <w:r w:rsidR="005540A2">
        <w:rPr>
          <w:sz w:val="24"/>
        </w:rPr>
        <w:t>/GR</w:t>
      </w:r>
      <w:r>
        <w:rPr>
          <w:sz w:val="24"/>
        </w:rPr>
        <w:t>s seeking</w:t>
      </w:r>
      <w:r w:rsidR="00353256">
        <w:rPr>
          <w:sz w:val="24"/>
        </w:rPr>
        <w:t xml:space="preserve"> to participate in</w:t>
      </w:r>
      <w:r w:rsidR="00552055">
        <w:rPr>
          <w:sz w:val="24"/>
        </w:rPr>
        <w:t xml:space="preserve"> SCED and</w:t>
      </w:r>
      <w:r w:rsidR="00353256">
        <w:rPr>
          <w:sz w:val="24"/>
        </w:rPr>
        <w:t xml:space="preserve"> Ancillary Services</w:t>
      </w:r>
      <w:r w:rsidR="00C241D5" w:rsidRPr="00353256">
        <w:rPr>
          <w:sz w:val="24"/>
        </w:rPr>
        <w:t xml:space="preserve">. </w:t>
      </w:r>
    </w:p>
    <w:p w14:paraId="235A7972" w14:textId="77777777" w:rsidR="00145DBF" w:rsidRPr="005A576C" w:rsidRDefault="00145DBF" w:rsidP="0042616E">
      <w:pPr>
        <w:pStyle w:val="Heading2"/>
      </w:pPr>
      <w:r w:rsidRPr="005A576C">
        <w:t>Background:</w:t>
      </w:r>
    </w:p>
    <w:p w14:paraId="60F1CB60" w14:textId="77B6E391" w:rsidR="00145DBF" w:rsidRDefault="00145DBF" w:rsidP="0042616E">
      <w:pPr>
        <w:jc w:val="both"/>
      </w:pPr>
      <w:r>
        <w:t>Under current practice, participation in SCED and Ancillary Services is limited to a Resource’s</w:t>
      </w:r>
      <w:r w:rsidR="00A909E3">
        <w:t xml:space="preserve"> (</w:t>
      </w:r>
      <w:r w:rsidR="00390754">
        <w:t>GR</w:t>
      </w:r>
      <w:r w:rsidR="00A909E3">
        <w:t xml:space="preserve">, </w:t>
      </w:r>
      <w:r w:rsidR="00390754">
        <w:t>ESR</w:t>
      </w:r>
      <w:r w:rsidR="00A909E3">
        <w:t xml:space="preserve">, </w:t>
      </w:r>
      <w:r w:rsidR="00390754">
        <w:t>or</w:t>
      </w:r>
      <w:r w:rsidR="00A909E3">
        <w:t xml:space="preserve"> Controllable Load Resource</w:t>
      </w:r>
      <w:r w:rsidR="00390754">
        <w:t xml:space="preserve"> (CLR)</w:t>
      </w:r>
      <w:r w:rsidR="00A909E3">
        <w:t>)</w:t>
      </w:r>
      <w:r>
        <w:t xml:space="preserve"> </w:t>
      </w:r>
      <w:r w:rsidRPr="00980F8D">
        <w:rPr>
          <w:i/>
        </w:rPr>
        <w:t>net capability</w:t>
      </w:r>
      <w:r>
        <w:t xml:space="preserve"> — at the Point of Interconnection (POI) for transmission-connected Resources </w:t>
      </w:r>
      <w:r w:rsidR="009F3879">
        <w:t xml:space="preserve">or </w:t>
      </w:r>
      <w:r>
        <w:t xml:space="preserve">at the </w:t>
      </w:r>
      <w:r w:rsidR="00021EAE">
        <w:t xml:space="preserve">Service Delivery </w:t>
      </w:r>
      <w:r>
        <w:t>Point</w:t>
      </w:r>
      <w:r w:rsidR="00021EAE">
        <w:t xml:space="preserve"> (SDP)</w:t>
      </w:r>
      <w:r>
        <w:t xml:space="preserve"> for distribution-connected Resources.  Net capability is defined as </w:t>
      </w:r>
      <w:r w:rsidR="009F3879">
        <w:t xml:space="preserve">the </w:t>
      </w:r>
      <w:r>
        <w:t xml:space="preserve">capacity </w:t>
      </w:r>
      <w:r w:rsidR="009F3879">
        <w:t xml:space="preserve">available for injection to the grid </w:t>
      </w:r>
      <w:r w:rsidR="00A71D00">
        <w:t>after netting all l</w:t>
      </w:r>
      <w:r>
        <w:t xml:space="preserve">oad (including auxiliary Load) </w:t>
      </w:r>
      <w:r w:rsidR="009F3879">
        <w:t>with</w:t>
      </w:r>
      <w:r>
        <w:t xml:space="preserve"> the generation behind the meter.  </w:t>
      </w:r>
      <w:r w:rsidR="009F3879">
        <w:t>As a result</w:t>
      </w:r>
      <w:r>
        <w:t>, if the site is</w:t>
      </w:r>
      <w:r w:rsidR="007A4948">
        <w:t xml:space="preserve"> always</w:t>
      </w:r>
      <w:r>
        <w:t xml:space="preserve"> a net </w:t>
      </w:r>
      <w:r w:rsidR="009F3879">
        <w:t>L</w:t>
      </w:r>
      <w:r>
        <w:t xml:space="preserve">oad, the </w:t>
      </w:r>
      <w:r w:rsidR="00A909E3">
        <w:t>GR or ESR</w:t>
      </w:r>
      <w:r>
        <w:t xml:space="preserve"> are not allowed to provide AS</w:t>
      </w:r>
      <w:r w:rsidR="00A909E3">
        <w:t xml:space="preserve"> since their net capability to deliver energy at the grid is zero.</w:t>
      </w:r>
      <w:r>
        <w:t xml:space="preserve"> </w:t>
      </w:r>
      <w:r w:rsidR="00071F4D">
        <w:t xml:space="preserve">However, Non-Controllable Load Resource (NCLR) in a net generation site is allowed to provide RRS based on </w:t>
      </w:r>
      <w:r w:rsidR="00071F4D" w:rsidRPr="006D1338">
        <w:rPr>
          <w:i/>
          <w:iCs/>
        </w:rPr>
        <w:t>gross capability</w:t>
      </w:r>
      <w:r w:rsidR="00071F4D">
        <w:t>.</w:t>
      </w:r>
    </w:p>
    <w:p w14:paraId="37140E39" w14:textId="77777777" w:rsidR="00145DBF" w:rsidRPr="005A576C" w:rsidRDefault="00145DBF" w:rsidP="0042616E">
      <w:pPr>
        <w:pStyle w:val="Heading2"/>
      </w:pPr>
      <w:r w:rsidRPr="005A576C">
        <w:t xml:space="preserve">Questions: </w:t>
      </w:r>
    </w:p>
    <w:p w14:paraId="17726D36" w14:textId="07D2A5E9" w:rsidR="00145DBF" w:rsidRDefault="00145DBF" w:rsidP="0042616E">
      <w:pPr>
        <w:pStyle w:val="ListParagraph"/>
        <w:ind w:left="0"/>
        <w:jc w:val="both"/>
      </w:pPr>
      <w:r>
        <w:t xml:space="preserve">Should we change the current practice of limiting </w:t>
      </w:r>
      <w:r w:rsidR="00DC35AB">
        <w:t>eligible</w:t>
      </w:r>
      <w:r>
        <w:t xml:space="preserve"> AS quantity </w:t>
      </w:r>
      <w:r w:rsidR="00071F4D">
        <w:t xml:space="preserve">for ESR/GR </w:t>
      </w:r>
      <w:r>
        <w:t xml:space="preserve">to only the net capability that can be delivered at the POI or </w:t>
      </w:r>
      <w:r w:rsidR="00021EAE">
        <w:t>SDP</w:t>
      </w:r>
      <w:r>
        <w:t xml:space="preserve">? </w:t>
      </w:r>
    </w:p>
    <w:p w14:paraId="1BD4758E" w14:textId="48DB60E7" w:rsidR="00145DBF" w:rsidRDefault="00980F8D" w:rsidP="0042616E">
      <w:pPr>
        <w:pStyle w:val="ListParagraph"/>
        <w:numPr>
          <w:ilvl w:val="0"/>
          <w:numId w:val="4"/>
        </w:numPr>
        <w:ind w:left="360"/>
        <w:jc w:val="both"/>
      </w:pPr>
      <w:r w:rsidRPr="00021EAE">
        <w:t xml:space="preserve">NOTE: </w:t>
      </w:r>
      <w:r w:rsidR="00145DBF" w:rsidRPr="00021EAE">
        <w:t xml:space="preserve">Changing the current practice </w:t>
      </w:r>
      <w:r w:rsidRPr="00021EAE">
        <w:t xml:space="preserve">would </w:t>
      </w:r>
      <w:r w:rsidR="00145DBF" w:rsidRPr="00021EAE">
        <w:t xml:space="preserve">cause misalignment of SCED Base Point instructions to the GRs and ESRs </w:t>
      </w:r>
      <w:r w:rsidR="00021EAE" w:rsidRPr="00021EAE">
        <w:t xml:space="preserve">which is </w:t>
      </w:r>
      <w:r w:rsidR="00145DBF" w:rsidRPr="00021EAE">
        <w:t>based on nodal pricing while the net Load at the site is settled using Load Zone prices.</w:t>
      </w:r>
      <w:r w:rsidR="00390754" w:rsidRPr="00021EAE">
        <w:t xml:space="preserve">  Although not relevant to the examples that have been presented at WMWG, similar misalignments would exist for CLRs when</w:t>
      </w:r>
      <w:r w:rsidR="00390754">
        <w:t xml:space="preserve"> sharing a POI or PCC with a GR or ESR.</w:t>
      </w:r>
    </w:p>
    <w:p w14:paraId="40AE8042" w14:textId="77777777" w:rsidR="00F04E9F" w:rsidRDefault="007A4948" w:rsidP="00F04E9F">
      <w:pPr>
        <w:pStyle w:val="ListParagraph"/>
        <w:numPr>
          <w:ilvl w:val="0"/>
          <w:numId w:val="4"/>
        </w:numPr>
        <w:ind w:left="360"/>
        <w:jc w:val="both"/>
      </w:pPr>
      <w:r>
        <w:t xml:space="preserve">In cases where </w:t>
      </w:r>
      <w:r w:rsidR="00AF528A">
        <w:t xml:space="preserve">there is a large delta between zonal and nodal prices, the incentive </w:t>
      </w:r>
      <w:r>
        <w:t xml:space="preserve">for a BTM Resource </w:t>
      </w:r>
      <w:r w:rsidR="00AF528A">
        <w:t>to follow the SCED BP instructions</w:t>
      </w:r>
      <w:r>
        <w:t xml:space="preserve"> would be diluted or negated</w:t>
      </w:r>
      <w:r w:rsidR="00AF528A">
        <w:t>.</w:t>
      </w:r>
      <w:r w:rsidR="00390754">
        <w:t xml:space="preserve">  To the degree a change in current practice is pursued, what changes to base point deviation and/or performance monitoring should be considered?</w:t>
      </w:r>
    </w:p>
    <w:p w14:paraId="017B3C3F" w14:textId="70AE95D6" w:rsidR="00F04E9F" w:rsidRDefault="00F04E9F" w:rsidP="00F04E9F">
      <w:pPr>
        <w:pStyle w:val="ListParagraph"/>
        <w:numPr>
          <w:ilvl w:val="0"/>
          <w:numId w:val="4"/>
        </w:numPr>
        <w:ind w:left="360"/>
        <w:jc w:val="both"/>
      </w:pPr>
      <w:r>
        <w:t xml:space="preserve">Default uplift allocation today is based on the metered data. The metered data will never reflect BTM Resource’s activity in the market because the site will always be settled as net-load. How should these type of Resource be accounted for in the default uplift allocation? </w:t>
      </w:r>
      <w:bookmarkStart w:id="0" w:name="_GoBack"/>
      <w:bookmarkEnd w:id="0"/>
    </w:p>
    <w:p w14:paraId="6FC2EF50" w14:textId="0BFDF545" w:rsidR="00021EAE" w:rsidRDefault="007F327C" w:rsidP="00021EAE">
      <w:pPr>
        <w:pStyle w:val="ListParagraph"/>
        <w:numPr>
          <w:ilvl w:val="0"/>
          <w:numId w:val="4"/>
        </w:numPr>
        <w:ind w:left="360"/>
        <w:jc w:val="both"/>
      </w:pPr>
      <w:r>
        <w:t xml:space="preserve">Should EPS </w:t>
      </w:r>
      <w:r w:rsidR="00021EAE">
        <w:t>Meters be</w:t>
      </w:r>
      <w:r w:rsidRPr="00021EAE">
        <w:t xml:space="preserve"> installed at the POI/</w:t>
      </w:r>
      <w:r w:rsidR="00021EAE" w:rsidRPr="00021EAE">
        <w:t>SDP</w:t>
      </w:r>
      <w:r w:rsidRPr="00021EAE">
        <w:t xml:space="preserve"> for GR and ESR </w:t>
      </w:r>
      <w:r>
        <w:t xml:space="preserve">sites that are always a net Load to the grid? </w:t>
      </w:r>
      <w:r w:rsidR="000A069A">
        <w:t>EPS Meters are not required for net Load sites</w:t>
      </w:r>
      <w:r w:rsidR="006D1338">
        <w:t>.</w:t>
      </w:r>
    </w:p>
    <w:p w14:paraId="2463B345" w14:textId="77777777" w:rsidR="00390754" w:rsidRDefault="00181C18" w:rsidP="00021EAE">
      <w:pPr>
        <w:pStyle w:val="ListParagraph"/>
        <w:numPr>
          <w:ilvl w:val="0"/>
          <w:numId w:val="4"/>
        </w:numPr>
        <w:ind w:left="360"/>
        <w:jc w:val="both"/>
      </w:pPr>
      <w:r>
        <w:t xml:space="preserve">With the misalignment created between dispatch and Settlement, </w:t>
      </w:r>
      <w:r w:rsidR="00153BB8">
        <w:t xml:space="preserve">there </w:t>
      </w:r>
      <w:r w:rsidR="00021EAE">
        <w:t>is Real</w:t>
      </w:r>
      <w:r w:rsidR="00012CAB" w:rsidRPr="00012CAB">
        <w:t xml:space="preserve">-Time Revenue Neutrality Allocation </w:t>
      </w:r>
      <w:r w:rsidR="00012CAB">
        <w:t>(</w:t>
      </w:r>
      <w:r w:rsidR="00223BBE">
        <w:t>RENA</w:t>
      </w:r>
      <w:r w:rsidR="00012CAB">
        <w:t>)</w:t>
      </w:r>
      <w:r>
        <w:t xml:space="preserve"> impact </w:t>
      </w:r>
      <w:r w:rsidR="00153BB8">
        <w:t xml:space="preserve">which </w:t>
      </w:r>
      <w:r>
        <w:t xml:space="preserve">should be </w:t>
      </w:r>
      <w:r w:rsidR="00021EAE">
        <w:t>evaluated.</w:t>
      </w:r>
    </w:p>
    <w:p w14:paraId="1FE12FF7" w14:textId="14170495" w:rsidR="00215558" w:rsidRDefault="00215558" w:rsidP="00021EAE">
      <w:pPr>
        <w:pStyle w:val="ListParagraph"/>
        <w:numPr>
          <w:ilvl w:val="0"/>
          <w:numId w:val="4"/>
        </w:numPr>
        <w:ind w:left="360"/>
        <w:jc w:val="both"/>
      </w:pPr>
      <w:r>
        <w:t>Settlement issue – AS Imbalance</w:t>
      </w:r>
      <w:r w:rsidR="000A069A">
        <w:t xml:space="preserve"> </w:t>
      </w:r>
      <w:r w:rsidR="00552055">
        <w:t>for Generation Resource and ESR</w:t>
      </w:r>
      <w:r>
        <w:t xml:space="preserve"> uses metered generation, this BTM site is net-load</w:t>
      </w:r>
      <w:r w:rsidR="006D1338">
        <w:t xml:space="preserve"> site</w:t>
      </w:r>
      <w:r>
        <w:t xml:space="preserve"> and therefore </w:t>
      </w:r>
      <w:r w:rsidR="00AA0702">
        <w:t xml:space="preserve">there </w:t>
      </w:r>
      <w:r>
        <w:t xml:space="preserve">will be no metered generation. </w:t>
      </w:r>
      <w:r w:rsidR="007D093E">
        <w:t>However, AS Imbalance for Load Resources (NCLR and CLR) uses telemetry.</w:t>
      </w:r>
    </w:p>
    <w:p w14:paraId="1CF9DEAA" w14:textId="77777777" w:rsidR="00660F62" w:rsidRDefault="00660F62" w:rsidP="00390754">
      <w:pPr>
        <w:pStyle w:val="ListParagraph"/>
        <w:numPr>
          <w:ilvl w:val="0"/>
          <w:numId w:val="4"/>
        </w:numPr>
        <w:ind w:left="360"/>
        <w:jc w:val="both"/>
      </w:pPr>
      <w:r>
        <w:lastRenderedPageBreak/>
        <w:t>There are certain disclosure reporting rules specific to Private Use Networks (PUNs), e.g., Load Distribution Factor reporting.  What rules are needed to distinguish between cases in which special disclosure rules are applicable and when they are not applicable?</w:t>
      </w:r>
    </w:p>
    <w:p w14:paraId="38DFE19F" w14:textId="77777777" w:rsidR="00AA0702" w:rsidRPr="00AA0702" w:rsidRDefault="00145DBF" w:rsidP="00AA0702">
      <w:pPr>
        <w:pStyle w:val="Heading2"/>
      </w:pPr>
      <w:r w:rsidRPr="005A576C">
        <w:t>Technical Issues</w:t>
      </w:r>
      <w:r w:rsidR="00AA2AF2">
        <w:t xml:space="preserve"> that would arise under BTM Resource dispatch</w:t>
      </w:r>
      <w:r>
        <w:t>:</w:t>
      </w:r>
      <w:r w:rsidRPr="005A576C">
        <w:t xml:space="preserve"> </w:t>
      </w:r>
    </w:p>
    <w:p w14:paraId="7FDF5DA2" w14:textId="77777777" w:rsidR="00F26213" w:rsidRDefault="00145DBF" w:rsidP="0042616E">
      <w:pPr>
        <w:jc w:val="both"/>
      </w:pPr>
      <w:r>
        <w:t>ERCOT real-time Load is summation of Telemetered Net Generation Resource MW minus summation of Net DC Tie interchanges (DC Tie Exports positive; DC Tie Imports negative)</w:t>
      </w:r>
      <w:r w:rsidR="00DC35AB">
        <w:t>.</w:t>
      </w:r>
      <w:r w:rsidR="00AF528A">
        <w:t xml:space="preserve"> </w:t>
      </w:r>
    </w:p>
    <w:p w14:paraId="37181DFE" w14:textId="77777777" w:rsidR="00145DBF" w:rsidRDefault="00AF528A" w:rsidP="0042616E">
      <w:pPr>
        <w:jc w:val="both"/>
      </w:pPr>
      <w:r>
        <w:t>The Net Generation telemetry under the current proposal for these sites would not reflect the current practice of telemetering the</w:t>
      </w:r>
      <w:r w:rsidR="00F26213">
        <w:t xml:space="preserve"> net MW flow at the POI/PCC rather, </w:t>
      </w:r>
      <w:r>
        <w:t xml:space="preserve">the Net Generation </w:t>
      </w:r>
      <w:r w:rsidR="00F26213">
        <w:t xml:space="preserve">telemetry would reflect MW output that only nets the GR/ESR auxiliary load but does not net the BTM retail load. </w:t>
      </w:r>
    </w:p>
    <w:p w14:paraId="334362C7" w14:textId="77777777" w:rsidR="00145DBF" w:rsidRDefault="00DC35AB" w:rsidP="0042616E">
      <w:pPr>
        <w:jc w:val="both"/>
      </w:pPr>
      <w:r>
        <w:t xml:space="preserve">The </w:t>
      </w:r>
      <w:r w:rsidR="00145DBF">
        <w:t>ERCOT</w:t>
      </w:r>
      <w:r w:rsidR="00AF528A">
        <w:t xml:space="preserve"> </w:t>
      </w:r>
      <w:r w:rsidR="00145DBF">
        <w:t xml:space="preserve">Operational Load Forecast today is forecasting net </w:t>
      </w:r>
      <w:r>
        <w:t>L</w:t>
      </w:r>
      <w:r w:rsidR="00145DBF">
        <w:t>oad</w:t>
      </w:r>
      <w:r>
        <w:t>,</w:t>
      </w:r>
      <w:r w:rsidR="00145DBF">
        <w:t xml:space="preserve"> which excludes any </w:t>
      </w:r>
      <w:r w:rsidR="00AA2AF2">
        <w:t>L</w:t>
      </w:r>
      <w:r w:rsidR="00145DBF">
        <w:t xml:space="preserve">oad behind the meter which meets </w:t>
      </w:r>
      <w:r w:rsidR="00AA2AF2">
        <w:t>g</w:t>
      </w:r>
      <w:r w:rsidR="00145DBF">
        <w:t>eneration netting rules</w:t>
      </w:r>
      <w:r w:rsidR="00AA2AF2">
        <w:t>, including PUN Load</w:t>
      </w:r>
      <w:r w:rsidR="00145DBF">
        <w:t>.</w:t>
      </w:r>
    </w:p>
    <w:p w14:paraId="3B314D67" w14:textId="77777777" w:rsidR="00145DBF" w:rsidRPr="00145DBF" w:rsidRDefault="00145DBF" w:rsidP="0042616E">
      <w:pPr>
        <w:jc w:val="both"/>
      </w:pPr>
    </w:p>
    <w:sectPr w:rsidR="00145DBF" w:rsidRPr="00145DB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11C7" w16cex:dateUtc="2021-04-22T20:16:00Z"/>
  <w16cex:commentExtensible w16cex:durableId="242C106B" w16cex:dateUtc="2021-04-22T20:10:00Z"/>
  <w16cex:commentExtensible w16cex:durableId="242C1035" w16cex:dateUtc="2021-04-22T20:09:00Z"/>
  <w16cex:commentExtensible w16cex:durableId="242C1166" w16cex:dateUtc="2021-04-22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67647" w16cid:durableId="242C0FD3"/>
  <w16cid:commentId w16cid:paraId="6F6E296D" w16cid:durableId="242C11C7"/>
  <w16cid:commentId w16cid:paraId="1DEFB0A7" w16cid:durableId="242C0FD4"/>
  <w16cid:commentId w16cid:paraId="00948762" w16cid:durableId="242C0FD5"/>
  <w16cid:commentId w16cid:paraId="6729C674" w16cid:durableId="242C0FD6"/>
  <w16cid:commentId w16cid:paraId="6500DC20" w16cid:durableId="242C106B"/>
  <w16cid:commentId w16cid:paraId="3C4646C4" w16cid:durableId="242C0FD7"/>
  <w16cid:commentId w16cid:paraId="2B932B1D" w16cid:durableId="242C1035"/>
  <w16cid:commentId w16cid:paraId="4F78151D" w16cid:durableId="242C1166"/>
  <w16cid:commentId w16cid:paraId="71B47581" w16cid:durableId="242C0F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2CF8"/>
    <w:multiLevelType w:val="hybridMultilevel"/>
    <w:tmpl w:val="0F209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243D0"/>
    <w:multiLevelType w:val="hybridMultilevel"/>
    <w:tmpl w:val="87B2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B14E7"/>
    <w:multiLevelType w:val="hybridMultilevel"/>
    <w:tmpl w:val="1CF68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4227A3"/>
    <w:multiLevelType w:val="hybridMultilevel"/>
    <w:tmpl w:val="859E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5"/>
    <w:rsid w:val="00012CAB"/>
    <w:rsid w:val="00021EAE"/>
    <w:rsid w:val="00071F4D"/>
    <w:rsid w:val="0008292C"/>
    <w:rsid w:val="00087BA1"/>
    <w:rsid w:val="000A069A"/>
    <w:rsid w:val="00136724"/>
    <w:rsid w:val="00145DBF"/>
    <w:rsid w:val="00153BB8"/>
    <w:rsid w:val="00181C18"/>
    <w:rsid w:val="001F1A9A"/>
    <w:rsid w:val="002103BD"/>
    <w:rsid w:val="00215558"/>
    <w:rsid w:val="00223BBE"/>
    <w:rsid w:val="002F7179"/>
    <w:rsid w:val="00353256"/>
    <w:rsid w:val="00390754"/>
    <w:rsid w:val="003935F7"/>
    <w:rsid w:val="0042616E"/>
    <w:rsid w:val="005244D7"/>
    <w:rsid w:val="00531A0F"/>
    <w:rsid w:val="005458C1"/>
    <w:rsid w:val="00552055"/>
    <w:rsid w:val="005540A2"/>
    <w:rsid w:val="00570939"/>
    <w:rsid w:val="005950B7"/>
    <w:rsid w:val="00660F62"/>
    <w:rsid w:val="006D1338"/>
    <w:rsid w:val="00706BD9"/>
    <w:rsid w:val="007A4948"/>
    <w:rsid w:val="007D093E"/>
    <w:rsid w:val="007D4B4A"/>
    <w:rsid w:val="007E74CA"/>
    <w:rsid w:val="007F327C"/>
    <w:rsid w:val="00842F94"/>
    <w:rsid w:val="008477E4"/>
    <w:rsid w:val="00980F8D"/>
    <w:rsid w:val="00986DD1"/>
    <w:rsid w:val="009F3879"/>
    <w:rsid w:val="00A71D00"/>
    <w:rsid w:val="00A8022E"/>
    <w:rsid w:val="00A909E3"/>
    <w:rsid w:val="00AA0702"/>
    <w:rsid w:val="00AA2AF2"/>
    <w:rsid w:val="00AF528A"/>
    <w:rsid w:val="00C15F3C"/>
    <w:rsid w:val="00C241D5"/>
    <w:rsid w:val="00C625C6"/>
    <w:rsid w:val="00D82041"/>
    <w:rsid w:val="00DC35AB"/>
    <w:rsid w:val="00E5387B"/>
    <w:rsid w:val="00F04E9F"/>
    <w:rsid w:val="00F26213"/>
    <w:rsid w:val="00F519A1"/>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D6F6"/>
  <w15:chartTrackingRefBased/>
  <w15:docId w15:val="{F21C390C-4BDA-44E6-B3D7-A3DEFFB0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1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1D5"/>
    <w:pPr>
      <w:ind w:left="720"/>
      <w:contextualSpacing/>
    </w:pPr>
  </w:style>
  <w:style w:type="character" w:customStyle="1" w:styleId="Heading1Char">
    <w:name w:val="Heading 1 Char"/>
    <w:basedOn w:val="DefaultParagraphFont"/>
    <w:link w:val="Heading1"/>
    <w:uiPriority w:val="9"/>
    <w:rsid w:val="0008292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53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256"/>
    <w:rPr>
      <w:rFonts w:ascii="Segoe UI" w:hAnsi="Segoe UI" w:cs="Segoe UI"/>
      <w:sz w:val="18"/>
      <w:szCs w:val="18"/>
    </w:rPr>
  </w:style>
  <w:style w:type="paragraph" w:styleId="Revision">
    <w:name w:val="Revision"/>
    <w:hidden/>
    <w:uiPriority w:val="99"/>
    <w:semiHidden/>
    <w:rsid w:val="00980F8D"/>
    <w:pPr>
      <w:spacing w:after="0" w:line="240" w:lineRule="auto"/>
    </w:pPr>
  </w:style>
  <w:style w:type="character" w:styleId="CommentReference">
    <w:name w:val="annotation reference"/>
    <w:basedOn w:val="DefaultParagraphFont"/>
    <w:uiPriority w:val="99"/>
    <w:semiHidden/>
    <w:unhideWhenUsed/>
    <w:rsid w:val="00A909E3"/>
    <w:rPr>
      <w:sz w:val="16"/>
      <w:szCs w:val="16"/>
    </w:rPr>
  </w:style>
  <w:style w:type="paragraph" w:styleId="CommentText">
    <w:name w:val="annotation text"/>
    <w:basedOn w:val="Normal"/>
    <w:link w:val="CommentTextChar"/>
    <w:uiPriority w:val="99"/>
    <w:semiHidden/>
    <w:unhideWhenUsed/>
    <w:rsid w:val="00A909E3"/>
    <w:pPr>
      <w:spacing w:line="240" w:lineRule="auto"/>
    </w:pPr>
    <w:rPr>
      <w:sz w:val="20"/>
      <w:szCs w:val="20"/>
    </w:rPr>
  </w:style>
  <w:style w:type="character" w:customStyle="1" w:styleId="CommentTextChar">
    <w:name w:val="Comment Text Char"/>
    <w:basedOn w:val="DefaultParagraphFont"/>
    <w:link w:val="CommentText"/>
    <w:uiPriority w:val="99"/>
    <w:semiHidden/>
    <w:rsid w:val="00A909E3"/>
    <w:rPr>
      <w:sz w:val="20"/>
      <w:szCs w:val="20"/>
    </w:rPr>
  </w:style>
  <w:style w:type="paragraph" w:styleId="CommentSubject">
    <w:name w:val="annotation subject"/>
    <w:basedOn w:val="CommentText"/>
    <w:next w:val="CommentText"/>
    <w:link w:val="CommentSubjectChar"/>
    <w:uiPriority w:val="99"/>
    <w:semiHidden/>
    <w:unhideWhenUsed/>
    <w:rsid w:val="00A909E3"/>
    <w:rPr>
      <w:b/>
      <w:bCs/>
    </w:rPr>
  </w:style>
  <w:style w:type="character" w:customStyle="1" w:styleId="CommentSubjectChar">
    <w:name w:val="Comment Subject Char"/>
    <w:basedOn w:val="CommentTextChar"/>
    <w:link w:val="CommentSubject"/>
    <w:uiPriority w:val="99"/>
    <w:semiHidden/>
    <w:rsid w:val="00A909E3"/>
    <w:rPr>
      <w:b/>
      <w:bCs/>
      <w:sz w:val="20"/>
      <w:szCs w:val="20"/>
    </w:rPr>
  </w:style>
  <w:style w:type="character" w:customStyle="1" w:styleId="Heading2Char">
    <w:name w:val="Heading 2 Char"/>
    <w:basedOn w:val="DefaultParagraphFont"/>
    <w:link w:val="Heading2"/>
    <w:uiPriority w:val="9"/>
    <w:rsid w:val="004261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Sharma</dc:creator>
  <cp:keywords/>
  <dc:description/>
  <cp:lastModifiedBy>Sandip Sharma</cp:lastModifiedBy>
  <cp:revision>2</cp:revision>
  <dcterms:created xsi:type="dcterms:W3CDTF">2021-04-22T21:16:00Z</dcterms:created>
  <dcterms:modified xsi:type="dcterms:W3CDTF">2021-04-22T21:16:00Z</dcterms:modified>
</cp:coreProperties>
</file>