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1313EA" w:rsidP="00123FEE">
      <w:pPr>
        <w:pStyle w:val="NoSpacing"/>
        <w:rPr>
          <w:b/>
          <w:sz w:val="28"/>
          <w:szCs w:val="24"/>
        </w:rPr>
      </w:pPr>
      <w:r>
        <w:rPr>
          <w:b/>
          <w:sz w:val="28"/>
          <w:szCs w:val="24"/>
        </w:rPr>
        <w:t>March</w:t>
      </w:r>
      <w:r w:rsidR="00AA3CAF">
        <w:rPr>
          <w:b/>
          <w:sz w:val="28"/>
          <w:szCs w:val="24"/>
        </w:rPr>
        <w:t xml:space="preserve"> </w:t>
      </w:r>
      <w:r w:rsidR="00463A02">
        <w:rPr>
          <w:b/>
          <w:sz w:val="28"/>
          <w:szCs w:val="24"/>
        </w:rPr>
        <w:t>2</w:t>
      </w:r>
      <w:r>
        <w:rPr>
          <w:b/>
          <w:sz w:val="28"/>
          <w:szCs w:val="24"/>
        </w:rPr>
        <w:t>6th</w:t>
      </w:r>
      <w:r w:rsidR="002F5B65">
        <w:rPr>
          <w:b/>
          <w:sz w:val="28"/>
          <w:szCs w:val="24"/>
        </w:rPr>
        <w:t>,</w:t>
      </w:r>
      <w:r w:rsidR="005645B7">
        <w:rPr>
          <w:b/>
          <w:sz w:val="28"/>
          <w:szCs w:val="24"/>
        </w:rPr>
        <w:t xml:space="preserve"> 202</w:t>
      </w:r>
      <w:r w:rsidR="00AA3CAF">
        <w:rPr>
          <w:b/>
          <w:sz w:val="28"/>
          <w:szCs w:val="24"/>
        </w:rPr>
        <w:t>1</w:t>
      </w:r>
    </w:p>
    <w:p w:rsidR="009F7D81" w:rsidRPr="00123FEE" w:rsidRDefault="005645B7" w:rsidP="00123FEE">
      <w:pPr>
        <w:pStyle w:val="NoSpacing"/>
        <w:rPr>
          <w:b/>
          <w:sz w:val="28"/>
          <w:szCs w:val="24"/>
        </w:rPr>
      </w:pPr>
      <w:r>
        <w:rPr>
          <w:b/>
          <w:sz w:val="28"/>
          <w:szCs w:val="24"/>
        </w:rPr>
        <w:t>WebEx only</w:t>
      </w:r>
    </w:p>
    <w:tbl>
      <w:tblPr>
        <w:tblStyle w:val="GridTable4-Accent3"/>
        <w:tblW w:w="11065" w:type="dxa"/>
        <w:tblLook w:val="04A0" w:firstRow="1" w:lastRow="0" w:firstColumn="1" w:lastColumn="0" w:noHBand="0" w:noVBand="1"/>
      </w:tblPr>
      <w:tblGrid>
        <w:gridCol w:w="2155"/>
        <w:gridCol w:w="1411"/>
        <w:gridCol w:w="2099"/>
        <w:gridCol w:w="1800"/>
        <w:gridCol w:w="1890"/>
        <w:gridCol w:w="1710"/>
      </w:tblGrid>
      <w:tr w:rsidR="00EA742D" w:rsidRPr="00020312" w:rsidTr="00496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189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10"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46742"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1D16C1" w:rsidP="00446742">
            <w:pPr>
              <w:rPr>
                <w:b w:val="0"/>
              </w:rPr>
            </w:pPr>
            <w:r>
              <w:rPr>
                <w:b w:val="0"/>
              </w:rPr>
              <w:t>Diana Rehfeldt</w:t>
            </w:r>
          </w:p>
        </w:tc>
        <w:tc>
          <w:tcPr>
            <w:tcW w:w="1411"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r w:rsidRPr="00020312">
              <w:t>TNMP</w:t>
            </w:r>
          </w:p>
        </w:tc>
        <w:tc>
          <w:tcPr>
            <w:tcW w:w="2099"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Jim Lee</w:t>
            </w:r>
          </w:p>
        </w:tc>
        <w:tc>
          <w:tcPr>
            <w:tcW w:w="1800" w:type="dxa"/>
          </w:tcPr>
          <w:p w:rsidR="00446742" w:rsidRPr="00020312" w:rsidRDefault="009361FE" w:rsidP="00446742">
            <w:pPr>
              <w:cnfStyle w:val="000000100000" w:firstRow="0" w:lastRow="0" w:firstColumn="0" w:lastColumn="0" w:oddVBand="0" w:evenVBand="0" w:oddHBand="1" w:evenHBand="0" w:firstRowFirstColumn="0" w:firstRowLastColumn="0" w:lastRowFirstColumn="0" w:lastRowLastColumn="0"/>
            </w:pPr>
            <w:r>
              <w:t>AEP</w:t>
            </w:r>
          </w:p>
        </w:tc>
        <w:tc>
          <w:tcPr>
            <w:tcW w:w="1890" w:type="dxa"/>
          </w:tcPr>
          <w:p w:rsidR="00446742" w:rsidRPr="00020312" w:rsidRDefault="00AA3CAF" w:rsidP="00446742">
            <w:pPr>
              <w:cnfStyle w:val="000000100000" w:firstRow="0" w:lastRow="0" w:firstColumn="0" w:lastColumn="0" w:oddVBand="0" w:evenVBand="0" w:oddHBand="1" w:evenHBand="0" w:firstRowFirstColumn="0" w:firstRowLastColumn="0" w:lastRowFirstColumn="0" w:lastRowLastColumn="0"/>
            </w:pPr>
            <w:r>
              <w:t>Norm Levine</w:t>
            </w:r>
          </w:p>
        </w:tc>
        <w:tc>
          <w:tcPr>
            <w:tcW w:w="1710" w:type="dxa"/>
          </w:tcPr>
          <w:p w:rsidR="00446742" w:rsidRPr="00020312" w:rsidRDefault="00AA3CAF" w:rsidP="00446742">
            <w:pPr>
              <w:cnfStyle w:val="000000100000" w:firstRow="0" w:lastRow="0" w:firstColumn="0" w:lastColumn="0" w:oddVBand="0" w:evenVBand="0" w:oddHBand="1" w:evenHBand="0" w:firstRowFirstColumn="0" w:firstRowLastColumn="0" w:lastRowFirstColumn="0" w:lastRowLastColumn="0"/>
            </w:pPr>
            <w:r>
              <w:t>Direct</w:t>
            </w:r>
          </w:p>
        </w:tc>
      </w:tr>
      <w:tr w:rsidR="002F5B65"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sidRPr="00020312">
              <w:rPr>
                <w:b w:val="0"/>
              </w:rPr>
              <w:t>Sam Pak</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Steven Pliler</w:t>
            </w:r>
          </w:p>
        </w:tc>
        <w:tc>
          <w:tcPr>
            <w:tcW w:w="1800"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TXU</w:t>
            </w:r>
          </w:p>
        </w:tc>
        <w:tc>
          <w:tcPr>
            <w:tcW w:w="1890" w:type="dxa"/>
          </w:tcPr>
          <w:p w:rsidR="002F5B65" w:rsidRPr="00020312" w:rsidRDefault="001313EA" w:rsidP="002F5B65">
            <w:pPr>
              <w:cnfStyle w:val="000000000000" w:firstRow="0" w:lastRow="0" w:firstColumn="0" w:lastColumn="0" w:oddVBand="0" w:evenVBand="0" w:oddHBand="0" w:evenHBand="0" w:firstRowFirstColumn="0" w:firstRowLastColumn="0" w:lastRowFirstColumn="0" w:lastRowLastColumn="0"/>
            </w:pPr>
            <w:r>
              <w:t>Stephen Wilson</w:t>
            </w:r>
          </w:p>
        </w:tc>
        <w:tc>
          <w:tcPr>
            <w:tcW w:w="1710" w:type="dxa"/>
          </w:tcPr>
          <w:p w:rsidR="002F5B65" w:rsidRPr="00020312" w:rsidRDefault="001313EA" w:rsidP="002F5B65">
            <w:pPr>
              <w:cnfStyle w:val="000000000000" w:firstRow="0" w:lastRow="0" w:firstColumn="0" w:lastColumn="0" w:oddVBand="0" w:evenVBand="0" w:oddHBand="0" w:evenHBand="0" w:firstRowFirstColumn="0" w:firstRowLastColumn="0" w:lastRowFirstColumn="0" w:lastRowLastColumn="0"/>
            </w:pPr>
            <w:r>
              <w:t>TXU</w:t>
            </w:r>
          </w:p>
        </w:tc>
      </w:tr>
      <w:tr w:rsidR="002F5B65"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2F5B65" w:rsidRPr="00020312" w:rsidRDefault="002F5B65" w:rsidP="002F5B65">
            <w:pPr>
              <w:rPr>
                <w:b w:val="0"/>
              </w:rPr>
            </w:pPr>
            <w:r>
              <w:rPr>
                <w:b w:val="0"/>
              </w:rPr>
              <w:t>Kathy Scott</w:t>
            </w:r>
          </w:p>
        </w:tc>
        <w:tc>
          <w:tcPr>
            <w:tcW w:w="1411"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Eric Blakey</w:t>
            </w:r>
          </w:p>
        </w:tc>
        <w:tc>
          <w:tcPr>
            <w:tcW w:w="1800" w:type="dxa"/>
          </w:tcPr>
          <w:p w:rsidR="002F5B65" w:rsidRPr="00020312" w:rsidRDefault="002F5B65" w:rsidP="002F5B65">
            <w:pPr>
              <w:cnfStyle w:val="000000100000" w:firstRow="0" w:lastRow="0" w:firstColumn="0" w:lastColumn="0" w:oddVBand="0" w:evenVBand="0" w:oddHBand="1" w:evenHBand="0" w:firstRowFirstColumn="0" w:firstRowLastColumn="0" w:lastRowFirstColumn="0" w:lastRowLastColumn="0"/>
            </w:pPr>
            <w:r>
              <w:t>Just Energy</w:t>
            </w:r>
          </w:p>
        </w:tc>
        <w:tc>
          <w:tcPr>
            <w:tcW w:w="1890" w:type="dxa"/>
          </w:tcPr>
          <w:p w:rsidR="002F5B65" w:rsidRPr="00020312" w:rsidRDefault="001313EA" w:rsidP="002F5B65">
            <w:pPr>
              <w:cnfStyle w:val="000000100000" w:firstRow="0" w:lastRow="0" w:firstColumn="0" w:lastColumn="0" w:oddVBand="0" w:evenVBand="0" w:oddHBand="1" w:evenHBand="0" w:firstRowFirstColumn="0" w:firstRowLastColumn="0" w:lastRowFirstColumn="0" w:lastRowLastColumn="0"/>
            </w:pPr>
            <w:r>
              <w:t>Russell Kelley</w:t>
            </w:r>
          </w:p>
        </w:tc>
        <w:tc>
          <w:tcPr>
            <w:tcW w:w="1710" w:type="dxa"/>
          </w:tcPr>
          <w:p w:rsidR="002F5B65" w:rsidRPr="00020312" w:rsidRDefault="001313EA" w:rsidP="002F5B65">
            <w:pPr>
              <w:cnfStyle w:val="000000100000" w:firstRow="0" w:lastRow="0" w:firstColumn="0" w:lastColumn="0" w:oddVBand="0" w:evenVBand="0" w:oddHBand="1" w:evenHBand="0" w:firstRowFirstColumn="0" w:firstRowLastColumn="0" w:lastRowFirstColumn="0" w:lastRowLastColumn="0"/>
            </w:pPr>
            <w:r>
              <w:t>TXU</w:t>
            </w:r>
          </w:p>
        </w:tc>
      </w:tr>
      <w:tr w:rsidR="002F5B65"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2F5B65" w:rsidRPr="003D3023" w:rsidRDefault="002F5B65" w:rsidP="002F5B65">
            <w:pPr>
              <w:rPr>
                <w:b w:val="0"/>
              </w:rPr>
            </w:pPr>
            <w:r w:rsidRPr="003D3023">
              <w:rPr>
                <w:b w:val="0"/>
              </w:rPr>
              <w:t>Sheri W</w:t>
            </w:r>
            <w:r>
              <w:rPr>
                <w:b w:val="0"/>
              </w:rPr>
              <w:t>ie</w:t>
            </w:r>
            <w:r w:rsidRPr="003D3023">
              <w:rPr>
                <w:b w:val="0"/>
              </w:rPr>
              <w:t>gand</w:t>
            </w:r>
          </w:p>
        </w:tc>
        <w:tc>
          <w:tcPr>
            <w:tcW w:w="1411"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Lauren Damen</w:t>
            </w:r>
          </w:p>
        </w:tc>
        <w:tc>
          <w:tcPr>
            <w:tcW w:w="1800" w:type="dxa"/>
          </w:tcPr>
          <w:p w:rsidR="002F5B65" w:rsidRPr="00020312" w:rsidRDefault="009D7657" w:rsidP="002F5B65">
            <w:pPr>
              <w:cnfStyle w:val="000000000000" w:firstRow="0" w:lastRow="0" w:firstColumn="0" w:lastColumn="0" w:oddVBand="0" w:evenVBand="0" w:oddHBand="0" w:evenHBand="0" w:firstRowFirstColumn="0" w:firstRowLastColumn="0" w:lastRowFirstColumn="0" w:lastRowLastColumn="0"/>
            </w:pPr>
            <w:r>
              <w:t>NRG</w:t>
            </w:r>
          </w:p>
        </w:tc>
        <w:tc>
          <w:tcPr>
            <w:tcW w:w="189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c>
          <w:tcPr>
            <w:tcW w:w="1710" w:type="dxa"/>
          </w:tcPr>
          <w:p w:rsidR="002F5B65" w:rsidRPr="00020312" w:rsidRDefault="002F5B65" w:rsidP="002F5B65">
            <w:pPr>
              <w:cnfStyle w:val="000000000000" w:firstRow="0" w:lastRow="0" w:firstColumn="0" w:lastColumn="0" w:oddVBand="0" w:evenVBand="0" w:oddHBand="0" w:evenHBand="0" w:firstRowFirstColumn="0" w:firstRowLastColumn="0" w:lastRowFirstColumn="0" w:lastRowLastColumn="0"/>
            </w:pPr>
          </w:p>
        </w:tc>
      </w:tr>
      <w:tr w:rsidR="00AA3CAF" w:rsidRPr="00020312" w:rsidTr="00496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AA3CAF" w:rsidRPr="003D3023" w:rsidRDefault="00AA3CAF" w:rsidP="00AA3CAF">
            <w:pPr>
              <w:rPr>
                <w:b w:val="0"/>
              </w:rPr>
            </w:pPr>
            <w:r w:rsidRPr="00020312">
              <w:rPr>
                <w:b w:val="0"/>
              </w:rPr>
              <w:t>Kyle Patrick</w:t>
            </w:r>
          </w:p>
        </w:tc>
        <w:tc>
          <w:tcPr>
            <w:tcW w:w="1411"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rsidRPr="00020312">
              <w:t>NRG</w:t>
            </w:r>
          </w:p>
        </w:tc>
        <w:tc>
          <w:tcPr>
            <w:tcW w:w="2099" w:type="dxa"/>
          </w:tcPr>
          <w:p w:rsidR="00AA3CAF" w:rsidRPr="00020312" w:rsidRDefault="001313EA" w:rsidP="00AA3CAF">
            <w:pPr>
              <w:cnfStyle w:val="000000100000" w:firstRow="0" w:lastRow="0" w:firstColumn="0" w:lastColumn="0" w:oddVBand="0" w:evenVBand="0" w:oddHBand="1" w:evenHBand="0" w:firstRowFirstColumn="0" w:firstRowLastColumn="0" w:lastRowFirstColumn="0" w:lastRowLastColumn="0"/>
            </w:pPr>
            <w:r>
              <w:t xml:space="preserve">Marty </w:t>
            </w:r>
            <w:proofErr w:type="spellStart"/>
            <w:r>
              <w:t>Alchin</w:t>
            </w:r>
            <w:proofErr w:type="spellEnd"/>
          </w:p>
        </w:tc>
        <w:tc>
          <w:tcPr>
            <w:tcW w:w="180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c>
          <w:tcPr>
            <w:tcW w:w="189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c>
          <w:tcPr>
            <w:tcW w:w="171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r>
      <w:tr w:rsidR="00AA3CAF" w:rsidRPr="00020312" w:rsidTr="00496BC3">
        <w:tc>
          <w:tcPr>
            <w:cnfStyle w:val="001000000000" w:firstRow="0" w:lastRow="0" w:firstColumn="1" w:lastColumn="0" w:oddVBand="0" w:evenVBand="0" w:oddHBand="0" w:evenHBand="0" w:firstRowFirstColumn="0" w:firstRowLastColumn="0" w:lastRowFirstColumn="0" w:lastRowLastColumn="0"/>
            <w:tcW w:w="2155" w:type="dxa"/>
          </w:tcPr>
          <w:p w:rsidR="00AA3CAF" w:rsidRPr="00020312" w:rsidRDefault="00AA3CAF" w:rsidP="00AA3CAF">
            <w:pPr>
              <w:rPr>
                <w:b w:val="0"/>
              </w:rPr>
            </w:pPr>
            <w:r>
              <w:rPr>
                <w:b w:val="0"/>
              </w:rPr>
              <w:t>Mick Hanna</w:t>
            </w:r>
          </w:p>
        </w:tc>
        <w:tc>
          <w:tcPr>
            <w:tcW w:w="1411"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r>
              <w:t>ERCOT</w:t>
            </w:r>
          </w:p>
        </w:tc>
        <w:tc>
          <w:tcPr>
            <w:tcW w:w="2099"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r>
              <w:t>Dave Michelson</w:t>
            </w:r>
          </w:p>
        </w:tc>
        <w:tc>
          <w:tcPr>
            <w:tcW w:w="1800"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r>
              <w:t>ERCOT</w:t>
            </w:r>
          </w:p>
        </w:tc>
        <w:tc>
          <w:tcPr>
            <w:tcW w:w="1890"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p>
        </w:tc>
        <w:tc>
          <w:tcPr>
            <w:tcW w:w="1710" w:type="dxa"/>
          </w:tcPr>
          <w:p w:rsidR="00AA3CAF" w:rsidRPr="00020312" w:rsidRDefault="00AA3CAF" w:rsidP="00AA3CAF">
            <w:pPr>
              <w:cnfStyle w:val="000000000000" w:firstRow="0" w:lastRow="0" w:firstColumn="0" w:lastColumn="0" w:oddVBand="0" w:evenVBand="0" w:oddHBand="0" w:evenHBand="0" w:firstRowFirstColumn="0" w:firstRowLastColumn="0" w:lastRowFirstColumn="0" w:lastRowLastColumn="0"/>
            </w:pPr>
          </w:p>
        </w:tc>
      </w:tr>
      <w:tr w:rsidR="00AA3CAF" w:rsidRPr="00020312" w:rsidTr="00496BC3">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55" w:type="dxa"/>
          </w:tcPr>
          <w:p w:rsidR="00AA3CAF" w:rsidRPr="00D17CF3" w:rsidRDefault="00AA3CAF" w:rsidP="00AA3CAF">
            <w:pPr>
              <w:rPr>
                <w:b w:val="0"/>
              </w:rPr>
            </w:pPr>
            <w:r>
              <w:rPr>
                <w:b w:val="0"/>
              </w:rPr>
              <w:t>Jordan Troublefield</w:t>
            </w:r>
          </w:p>
        </w:tc>
        <w:tc>
          <w:tcPr>
            <w:tcW w:w="1411"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AA3CAF" w:rsidRPr="00020312" w:rsidRDefault="001313EA" w:rsidP="00AA3CAF">
            <w:pPr>
              <w:cnfStyle w:val="000000100000" w:firstRow="0" w:lastRow="0" w:firstColumn="0" w:lastColumn="0" w:oddVBand="0" w:evenVBand="0" w:oddHBand="1" w:evenHBand="0" w:firstRowFirstColumn="0" w:firstRowLastColumn="0" w:lastRowFirstColumn="0" w:lastRowLastColumn="0"/>
            </w:pPr>
            <w:r>
              <w:t xml:space="preserve">Shiv Madari </w:t>
            </w:r>
          </w:p>
        </w:tc>
        <w:tc>
          <w:tcPr>
            <w:tcW w:w="1800" w:type="dxa"/>
          </w:tcPr>
          <w:p w:rsidR="00AA3CAF" w:rsidRPr="00020312" w:rsidRDefault="001313EA" w:rsidP="00AA3CAF">
            <w:pPr>
              <w:cnfStyle w:val="000000100000" w:firstRow="0" w:lastRow="0" w:firstColumn="0" w:lastColumn="0" w:oddVBand="0" w:evenVBand="0" w:oddHBand="1" w:evenHBand="0" w:firstRowFirstColumn="0" w:firstRowLastColumn="0" w:lastRowFirstColumn="0" w:lastRowLastColumn="0"/>
            </w:pPr>
            <w:r>
              <w:t>TXU</w:t>
            </w:r>
          </w:p>
        </w:tc>
        <w:tc>
          <w:tcPr>
            <w:tcW w:w="189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c>
          <w:tcPr>
            <w:tcW w:w="1710" w:type="dxa"/>
          </w:tcPr>
          <w:p w:rsidR="00AA3CAF" w:rsidRPr="00020312" w:rsidRDefault="00AA3CAF" w:rsidP="00AA3CAF">
            <w:pPr>
              <w:cnfStyle w:val="000000100000" w:firstRow="0" w:lastRow="0" w:firstColumn="0" w:lastColumn="0" w:oddVBand="0" w:evenVBand="0" w:oddHBand="1" w:evenHBand="0" w:firstRowFirstColumn="0" w:firstRowLastColumn="0" w:lastRowFirstColumn="0" w:lastRowLastColumn="0"/>
            </w:pPr>
          </w:p>
        </w:tc>
      </w:tr>
      <w:tr w:rsidR="00AA3CAF" w:rsidRPr="00020312" w:rsidTr="002E188E">
        <w:tc>
          <w:tcPr>
            <w:cnfStyle w:val="001000000000" w:firstRow="0" w:lastRow="0" w:firstColumn="1" w:lastColumn="0" w:oddVBand="0" w:evenVBand="0" w:oddHBand="0" w:evenHBand="0" w:firstRowFirstColumn="0" w:firstRowLastColumn="0" w:lastRowFirstColumn="0" w:lastRowLastColumn="0"/>
            <w:tcW w:w="11065" w:type="dxa"/>
            <w:gridSpan w:val="6"/>
          </w:tcPr>
          <w:p w:rsidR="00AA3CAF" w:rsidRPr="00020312" w:rsidRDefault="00AA3CAF" w:rsidP="00AA3CAF"/>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r w:rsidR="00AA3CAF">
        <w:rPr>
          <w:b/>
          <w:u w:val="single"/>
        </w:rPr>
        <w:t>,</w:t>
      </w:r>
      <w:r w:rsidR="00CE3D30">
        <w:rPr>
          <w:b/>
          <w:u w:val="single"/>
        </w:rPr>
        <w:t xml:space="preserve"> Antitrust</w:t>
      </w:r>
    </w:p>
    <w:p w:rsidR="00CE3D30" w:rsidRPr="00CE3D30" w:rsidRDefault="00CE3D30" w:rsidP="00245452">
      <w:pPr>
        <w:pStyle w:val="NoSpacing"/>
        <w:numPr>
          <w:ilvl w:val="0"/>
          <w:numId w:val="1"/>
        </w:numPr>
        <w:rPr>
          <w:u w:val="single"/>
        </w:rPr>
      </w:pPr>
      <w:r>
        <w:t xml:space="preserve">Antitrust Admonition was read by Sheri </w:t>
      </w:r>
    </w:p>
    <w:p w:rsidR="005645B7" w:rsidRPr="00496BC3" w:rsidRDefault="002F5B65" w:rsidP="00A241ED">
      <w:pPr>
        <w:pStyle w:val="NoSpacing"/>
        <w:numPr>
          <w:ilvl w:val="0"/>
          <w:numId w:val="1"/>
        </w:numPr>
        <w:rPr>
          <w:b/>
          <w:u w:val="single"/>
        </w:rPr>
      </w:pPr>
      <w:r>
        <w:t>M</w:t>
      </w:r>
      <w:r w:rsidR="00326666">
        <w:t xml:space="preserve">inutes </w:t>
      </w:r>
      <w:r w:rsidR="001D16C1">
        <w:t xml:space="preserve">from </w:t>
      </w:r>
      <w:r w:rsidR="00AA3CAF">
        <w:t>1/2</w:t>
      </w:r>
      <w:r w:rsidR="001313EA">
        <w:t>1</w:t>
      </w:r>
      <w:r>
        <w:t>/</w:t>
      </w:r>
      <w:r w:rsidR="00766E5D">
        <w:t>2</w:t>
      </w:r>
      <w:r w:rsidR="001313EA">
        <w:t>1</w:t>
      </w:r>
      <w:r w:rsidR="001D16C1">
        <w:t xml:space="preserve"> </w:t>
      </w:r>
      <w:r w:rsidR="00326666">
        <w:t>were approved</w:t>
      </w:r>
      <w:r w:rsidR="009D7657">
        <w:t xml:space="preserve"> </w:t>
      </w:r>
    </w:p>
    <w:p w:rsidR="00496BC3" w:rsidRPr="00496BC3" w:rsidRDefault="00496BC3" w:rsidP="00496BC3">
      <w:pPr>
        <w:pStyle w:val="NoSpacing"/>
        <w:ind w:left="720"/>
        <w:rPr>
          <w:b/>
          <w:u w:val="single"/>
        </w:rPr>
      </w:pPr>
    </w:p>
    <w:p w:rsidR="003C2B32" w:rsidRDefault="00351211" w:rsidP="005645B7">
      <w:pPr>
        <w:pStyle w:val="NoSpacing"/>
        <w:rPr>
          <w:b/>
          <w:u w:val="single"/>
        </w:rPr>
      </w:pPr>
      <w:r>
        <w:rPr>
          <w:b/>
          <w:u w:val="single"/>
        </w:rPr>
        <w:t xml:space="preserve">ERCOT </w:t>
      </w:r>
      <w:r w:rsidR="00CE3D30">
        <w:rPr>
          <w:b/>
          <w:u w:val="single"/>
        </w:rPr>
        <w:t xml:space="preserve">System Instances </w:t>
      </w:r>
      <w:r w:rsidR="00AA3CAF">
        <w:rPr>
          <w:b/>
          <w:u w:val="single"/>
        </w:rPr>
        <w:t>&amp;</w:t>
      </w:r>
      <w:r w:rsidR="00CE3D30">
        <w:rPr>
          <w:b/>
          <w:u w:val="single"/>
        </w:rPr>
        <w:t xml:space="preserve"> MarkeTrak Monthly Performance Review</w:t>
      </w:r>
    </w:p>
    <w:p w:rsidR="00C33E4E" w:rsidRDefault="000C319D" w:rsidP="00A241ED">
      <w:pPr>
        <w:pStyle w:val="NoSpacing"/>
        <w:numPr>
          <w:ilvl w:val="0"/>
          <w:numId w:val="1"/>
        </w:numPr>
      </w:pPr>
      <w:r>
        <w:t xml:space="preserve">All </w:t>
      </w:r>
      <w:r w:rsidR="008A3554">
        <w:t xml:space="preserve">Retail Market IT </w:t>
      </w:r>
      <w:r>
        <w:t xml:space="preserve">targets for </w:t>
      </w:r>
      <w:r w:rsidR="001313EA">
        <w:t>February</w:t>
      </w:r>
      <w:r>
        <w:t xml:space="preserve"> were met</w:t>
      </w:r>
    </w:p>
    <w:p w:rsidR="000C319D" w:rsidRDefault="008A3554" w:rsidP="00A241ED">
      <w:pPr>
        <w:pStyle w:val="NoSpacing"/>
        <w:numPr>
          <w:ilvl w:val="0"/>
          <w:numId w:val="1"/>
        </w:numPr>
      </w:pPr>
      <w:r>
        <w:t>Only on 2/4 were 814_20s held during an upgrade</w:t>
      </w:r>
    </w:p>
    <w:p w:rsidR="008A3554" w:rsidRDefault="000C319D" w:rsidP="00A241ED">
      <w:pPr>
        <w:pStyle w:val="NoSpacing"/>
        <w:numPr>
          <w:ilvl w:val="0"/>
          <w:numId w:val="1"/>
        </w:numPr>
      </w:pPr>
      <w:r>
        <w:t xml:space="preserve">MarkeTrak performance </w:t>
      </w:r>
      <w:r w:rsidR="008A3554">
        <w:t xml:space="preserve">availability </w:t>
      </w:r>
      <w:r>
        <w:t xml:space="preserve">remains good.  </w:t>
      </w:r>
      <w:r w:rsidR="008A3554">
        <w:t xml:space="preserve">API Query Detail target was not met </w:t>
      </w:r>
    </w:p>
    <w:p w:rsidR="008A3554" w:rsidRDefault="008A3554" w:rsidP="00A241ED">
      <w:pPr>
        <w:pStyle w:val="NoSpacing"/>
        <w:numPr>
          <w:ilvl w:val="0"/>
          <w:numId w:val="1"/>
        </w:numPr>
      </w:pPr>
      <w:r>
        <w:t xml:space="preserve">API update – found a site failover was running slower, a debug was turned ‘on’ which impacted Feb and likely March performance – ERCOT still finalizing </w:t>
      </w:r>
    </w:p>
    <w:p w:rsidR="00815480" w:rsidRDefault="000C319D" w:rsidP="00A241ED">
      <w:pPr>
        <w:pStyle w:val="NoSpacing"/>
        <w:numPr>
          <w:ilvl w:val="0"/>
          <w:numId w:val="1"/>
        </w:numPr>
      </w:pPr>
      <w:r>
        <w:t xml:space="preserve">Response times </w:t>
      </w:r>
      <w:r w:rsidR="008A3554">
        <w:t>had slight uptick in February performance</w:t>
      </w:r>
      <w:r>
        <w:t>.  See graph below</w:t>
      </w:r>
    </w:p>
    <w:p w:rsidR="000C319D" w:rsidRDefault="008A3554" w:rsidP="000C319D">
      <w:pPr>
        <w:pStyle w:val="NoSpacing"/>
      </w:pPr>
      <w:r>
        <w:rPr>
          <w:noProof/>
        </w:rPr>
        <w:drawing>
          <wp:inline distT="0" distB="0" distL="0" distR="0" wp14:anchorId="0050413F">
            <wp:extent cx="6016625" cy="1656546"/>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32411" cy="1660892"/>
                    </a:xfrm>
                    <a:prstGeom prst="rect">
                      <a:avLst/>
                    </a:prstGeom>
                    <a:noFill/>
                  </pic:spPr>
                </pic:pic>
              </a:graphicData>
            </a:graphic>
          </wp:inline>
        </w:drawing>
      </w:r>
    </w:p>
    <w:p w:rsidR="002F5B65" w:rsidRPr="002F5B65" w:rsidRDefault="002F5B65" w:rsidP="00331FF3">
      <w:pPr>
        <w:pStyle w:val="NoSpacing"/>
        <w:ind w:left="720" w:firstLine="720"/>
        <w:rPr>
          <w:b/>
          <w:u w:val="single"/>
        </w:rPr>
      </w:pPr>
    </w:p>
    <w:p w:rsidR="00331FF3" w:rsidRPr="000C319D" w:rsidRDefault="000C319D" w:rsidP="000C319D">
      <w:pPr>
        <w:pStyle w:val="NoSpacing"/>
        <w:numPr>
          <w:ilvl w:val="0"/>
          <w:numId w:val="12"/>
        </w:numPr>
        <w:rPr>
          <w:b/>
          <w:u w:val="single"/>
        </w:rPr>
      </w:pPr>
      <w:r>
        <w:t>May retail release extended outage 5/1 to 5/2</w:t>
      </w:r>
    </w:p>
    <w:p w:rsidR="000C319D" w:rsidRPr="000C319D" w:rsidRDefault="000C319D" w:rsidP="000C319D">
      <w:pPr>
        <w:pStyle w:val="NoSpacing"/>
        <w:numPr>
          <w:ilvl w:val="1"/>
          <w:numId w:val="12"/>
        </w:numPr>
        <w:rPr>
          <w:b/>
          <w:u w:val="single"/>
        </w:rPr>
      </w:pPr>
      <w:r>
        <w:t>Longer than normal outage will be required due to migration into RMTE and moving a database activity</w:t>
      </w:r>
    </w:p>
    <w:p w:rsidR="00DA1B12" w:rsidRPr="00DA1B12" w:rsidRDefault="00DA1B12" w:rsidP="000C319D">
      <w:pPr>
        <w:pStyle w:val="NoSpacing"/>
        <w:numPr>
          <w:ilvl w:val="1"/>
          <w:numId w:val="12"/>
        </w:numPr>
        <w:rPr>
          <w:b/>
          <w:u w:val="single"/>
        </w:rPr>
      </w:pPr>
      <w:r>
        <w:t xml:space="preserve">ERCOT will attempt to ‘tighten up’ needed window </w:t>
      </w:r>
    </w:p>
    <w:p w:rsidR="00DA1B12" w:rsidRPr="00DA1B12" w:rsidRDefault="00DA1B12" w:rsidP="000C319D">
      <w:pPr>
        <w:pStyle w:val="NoSpacing"/>
        <w:numPr>
          <w:ilvl w:val="1"/>
          <w:numId w:val="12"/>
        </w:numPr>
        <w:rPr>
          <w:b/>
          <w:u w:val="single"/>
        </w:rPr>
      </w:pPr>
      <w:r>
        <w:t>Market call will be held on Monday, April 5</w:t>
      </w:r>
      <w:r w:rsidRPr="00DA1B12">
        <w:rPr>
          <w:vertAlign w:val="superscript"/>
        </w:rPr>
        <w:t>th</w:t>
      </w:r>
      <w:r>
        <w:t xml:space="preserve"> with final decision from ERCOT regarding needed window.  MPs communicated 7PM Saturday through 7AM Monday is the optimal window which would not impact market operations and customer expectations, otherwise, work-arounds will need to be considered if ERCOT moves outage window to 2 PM Saturday through Sunday evening</w:t>
      </w:r>
    </w:p>
    <w:p w:rsidR="007E4B3E" w:rsidRPr="00DA1B12" w:rsidRDefault="007E4B3E" w:rsidP="007E4B3E">
      <w:pPr>
        <w:pStyle w:val="NoSpacing"/>
        <w:numPr>
          <w:ilvl w:val="0"/>
          <w:numId w:val="12"/>
        </w:numPr>
        <w:rPr>
          <w:b/>
          <w:u w:val="single"/>
        </w:rPr>
      </w:pPr>
      <w:r>
        <w:t>February 6</w:t>
      </w:r>
      <w:r w:rsidRPr="007E4B3E">
        <w:rPr>
          <w:vertAlign w:val="superscript"/>
        </w:rPr>
        <w:t>th</w:t>
      </w:r>
      <w:r>
        <w:t xml:space="preserve"> and 7</w:t>
      </w:r>
      <w:r w:rsidRPr="007E4B3E">
        <w:rPr>
          <w:vertAlign w:val="superscript"/>
        </w:rPr>
        <w:t>th</w:t>
      </w:r>
      <w:r>
        <w:t xml:space="preserve"> – normal retail release weekend scheduled</w:t>
      </w:r>
      <w:r w:rsidR="00DA1B12">
        <w:t xml:space="preserve"> and market notice with attachment typically refers to any NPRRs and O&amp;M.  Kathy noted the IDR Compliance report format was noted to change which directly impacts the 867_03 TDU reports.  Kathy indicated the notice was not clear as to the impacts and could easily be missed by impacted stakeholders.  Dave indicated he would take up the issue at ERCOT regarding the communication.</w:t>
      </w:r>
    </w:p>
    <w:p w:rsidR="00DA1B12" w:rsidRPr="008C13D1" w:rsidRDefault="00DA1B12" w:rsidP="007E4B3E">
      <w:pPr>
        <w:pStyle w:val="NoSpacing"/>
        <w:numPr>
          <w:ilvl w:val="0"/>
          <w:numId w:val="12"/>
        </w:numPr>
        <w:rPr>
          <w:b/>
          <w:u w:val="single"/>
        </w:rPr>
      </w:pPr>
      <w:r>
        <w:t xml:space="preserve">TLS 1.0 will be deprecated in Q2 </w:t>
      </w:r>
      <w:r w:rsidR="002E4A02">
        <w:t xml:space="preserve">with ERCOT submitting a </w:t>
      </w:r>
      <w:r w:rsidR="00E26300">
        <w:t xml:space="preserve">10-day and 1-day </w:t>
      </w:r>
      <w:r w:rsidR="002E4A02">
        <w:t xml:space="preserve">market notice </w:t>
      </w:r>
      <w:r w:rsidR="00E26300">
        <w:t>to alert impacted parties.</w:t>
      </w:r>
    </w:p>
    <w:p w:rsidR="008C13D1" w:rsidRDefault="008C13D1" w:rsidP="008C13D1">
      <w:pPr>
        <w:pStyle w:val="NoSpacing"/>
      </w:pPr>
    </w:p>
    <w:p w:rsidR="008C13D1" w:rsidRDefault="008C13D1" w:rsidP="008C13D1">
      <w:pPr>
        <w:pStyle w:val="NoSpacing"/>
      </w:pPr>
    </w:p>
    <w:p w:rsidR="008C13D1" w:rsidRPr="00E26300" w:rsidRDefault="008C13D1" w:rsidP="008C13D1">
      <w:pPr>
        <w:pStyle w:val="NoSpacing"/>
        <w:rPr>
          <w:b/>
          <w:u w:val="single"/>
        </w:rPr>
      </w:pPr>
    </w:p>
    <w:p w:rsidR="004222C3" w:rsidRDefault="005719FD" w:rsidP="004222C3">
      <w:pPr>
        <w:pStyle w:val="NoSpacing"/>
        <w:rPr>
          <w:b/>
          <w:u w:val="single"/>
        </w:rPr>
      </w:pPr>
      <w:r>
        <w:rPr>
          <w:b/>
          <w:u w:val="single"/>
        </w:rPr>
        <w:lastRenderedPageBreak/>
        <w:t>Proposal for daily Switch Hold Daily files to post to ERCOT</w:t>
      </w:r>
      <w:r w:rsidR="004222C3" w:rsidRPr="004222C3">
        <w:rPr>
          <w:b/>
          <w:u w:val="single"/>
        </w:rPr>
        <w:t xml:space="preserve"> </w:t>
      </w:r>
    </w:p>
    <w:p w:rsidR="00F83FF7" w:rsidRDefault="00E26300" w:rsidP="00F83FF7">
      <w:pPr>
        <w:pStyle w:val="NoSpacing"/>
      </w:pPr>
      <w:r>
        <w:t xml:space="preserve">Dave Michelson reported initial attempts at resolution were made, however, attention has been focused on the impacts of Winter Storm Uri and an update is not available.  </w:t>
      </w:r>
    </w:p>
    <w:p w:rsidR="00E26300" w:rsidRDefault="00E26300" w:rsidP="00F83FF7">
      <w:pPr>
        <w:pStyle w:val="NoSpacing"/>
      </w:pPr>
      <w:r w:rsidRPr="00E26300">
        <w:rPr>
          <w:b/>
        </w:rPr>
        <w:t>FOLLOW UP</w:t>
      </w:r>
      <w:r>
        <w:t>:  Dave reported after the meeting the following SCR was developed and circulated, yet resources are scarce.  We will address at next month’s TDTMS meeting.</w:t>
      </w:r>
    </w:p>
    <w:p w:rsidR="00E26300" w:rsidRDefault="00E26300" w:rsidP="00F83FF7">
      <w:pPr>
        <w:pStyle w:val="NoSpacing"/>
      </w:pPr>
    </w:p>
    <w:p w:rsidR="00E26300" w:rsidRDefault="00FE7F39" w:rsidP="00F83FF7">
      <w:pPr>
        <w:pStyle w:val="NoSpacing"/>
        <w:rPr>
          <w:b/>
          <w:u w:val="single"/>
        </w:rPr>
      </w:pPr>
      <w:r>
        <w:rPr>
          <w:b/>
          <w:u w:val="single"/>
        </w:rPr>
        <w:t xml:space="preserve">Biannual </w:t>
      </w:r>
      <w:r w:rsidR="009D07DF">
        <w:rPr>
          <w:b/>
          <w:u w:val="single"/>
        </w:rPr>
        <w:t>Review of overall MarkeTrak Subtype Volumes</w:t>
      </w:r>
    </w:p>
    <w:p w:rsidR="009D07DF" w:rsidRDefault="009D07DF" w:rsidP="00F83FF7">
      <w:pPr>
        <w:pStyle w:val="NoSpacing"/>
      </w:pPr>
      <w:r>
        <w:t>The data from the latter half of 2020 was reviewed with the following observations:</w:t>
      </w:r>
    </w:p>
    <w:p w:rsidR="009D07DF" w:rsidRDefault="009D07DF" w:rsidP="009D07DF">
      <w:pPr>
        <w:pStyle w:val="NoSpacing"/>
        <w:numPr>
          <w:ilvl w:val="0"/>
          <w:numId w:val="16"/>
        </w:numPr>
      </w:pPr>
      <w:r>
        <w:t xml:space="preserve">Higher volume of </w:t>
      </w:r>
      <w:r w:rsidRPr="009D07DF">
        <w:rPr>
          <w:i/>
        </w:rPr>
        <w:t>Switch Holds</w:t>
      </w:r>
      <w:r>
        <w:t xml:space="preserve"> resulting from ERP conclusion and the offering of DPPs</w:t>
      </w:r>
    </w:p>
    <w:p w:rsidR="009D07DF" w:rsidRDefault="009D07DF" w:rsidP="009D07DF">
      <w:pPr>
        <w:pStyle w:val="NoSpacing"/>
        <w:numPr>
          <w:ilvl w:val="0"/>
          <w:numId w:val="16"/>
        </w:numPr>
      </w:pPr>
      <w:r>
        <w:t>Some seasonal activity (typical higher volumes in latter half YOY)</w:t>
      </w:r>
    </w:p>
    <w:p w:rsidR="009D07DF" w:rsidRDefault="009D07DF" w:rsidP="009D07DF">
      <w:pPr>
        <w:pStyle w:val="NoSpacing"/>
        <w:numPr>
          <w:ilvl w:val="0"/>
          <w:numId w:val="16"/>
        </w:numPr>
      </w:pPr>
      <w:r>
        <w:t xml:space="preserve">D2D activity </w:t>
      </w:r>
      <w:proofErr w:type="gramStart"/>
      <w:r>
        <w:t>opened up</w:t>
      </w:r>
      <w:proofErr w:type="gramEnd"/>
      <w:r>
        <w:t xml:space="preserve"> later in 2020 potentially contributing to higher volume of </w:t>
      </w:r>
      <w:r w:rsidRPr="009D07DF">
        <w:rPr>
          <w:i/>
        </w:rPr>
        <w:t>IAGs/IALs</w:t>
      </w:r>
    </w:p>
    <w:p w:rsidR="009D07DF" w:rsidRDefault="009D07DF" w:rsidP="009D07DF">
      <w:pPr>
        <w:pStyle w:val="NoSpacing"/>
        <w:numPr>
          <w:ilvl w:val="0"/>
          <w:numId w:val="16"/>
        </w:numPr>
      </w:pPr>
      <w:r>
        <w:t xml:space="preserve">Market participant stabilization period post system conversion continued into latter half of 2020 with higher volume of </w:t>
      </w:r>
      <w:r w:rsidRPr="009D07DF">
        <w:rPr>
          <w:i/>
        </w:rPr>
        <w:t>Usage &amp; Billing – Missing</w:t>
      </w:r>
      <w:r>
        <w:t xml:space="preserve"> and </w:t>
      </w:r>
      <w:r w:rsidRPr="009D07DF">
        <w:rPr>
          <w:i/>
        </w:rPr>
        <w:t>Siebel Changes</w:t>
      </w:r>
    </w:p>
    <w:p w:rsidR="009D07DF" w:rsidRDefault="009D07DF" w:rsidP="009D07DF">
      <w:pPr>
        <w:pStyle w:val="NoSpacing"/>
        <w:numPr>
          <w:ilvl w:val="0"/>
          <w:numId w:val="16"/>
        </w:numPr>
      </w:pPr>
      <w:r>
        <w:t xml:space="preserve">Drop in </w:t>
      </w:r>
      <w:r w:rsidRPr="009D07DF">
        <w:rPr>
          <w:i/>
        </w:rPr>
        <w:t>AMS LSE Disputes</w:t>
      </w:r>
      <w:r>
        <w:rPr>
          <w:i/>
        </w:rPr>
        <w:t xml:space="preserve"> </w:t>
      </w:r>
      <w:r>
        <w:t>with improved data quality of LSE files</w:t>
      </w:r>
    </w:p>
    <w:p w:rsidR="008C13D1" w:rsidRPr="008C13D1" w:rsidRDefault="008C13D1" w:rsidP="009D07DF">
      <w:pPr>
        <w:pStyle w:val="NoSpacing"/>
        <w:numPr>
          <w:ilvl w:val="0"/>
          <w:numId w:val="16"/>
        </w:numPr>
        <w:rPr>
          <w:i/>
        </w:rPr>
      </w:pPr>
      <w:r w:rsidRPr="008C13D1">
        <w:rPr>
          <w:i/>
        </w:rPr>
        <w:t>Market Rule</w:t>
      </w:r>
      <w:r>
        <w:rPr>
          <w:i/>
        </w:rPr>
        <w:t xml:space="preserve"> </w:t>
      </w:r>
      <w:r>
        <w:t>still elevated as ERP program concluded in Q3 2020</w:t>
      </w:r>
    </w:p>
    <w:p w:rsidR="009D07DF" w:rsidRDefault="009D07DF" w:rsidP="00F83FF7">
      <w:pPr>
        <w:pStyle w:val="NoSpacing"/>
      </w:pPr>
      <w:r w:rsidRPr="009D07DF">
        <w:drawing>
          <wp:inline distT="0" distB="0" distL="0" distR="0">
            <wp:extent cx="6800850" cy="300398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0850" cy="3003980"/>
                    </a:xfrm>
                    <a:prstGeom prst="rect">
                      <a:avLst/>
                    </a:prstGeom>
                    <a:noFill/>
                    <a:ln>
                      <a:noFill/>
                    </a:ln>
                  </pic:spPr>
                </pic:pic>
              </a:graphicData>
            </a:graphic>
          </wp:inline>
        </w:drawing>
      </w:r>
    </w:p>
    <w:p w:rsidR="009D07DF" w:rsidRDefault="009D07DF" w:rsidP="00F83FF7">
      <w:pPr>
        <w:pStyle w:val="NoSpacing"/>
      </w:pPr>
    </w:p>
    <w:p w:rsidR="009D07DF" w:rsidRDefault="009D07DF" w:rsidP="00F83FF7">
      <w:pPr>
        <w:pStyle w:val="NoSpacing"/>
      </w:pPr>
      <w:r>
        <w:rPr>
          <w:noProof/>
        </w:rPr>
        <w:drawing>
          <wp:inline distT="0" distB="0" distL="0" distR="0" wp14:anchorId="34931C68">
            <wp:extent cx="6802120" cy="33165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031" cy="3321823"/>
                    </a:xfrm>
                    <a:prstGeom prst="rect">
                      <a:avLst/>
                    </a:prstGeom>
                    <a:noFill/>
                  </pic:spPr>
                </pic:pic>
              </a:graphicData>
            </a:graphic>
          </wp:inline>
        </w:drawing>
      </w:r>
    </w:p>
    <w:p w:rsidR="008C13D1" w:rsidRDefault="008C13D1" w:rsidP="00F83FF7">
      <w:pPr>
        <w:pStyle w:val="NoSpacing"/>
      </w:pPr>
    </w:p>
    <w:p w:rsidR="008C13D1" w:rsidRPr="008C13D1" w:rsidRDefault="008C13D1" w:rsidP="00F83FF7">
      <w:pPr>
        <w:pStyle w:val="NoSpacing"/>
        <w:rPr>
          <w:b/>
          <w:u w:val="single"/>
        </w:rPr>
      </w:pPr>
      <w:r w:rsidRPr="008C13D1">
        <w:rPr>
          <w:b/>
          <w:u w:val="single"/>
        </w:rPr>
        <w:t>ERCOT MIS API Functionality</w:t>
      </w:r>
    </w:p>
    <w:p w:rsidR="008C13D1" w:rsidRDefault="008C13D1" w:rsidP="00F83FF7">
      <w:pPr>
        <w:pStyle w:val="NoSpacing"/>
      </w:pPr>
      <w:r>
        <w:t xml:space="preserve">Kyle reported their teams were initially struggling with development and documentation of an MIS API but have since gained a better understanding.  One issue is that the documentation provided from ERCOT is dated and limited.  </w:t>
      </w:r>
    </w:p>
    <w:p w:rsidR="008C13D1" w:rsidRDefault="008C13D1" w:rsidP="00F83FF7">
      <w:pPr>
        <w:pStyle w:val="NoSpacing"/>
      </w:pPr>
      <w:r>
        <w:t xml:space="preserve">Another issue with an MIS API is the ability to view the same information via API as is in the GUI.  API functionality currently limits visibility of activity by DUNS.  Previously Aubrey (ERCOT) had discussed the visual of MIS API to be that of the GUI and not just the information in the public area.  The question is where does this get pushed?  By market participants?  </w:t>
      </w:r>
      <w:r w:rsidR="00780949">
        <w:t xml:space="preserve">If so, </w:t>
      </w:r>
      <w:proofErr w:type="spellStart"/>
      <w:r w:rsidR="00780949">
        <w:t>Vistra</w:t>
      </w:r>
      <w:proofErr w:type="spellEnd"/>
      <w:r w:rsidR="00780949">
        <w:t xml:space="preserve"> and NRG expressed interest in pursuing.</w:t>
      </w:r>
    </w:p>
    <w:p w:rsidR="008C13D1" w:rsidRDefault="008C13D1" w:rsidP="00F83FF7">
      <w:pPr>
        <w:pStyle w:val="NoSpacing"/>
      </w:pPr>
      <w:r w:rsidRPr="008C13D1">
        <w:rPr>
          <w:highlight w:val="yellow"/>
          <w:u w:val="single"/>
        </w:rPr>
        <w:t>ACTION:</w:t>
      </w:r>
      <w:r>
        <w:rPr>
          <w:u w:val="single"/>
        </w:rPr>
        <w:t xml:space="preserve"> </w:t>
      </w:r>
      <w:r>
        <w:t>Mick was to follow up with ERCOT</w:t>
      </w:r>
      <w:r w:rsidR="00780949">
        <w:t xml:space="preserve"> on the EWS with any anti-trust limitations.  </w:t>
      </w:r>
    </w:p>
    <w:p w:rsidR="00780949" w:rsidRDefault="00780949" w:rsidP="00F83FF7">
      <w:pPr>
        <w:pStyle w:val="NoSpacing"/>
      </w:pPr>
    </w:p>
    <w:p w:rsidR="00780949" w:rsidRDefault="00780949" w:rsidP="00F83FF7">
      <w:pPr>
        <w:pStyle w:val="NoSpacing"/>
        <w:rPr>
          <w:b/>
          <w:u w:val="single"/>
        </w:rPr>
      </w:pPr>
      <w:r>
        <w:rPr>
          <w:b/>
          <w:u w:val="single"/>
        </w:rPr>
        <w:t>Switch Hold Documentation</w:t>
      </w:r>
    </w:p>
    <w:p w:rsidR="00780949" w:rsidRDefault="00780949" w:rsidP="00780949">
      <w:pPr>
        <w:pStyle w:val="NoSpacing"/>
        <w:numPr>
          <w:ilvl w:val="0"/>
          <w:numId w:val="17"/>
        </w:numPr>
      </w:pPr>
      <w:r>
        <w:t xml:space="preserve">Kyle had reported NRG was receiving rejections for Switch Hold removals by some TDSPs due to the lease agreements were not dated within the last 60 days.  </w:t>
      </w:r>
    </w:p>
    <w:p w:rsidR="00780949" w:rsidRDefault="00780949" w:rsidP="00780949">
      <w:pPr>
        <w:pStyle w:val="NoSpacing"/>
        <w:numPr>
          <w:ilvl w:val="0"/>
          <w:numId w:val="17"/>
        </w:numPr>
      </w:pPr>
      <w:r>
        <w:t xml:space="preserve">The protocols were reviewed in the meeting on the required documentation and the only date specified is that of the electric/utility bill is required to be in the requesting parties name within the last 60 days.  </w:t>
      </w:r>
    </w:p>
    <w:p w:rsidR="00780949" w:rsidRDefault="00780949" w:rsidP="00780949">
      <w:pPr>
        <w:pStyle w:val="NoSpacing"/>
        <w:numPr>
          <w:ilvl w:val="0"/>
          <w:numId w:val="17"/>
        </w:numPr>
      </w:pPr>
      <w:r>
        <w:t xml:space="preserve">REPs indicated they preferred no time parameter </w:t>
      </w:r>
      <w:r w:rsidR="00ED7D16">
        <w:t xml:space="preserve">on the lease </w:t>
      </w:r>
      <w:r>
        <w:t xml:space="preserve">allowing flexibility for investigation – in other words, if SH was applied </w:t>
      </w:r>
      <w:proofErr w:type="spellStart"/>
      <w:r>
        <w:t>post date</w:t>
      </w:r>
      <w:proofErr w:type="spellEnd"/>
      <w:r>
        <w:t xml:space="preserve"> on the lease, the removal of the SH could be rejected. </w:t>
      </w:r>
    </w:p>
    <w:p w:rsidR="005D1EE7" w:rsidRDefault="005D1EE7" w:rsidP="00780949">
      <w:pPr>
        <w:pStyle w:val="NoSpacing"/>
        <w:numPr>
          <w:ilvl w:val="0"/>
          <w:numId w:val="17"/>
        </w:numPr>
      </w:pPr>
      <w:proofErr w:type="spellStart"/>
      <w:r>
        <w:t>Vistra</w:t>
      </w:r>
      <w:proofErr w:type="spellEnd"/>
      <w:r>
        <w:t xml:space="preserve"> introduced they would like to see a phone number as a required field on the New Occupancy Statement (NOS) where request for removal may be denied or unexecuted for invalid documentation.  </w:t>
      </w:r>
    </w:p>
    <w:p w:rsidR="005D1EE7" w:rsidRDefault="005D1EE7" w:rsidP="00780949">
      <w:pPr>
        <w:pStyle w:val="NoSpacing"/>
        <w:numPr>
          <w:ilvl w:val="0"/>
          <w:numId w:val="17"/>
        </w:numPr>
      </w:pPr>
      <w:proofErr w:type="spellStart"/>
      <w:r>
        <w:t>Vistra</w:t>
      </w:r>
      <w:proofErr w:type="spellEnd"/>
      <w:r>
        <w:t xml:space="preserve"> also noted additional clarity around warranty deeds as not being an acceptable form of documentation should be added to the guides.  </w:t>
      </w:r>
    </w:p>
    <w:p w:rsidR="00780949" w:rsidRDefault="00780949" w:rsidP="00F83FF7">
      <w:pPr>
        <w:pStyle w:val="NoSpacing"/>
      </w:pPr>
      <w:r w:rsidRPr="005D1EE7">
        <w:rPr>
          <w:highlight w:val="yellow"/>
          <w:u w:val="single"/>
        </w:rPr>
        <w:t>ACTION</w:t>
      </w:r>
      <w:r>
        <w:t>:  TDSPs will consult their teams if the interpretation on the lease agreements bein</w:t>
      </w:r>
      <w:r w:rsidR="005D1EE7">
        <w:t>g dated within the last 60 days is considered in their decision on the removal of the switch hold.</w:t>
      </w:r>
      <w:r>
        <w:t xml:space="preserve">  </w:t>
      </w:r>
    </w:p>
    <w:p w:rsidR="005D1EE7" w:rsidRDefault="005D1EE7" w:rsidP="005D1EE7">
      <w:pPr>
        <w:pStyle w:val="NoSpacing"/>
      </w:pPr>
      <w:r w:rsidRPr="005D1EE7">
        <w:rPr>
          <w:highlight w:val="yellow"/>
          <w:u w:val="single"/>
        </w:rPr>
        <w:t>ACTION</w:t>
      </w:r>
      <w:r>
        <w:t xml:space="preserve">: </w:t>
      </w:r>
      <w:proofErr w:type="spellStart"/>
      <w:r>
        <w:t>Vistra</w:t>
      </w:r>
      <w:proofErr w:type="spellEnd"/>
      <w:r>
        <w:t xml:space="preserve"> will propose an RMGRR </w:t>
      </w:r>
      <w:r>
        <w:t>seeking clarity on the above and review at the next TDTMS.</w:t>
      </w:r>
    </w:p>
    <w:p w:rsidR="005D1EE7" w:rsidRDefault="005D1EE7" w:rsidP="005D1EE7">
      <w:pPr>
        <w:pStyle w:val="NoSpacing"/>
      </w:pPr>
    </w:p>
    <w:p w:rsidR="005D1EE7" w:rsidRDefault="005D1EE7" w:rsidP="005D1EE7">
      <w:pPr>
        <w:pStyle w:val="NoSpacing"/>
      </w:pPr>
      <w:r w:rsidRPr="005D1EE7">
        <w:rPr>
          <w:b/>
          <w:u w:val="single"/>
        </w:rPr>
        <w:t>Review of ERCOT’s IAG report from December 2020 stats</w:t>
      </w:r>
      <w:r>
        <w:t xml:space="preserve"> posted to the March RMS page</w:t>
      </w:r>
      <w:r>
        <w:t xml:space="preserve">  </w:t>
      </w:r>
    </w:p>
    <w:p w:rsidR="005D1EE7" w:rsidRDefault="00AB5B26" w:rsidP="00F83FF7">
      <w:pPr>
        <w:pStyle w:val="NoSpacing"/>
      </w:pPr>
      <w:r>
        <w:t>The working group reviewed the latest IAG report and noted the following:</w:t>
      </w:r>
    </w:p>
    <w:p w:rsidR="00AB5B26" w:rsidRDefault="00AB5B26" w:rsidP="00AB5B26">
      <w:pPr>
        <w:pStyle w:val="NoSpacing"/>
        <w:numPr>
          <w:ilvl w:val="0"/>
          <w:numId w:val="18"/>
        </w:numPr>
      </w:pPr>
      <w:r>
        <w:t>Volume of IALs are up and have been increasing over the last couple of years</w:t>
      </w:r>
    </w:p>
    <w:p w:rsidR="00AB5B26" w:rsidRDefault="00AB5B26" w:rsidP="00AB5B26">
      <w:pPr>
        <w:pStyle w:val="NoSpacing"/>
        <w:numPr>
          <w:ilvl w:val="0"/>
          <w:numId w:val="18"/>
        </w:numPr>
      </w:pPr>
      <w:r>
        <w:t>Offenders (higher percentage of IAGs to transactions) remain the same as some REPs have continuously maintained the higher percentages recording over 1% for an entire year</w:t>
      </w:r>
    </w:p>
    <w:p w:rsidR="00AB5B26" w:rsidRDefault="00AB5B26" w:rsidP="00AB5B26">
      <w:pPr>
        <w:pStyle w:val="NoSpacing"/>
        <w:numPr>
          <w:ilvl w:val="0"/>
          <w:numId w:val="18"/>
        </w:numPr>
      </w:pPr>
      <w:r>
        <w:t xml:space="preserve">Switch/Enrollment activity has increased toward the end of 2020, likely a result of COVID impacts </w:t>
      </w:r>
    </w:p>
    <w:p w:rsidR="00AB5B26" w:rsidRDefault="00AB5B26" w:rsidP="00AB5B26">
      <w:pPr>
        <w:pStyle w:val="NoSpacing"/>
      </w:pPr>
    </w:p>
    <w:p w:rsidR="00AB5B26" w:rsidRDefault="00AB5B26" w:rsidP="00AB5B26">
      <w:pPr>
        <w:pStyle w:val="NoSpacing"/>
      </w:pPr>
      <w:proofErr w:type="spellStart"/>
      <w:r w:rsidRPr="00AB5B26">
        <w:rPr>
          <w:b/>
          <w:u w:val="single"/>
        </w:rPr>
        <w:t>Unexecutable</w:t>
      </w:r>
      <w:proofErr w:type="spellEnd"/>
      <w:r w:rsidRPr="00AB5B26">
        <w:rPr>
          <w:b/>
          <w:u w:val="single"/>
        </w:rPr>
        <w:t xml:space="preserve"> IAG MTs</w:t>
      </w:r>
      <w:r>
        <w:t xml:space="preserve"> – July 2019 to July 2020</w:t>
      </w:r>
    </w:p>
    <w:p w:rsidR="00AB5B26" w:rsidRDefault="001E6DA0" w:rsidP="00AB5B26">
      <w:pPr>
        <w:pStyle w:val="NoSpacing"/>
      </w:pPr>
      <w:r>
        <w:t xml:space="preserve">A full year of IAS data </w:t>
      </w:r>
      <w:r w:rsidR="00AA104F">
        <w:t xml:space="preserve">(July 2019 to July 2020) was reviewed to determine timing on the processing </w:t>
      </w:r>
      <w:r w:rsidR="00AA104F">
        <w:t xml:space="preserve">and </w:t>
      </w:r>
      <w:r w:rsidR="00AA104F">
        <w:t xml:space="preserve">the </w:t>
      </w:r>
      <w:r w:rsidR="00AA104F">
        <w:t xml:space="preserve">primary reasons </w:t>
      </w:r>
      <w:r w:rsidR="00AA104F">
        <w:t xml:space="preserve">for </w:t>
      </w:r>
      <w:proofErr w:type="spellStart"/>
      <w:r w:rsidR="00AA104F">
        <w:t>Unexecutable</w:t>
      </w:r>
      <w:proofErr w:type="spellEnd"/>
      <w:r w:rsidR="00AA104F">
        <w:t xml:space="preserve"> – IAGs, IALs, and Rescissions.  Below are the findings as they compare to the IAG and IAL review.  </w:t>
      </w:r>
    </w:p>
    <w:p w:rsidR="00AA104F" w:rsidRDefault="00AA104F" w:rsidP="00AB5B26">
      <w:pPr>
        <w:pStyle w:val="NoSpacing"/>
      </w:pPr>
      <w:r>
        <w:t>First, a few overall notables:</w:t>
      </w:r>
    </w:p>
    <w:p w:rsidR="00AA104F" w:rsidRDefault="00AA104F" w:rsidP="00AA104F">
      <w:pPr>
        <w:pStyle w:val="NoSpacing"/>
        <w:numPr>
          <w:ilvl w:val="0"/>
          <w:numId w:val="19"/>
        </w:numPr>
      </w:pPr>
      <w:r>
        <w:t>Of the ~44,000 MTs reviewed, only 1553 were unexecuted indicating only ~3.4% of the submitted MTs are Unexecuted for one of the following reasons:</w:t>
      </w:r>
    </w:p>
    <w:p w:rsidR="00AA104F" w:rsidRPr="00D24CFB" w:rsidRDefault="00AA104F" w:rsidP="00AA104F">
      <w:pPr>
        <w:pStyle w:val="NoSpacing"/>
        <w:numPr>
          <w:ilvl w:val="1"/>
          <w:numId w:val="19"/>
        </w:numPr>
        <w:rPr>
          <w:i/>
        </w:rPr>
      </w:pPr>
      <w:r w:rsidRPr="00D24CFB">
        <w:rPr>
          <w:i/>
        </w:rPr>
        <w:t xml:space="preserve">Broken due to a </w:t>
      </w:r>
      <w:proofErr w:type="gramStart"/>
      <w:r w:rsidRPr="00D24CFB">
        <w:rPr>
          <w:i/>
        </w:rPr>
        <w:t>third party</w:t>
      </w:r>
      <w:proofErr w:type="gramEnd"/>
      <w:r w:rsidRPr="00D24CFB">
        <w:rPr>
          <w:i/>
        </w:rPr>
        <w:t xml:space="preserve"> transaction</w:t>
      </w:r>
      <w:r w:rsidRPr="00D24CFB">
        <w:rPr>
          <w:i/>
        </w:rPr>
        <w:tab/>
      </w:r>
    </w:p>
    <w:p w:rsidR="00AA104F" w:rsidRDefault="00AA104F" w:rsidP="00AA104F">
      <w:pPr>
        <w:pStyle w:val="NoSpacing"/>
        <w:numPr>
          <w:ilvl w:val="2"/>
          <w:numId w:val="19"/>
        </w:numPr>
      </w:pPr>
      <w:r>
        <w:t xml:space="preserve">Of the </w:t>
      </w:r>
      <w:r w:rsidRPr="00307922">
        <w:rPr>
          <w:b/>
        </w:rPr>
        <w:t>301 IAGs</w:t>
      </w:r>
      <w:r>
        <w:t xml:space="preserve"> unexecuted, 212 were broken, 70%</w:t>
      </w:r>
    </w:p>
    <w:p w:rsidR="00AA104F" w:rsidRDefault="00AA104F" w:rsidP="00AA104F">
      <w:pPr>
        <w:pStyle w:val="NoSpacing"/>
        <w:numPr>
          <w:ilvl w:val="2"/>
          <w:numId w:val="19"/>
        </w:numPr>
      </w:pPr>
      <w:r>
        <w:t xml:space="preserve">Of the </w:t>
      </w:r>
      <w:r w:rsidRPr="00307922">
        <w:rPr>
          <w:b/>
        </w:rPr>
        <w:t>1236 IALs</w:t>
      </w:r>
      <w:r>
        <w:t xml:space="preserve"> unexecuted, 132 were broken, 11%</w:t>
      </w:r>
    </w:p>
    <w:p w:rsidR="00307922" w:rsidRDefault="00307922" w:rsidP="00AA104F">
      <w:pPr>
        <w:pStyle w:val="NoSpacing"/>
        <w:numPr>
          <w:ilvl w:val="2"/>
          <w:numId w:val="19"/>
        </w:numPr>
      </w:pPr>
      <w:r>
        <w:t xml:space="preserve">Of the </w:t>
      </w:r>
      <w:r w:rsidRPr="00307922">
        <w:rPr>
          <w:b/>
        </w:rPr>
        <w:t>16 RESCs</w:t>
      </w:r>
      <w:r>
        <w:t xml:space="preserve"> unexecuted, 11 were broken, 69%</w:t>
      </w:r>
    </w:p>
    <w:p w:rsidR="00AA104F" w:rsidRPr="00D24CFB" w:rsidRDefault="00AA104F" w:rsidP="00AA104F">
      <w:pPr>
        <w:pStyle w:val="NoSpacing"/>
        <w:numPr>
          <w:ilvl w:val="1"/>
          <w:numId w:val="19"/>
        </w:numPr>
        <w:rPr>
          <w:i/>
        </w:rPr>
      </w:pPr>
      <w:r w:rsidRPr="00D24CFB">
        <w:rPr>
          <w:i/>
        </w:rPr>
        <w:t>Authorized Enrollment received</w:t>
      </w:r>
    </w:p>
    <w:p w:rsidR="00AA104F" w:rsidRDefault="00AA104F" w:rsidP="00AA104F">
      <w:pPr>
        <w:pStyle w:val="NoSpacing"/>
        <w:numPr>
          <w:ilvl w:val="2"/>
          <w:numId w:val="19"/>
        </w:numPr>
      </w:pPr>
      <w:r>
        <w:t>Of the 1236 IALs unexecuted, 1018 were due to Authorized Enrollment, 82%</w:t>
      </w:r>
    </w:p>
    <w:p w:rsidR="00307922" w:rsidRDefault="00307922" w:rsidP="00307922">
      <w:pPr>
        <w:pStyle w:val="NoSpacing"/>
      </w:pPr>
    </w:p>
    <w:p w:rsidR="00307922" w:rsidRDefault="00307922" w:rsidP="00307922">
      <w:pPr>
        <w:pStyle w:val="NoSpacing"/>
      </w:pPr>
    </w:p>
    <w:p w:rsidR="00307922" w:rsidRDefault="00307922" w:rsidP="00307922">
      <w:pPr>
        <w:pStyle w:val="NoSpacing"/>
      </w:pPr>
    </w:p>
    <w:p w:rsidR="00307922" w:rsidRDefault="00307922" w:rsidP="00307922">
      <w:pPr>
        <w:pStyle w:val="NoSpacing"/>
      </w:pPr>
      <w:r>
        <w:t xml:space="preserve">The following data compares timelines for IAGs, IALs, and the </w:t>
      </w:r>
      <w:proofErr w:type="spellStart"/>
      <w:r>
        <w:t>Unexecutable</w:t>
      </w:r>
      <w:proofErr w:type="spellEnd"/>
      <w:r>
        <w:t xml:space="preserve"> IAGs, IALs, and RESCs:</w:t>
      </w:r>
      <w:bookmarkStart w:id="0" w:name="_GoBack"/>
      <w:bookmarkEnd w:id="0"/>
    </w:p>
    <w:p w:rsidR="00307922" w:rsidRDefault="00307922" w:rsidP="00307922">
      <w:pPr>
        <w:pStyle w:val="NoSpacing"/>
      </w:pPr>
    </w:p>
    <w:p w:rsidR="00307922" w:rsidRDefault="00307922" w:rsidP="00307922">
      <w:pPr>
        <w:pStyle w:val="NoSpacing"/>
      </w:pPr>
    </w:p>
    <w:p w:rsidR="00307922" w:rsidRDefault="00307922" w:rsidP="00307922">
      <w:pPr>
        <w:pStyle w:val="NoSpacing"/>
      </w:pPr>
    </w:p>
    <w:p w:rsidR="00307922" w:rsidRDefault="00307922" w:rsidP="00307922">
      <w:pPr>
        <w:pStyle w:val="NoSpacing"/>
      </w:pPr>
    </w:p>
    <w:tbl>
      <w:tblPr>
        <w:tblW w:w="9260" w:type="dxa"/>
        <w:tblLook w:val="04A0" w:firstRow="1" w:lastRow="0" w:firstColumn="1" w:lastColumn="0" w:noHBand="0" w:noVBand="1"/>
      </w:tblPr>
      <w:tblGrid>
        <w:gridCol w:w="1220"/>
        <w:gridCol w:w="808"/>
        <w:gridCol w:w="759"/>
        <w:gridCol w:w="808"/>
        <w:gridCol w:w="759"/>
        <w:gridCol w:w="878"/>
        <w:gridCol w:w="4028"/>
      </w:tblGrid>
      <w:tr w:rsidR="00307922" w:rsidRPr="00307922" w:rsidTr="00307922">
        <w:trPr>
          <w:trHeight w:val="372"/>
        </w:trPr>
        <w:tc>
          <w:tcPr>
            <w:tcW w:w="122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307922" w:rsidRPr="00307922" w:rsidRDefault="00307922" w:rsidP="00307922">
            <w:pPr>
              <w:spacing w:after="0" w:line="240" w:lineRule="auto"/>
              <w:jc w:val="right"/>
              <w:rPr>
                <w:rFonts w:ascii="Calibri" w:eastAsia="Times New Roman" w:hAnsi="Calibri" w:cs="Calibri"/>
                <w:color w:val="000000"/>
                <w:sz w:val="28"/>
                <w:szCs w:val="28"/>
              </w:rPr>
            </w:pPr>
            <w:r w:rsidRPr="00307922">
              <w:rPr>
                <w:rFonts w:ascii="Calibri" w:eastAsia="Times New Roman" w:hAnsi="Calibri" w:cs="Calibri"/>
                <w:color w:val="000000"/>
                <w:sz w:val="28"/>
                <w:szCs w:val="28"/>
              </w:rPr>
              <w:lastRenderedPageBreak/>
              <w:t>2 → 1</w:t>
            </w:r>
          </w:p>
        </w:tc>
        <w:tc>
          <w:tcPr>
            <w:tcW w:w="8040" w:type="dxa"/>
            <w:gridSpan w:val="6"/>
            <w:tcBorders>
              <w:top w:val="single" w:sz="4" w:space="0" w:color="auto"/>
              <w:left w:val="nil"/>
              <w:bottom w:val="single" w:sz="4" w:space="0" w:color="000000"/>
              <w:right w:val="single" w:sz="4" w:space="0" w:color="auto"/>
            </w:tcBorders>
            <w:shd w:val="clear" w:color="000000" w:fill="FFC000"/>
            <w:noWrap/>
            <w:vAlign w:val="bottom"/>
            <w:hideMark/>
          </w:tcPr>
          <w:p w:rsidR="00307922" w:rsidRPr="00307922" w:rsidRDefault="00307922" w:rsidP="00307922">
            <w:pPr>
              <w:spacing w:after="0" w:line="240" w:lineRule="auto"/>
              <w:rPr>
                <w:rFonts w:ascii="Calibri" w:eastAsia="Times New Roman" w:hAnsi="Calibri" w:cs="Calibri"/>
                <w:color w:val="000000"/>
                <w:sz w:val="28"/>
                <w:szCs w:val="28"/>
              </w:rPr>
            </w:pPr>
            <w:r w:rsidRPr="00307922">
              <w:rPr>
                <w:rFonts w:ascii="Calibri" w:eastAsia="Times New Roman" w:hAnsi="Calibri" w:cs="Calibri"/>
                <w:color w:val="000000"/>
                <w:sz w:val="28"/>
                <w:szCs w:val="28"/>
              </w:rPr>
              <w:t>original transaction to submittal of MT</w:t>
            </w:r>
          </w:p>
        </w:tc>
      </w:tr>
      <w:tr w:rsidR="00307922" w:rsidRPr="00307922" w:rsidTr="00307922">
        <w:trPr>
          <w:trHeight w:val="294"/>
        </w:trPr>
        <w:tc>
          <w:tcPr>
            <w:tcW w:w="1220" w:type="dxa"/>
            <w:vMerge w:val="restart"/>
            <w:tcBorders>
              <w:top w:val="nil"/>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 </w:t>
            </w:r>
          </w:p>
        </w:tc>
        <w:tc>
          <w:tcPr>
            <w:tcW w:w="808"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IAGs</w:t>
            </w:r>
          </w:p>
        </w:tc>
        <w:tc>
          <w:tcPr>
            <w:tcW w:w="759"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IALs</w:t>
            </w:r>
          </w:p>
        </w:tc>
        <w:tc>
          <w:tcPr>
            <w:tcW w:w="2445" w:type="dxa"/>
            <w:gridSpan w:val="3"/>
            <w:tcBorders>
              <w:top w:val="single" w:sz="4" w:space="0" w:color="auto"/>
              <w:left w:val="nil"/>
              <w:bottom w:val="nil"/>
              <w:right w:val="single" w:sz="4" w:space="0" w:color="auto"/>
            </w:tcBorders>
            <w:shd w:val="clear" w:color="000000" w:fill="A6A6A6"/>
            <w:noWrap/>
            <w:vAlign w:val="bottom"/>
            <w:hideMark/>
          </w:tcPr>
          <w:p w:rsidR="00307922" w:rsidRPr="00307922" w:rsidRDefault="00307922" w:rsidP="00307922">
            <w:pPr>
              <w:spacing w:after="0" w:line="240" w:lineRule="auto"/>
              <w:jc w:val="center"/>
              <w:rPr>
                <w:rFonts w:ascii="Calibri" w:eastAsia="Times New Roman" w:hAnsi="Calibri" w:cs="Calibri"/>
                <w:color w:val="000000"/>
              </w:rPr>
            </w:pPr>
            <w:proofErr w:type="spellStart"/>
            <w:r w:rsidRPr="00307922">
              <w:rPr>
                <w:rFonts w:ascii="Calibri" w:eastAsia="Times New Roman" w:hAnsi="Calibri" w:cs="Calibri"/>
                <w:color w:val="000000"/>
              </w:rPr>
              <w:t>Unexecutables</w:t>
            </w:r>
            <w:proofErr w:type="spellEnd"/>
          </w:p>
        </w:tc>
        <w:tc>
          <w:tcPr>
            <w:tcW w:w="402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Findings</w:t>
            </w:r>
          </w:p>
        </w:tc>
      </w:tr>
      <w:tr w:rsidR="00307922" w:rsidRPr="00307922" w:rsidTr="00307922">
        <w:trPr>
          <w:trHeight w:val="288"/>
        </w:trPr>
        <w:tc>
          <w:tcPr>
            <w:tcW w:w="1220" w:type="dxa"/>
            <w:vMerge/>
            <w:tcBorders>
              <w:top w:val="nil"/>
              <w:left w:val="single" w:sz="4" w:space="0" w:color="auto"/>
              <w:bottom w:val="single" w:sz="4" w:space="0" w:color="auto"/>
              <w:right w:val="nil"/>
            </w:tcBorders>
            <w:vAlign w:val="center"/>
            <w:hideMark/>
          </w:tcPr>
          <w:p w:rsidR="00307922" w:rsidRPr="00307922" w:rsidRDefault="00307922" w:rsidP="00307922">
            <w:pPr>
              <w:spacing w:after="0" w:line="240" w:lineRule="auto"/>
              <w:rPr>
                <w:rFonts w:ascii="Calibri" w:eastAsia="Times New Roman" w:hAnsi="Calibri" w:cs="Calibri"/>
                <w:color w:val="000000"/>
              </w:rPr>
            </w:pPr>
          </w:p>
        </w:tc>
        <w:tc>
          <w:tcPr>
            <w:tcW w:w="808" w:type="dxa"/>
            <w:vMerge/>
            <w:tcBorders>
              <w:top w:val="single" w:sz="8" w:space="0" w:color="auto"/>
              <w:left w:val="single" w:sz="8" w:space="0" w:color="auto"/>
              <w:bottom w:val="single" w:sz="4" w:space="0" w:color="auto"/>
              <w:right w:val="single" w:sz="8"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c>
          <w:tcPr>
            <w:tcW w:w="759" w:type="dxa"/>
            <w:vMerge/>
            <w:tcBorders>
              <w:top w:val="single" w:sz="8" w:space="0" w:color="auto"/>
              <w:left w:val="single" w:sz="8" w:space="0" w:color="auto"/>
              <w:bottom w:val="single" w:sz="4" w:space="0" w:color="auto"/>
              <w:right w:val="single" w:sz="8"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c>
          <w:tcPr>
            <w:tcW w:w="808" w:type="dxa"/>
            <w:tcBorders>
              <w:top w:val="single" w:sz="8" w:space="0" w:color="auto"/>
              <w:left w:val="nil"/>
              <w:bottom w:val="single" w:sz="4" w:space="0" w:color="auto"/>
              <w:right w:val="single" w:sz="4" w:space="0" w:color="auto"/>
            </w:tcBorders>
            <w:shd w:val="clear" w:color="000000" w:fill="D9D9D9"/>
            <w:noWrap/>
            <w:vAlign w:val="bottom"/>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 xml:space="preserve">IAGs </w:t>
            </w:r>
          </w:p>
        </w:tc>
        <w:tc>
          <w:tcPr>
            <w:tcW w:w="759" w:type="dxa"/>
            <w:tcBorders>
              <w:top w:val="single" w:sz="8" w:space="0" w:color="auto"/>
              <w:left w:val="nil"/>
              <w:bottom w:val="single" w:sz="4" w:space="0" w:color="auto"/>
              <w:right w:val="single" w:sz="4" w:space="0" w:color="auto"/>
            </w:tcBorders>
            <w:shd w:val="clear" w:color="000000" w:fill="D9D9D9"/>
            <w:noWrap/>
            <w:vAlign w:val="bottom"/>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IALs</w:t>
            </w:r>
          </w:p>
        </w:tc>
        <w:tc>
          <w:tcPr>
            <w:tcW w:w="878" w:type="dxa"/>
            <w:tcBorders>
              <w:top w:val="single" w:sz="8" w:space="0" w:color="auto"/>
              <w:left w:val="nil"/>
              <w:bottom w:val="single" w:sz="4" w:space="0" w:color="auto"/>
              <w:right w:val="single" w:sz="8" w:space="0" w:color="auto"/>
            </w:tcBorders>
            <w:shd w:val="clear" w:color="000000" w:fill="D9D9D9"/>
            <w:noWrap/>
            <w:vAlign w:val="bottom"/>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RESC</w:t>
            </w:r>
          </w:p>
        </w:tc>
        <w:tc>
          <w:tcPr>
            <w:tcW w:w="4028" w:type="dxa"/>
            <w:vMerge/>
            <w:tcBorders>
              <w:top w:val="nil"/>
              <w:left w:val="single" w:sz="4" w:space="0" w:color="auto"/>
              <w:bottom w:val="single" w:sz="4" w:space="0" w:color="000000"/>
              <w:right w:val="single" w:sz="4"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r>
      <w:tr w:rsidR="00307922" w:rsidRPr="00307922" w:rsidTr="00307922">
        <w:trPr>
          <w:trHeight w:val="288"/>
        </w:trPr>
        <w:tc>
          <w:tcPr>
            <w:tcW w:w="1220" w:type="dxa"/>
            <w:tcBorders>
              <w:top w:val="nil"/>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0 - 1 day</w:t>
            </w:r>
          </w:p>
        </w:tc>
        <w:tc>
          <w:tcPr>
            <w:tcW w:w="808" w:type="dxa"/>
            <w:tcBorders>
              <w:top w:val="nil"/>
              <w:left w:val="single" w:sz="8" w:space="0" w:color="auto"/>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22%</w:t>
            </w:r>
          </w:p>
        </w:tc>
        <w:tc>
          <w:tcPr>
            <w:tcW w:w="759" w:type="dxa"/>
            <w:tcBorders>
              <w:top w:val="nil"/>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11%</w:t>
            </w:r>
          </w:p>
        </w:tc>
        <w:tc>
          <w:tcPr>
            <w:tcW w:w="808" w:type="dxa"/>
            <w:tcBorders>
              <w:top w:val="nil"/>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24%</w:t>
            </w:r>
          </w:p>
        </w:tc>
        <w:tc>
          <w:tcPr>
            <w:tcW w:w="759" w:type="dxa"/>
            <w:tcBorders>
              <w:top w:val="nil"/>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6%</w:t>
            </w:r>
          </w:p>
        </w:tc>
        <w:tc>
          <w:tcPr>
            <w:tcW w:w="878" w:type="dxa"/>
            <w:tcBorders>
              <w:top w:val="nil"/>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31%</w:t>
            </w:r>
          </w:p>
        </w:tc>
        <w:tc>
          <w:tcPr>
            <w:tcW w:w="4028" w:type="dxa"/>
            <w:vMerge w:val="restart"/>
            <w:tcBorders>
              <w:top w:val="nil"/>
              <w:left w:val="nil"/>
              <w:bottom w:val="single" w:sz="4" w:space="0" w:color="000000"/>
              <w:right w:val="single" w:sz="4" w:space="0" w:color="auto"/>
            </w:tcBorders>
            <w:shd w:val="clear" w:color="auto" w:fill="auto"/>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 xml:space="preserve">60% of </w:t>
            </w:r>
            <w:proofErr w:type="spellStart"/>
            <w:r w:rsidRPr="00307922">
              <w:rPr>
                <w:rFonts w:ascii="Calibri" w:eastAsia="Times New Roman" w:hAnsi="Calibri" w:cs="Calibri"/>
                <w:color w:val="000000"/>
              </w:rPr>
              <w:t>unexecutables</w:t>
            </w:r>
            <w:proofErr w:type="spellEnd"/>
            <w:r w:rsidRPr="00307922">
              <w:rPr>
                <w:rFonts w:ascii="Calibri" w:eastAsia="Times New Roman" w:hAnsi="Calibri" w:cs="Calibri"/>
                <w:color w:val="000000"/>
              </w:rPr>
              <w:t xml:space="preserve"> occur between 0-17 days for IALs</w:t>
            </w:r>
          </w:p>
        </w:tc>
      </w:tr>
      <w:tr w:rsidR="00307922" w:rsidRPr="00307922" w:rsidTr="00307922">
        <w:trPr>
          <w:trHeight w:val="288"/>
        </w:trPr>
        <w:tc>
          <w:tcPr>
            <w:tcW w:w="1220" w:type="dxa"/>
            <w:tcBorders>
              <w:top w:val="nil"/>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0 - 7 days</w:t>
            </w:r>
          </w:p>
        </w:tc>
        <w:tc>
          <w:tcPr>
            <w:tcW w:w="808" w:type="dxa"/>
            <w:tcBorders>
              <w:top w:val="nil"/>
              <w:left w:val="single" w:sz="8" w:space="0" w:color="auto"/>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61%</w:t>
            </w:r>
          </w:p>
        </w:tc>
        <w:tc>
          <w:tcPr>
            <w:tcW w:w="759" w:type="dxa"/>
            <w:tcBorders>
              <w:top w:val="nil"/>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51%</w:t>
            </w:r>
          </w:p>
        </w:tc>
        <w:tc>
          <w:tcPr>
            <w:tcW w:w="808" w:type="dxa"/>
            <w:tcBorders>
              <w:top w:val="nil"/>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56%</w:t>
            </w:r>
          </w:p>
        </w:tc>
        <w:tc>
          <w:tcPr>
            <w:tcW w:w="759" w:type="dxa"/>
            <w:tcBorders>
              <w:top w:val="nil"/>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30%</w:t>
            </w:r>
          </w:p>
        </w:tc>
        <w:tc>
          <w:tcPr>
            <w:tcW w:w="878" w:type="dxa"/>
            <w:tcBorders>
              <w:top w:val="nil"/>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94%</w:t>
            </w:r>
          </w:p>
        </w:tc>
        <w:tc>
          <w:tcPr>
            <w:tcW w:w="4028" w:type="dxa"/>
            <w:vMerge/>
            <w:tcBorders>
              <w:top w:val="nil"/>
              <w:left w:val="nil"/>
              <w:bottom w:val="single" w:sz="4" w:space="0" w:color="000000"/>
              <w:right w:val="single" w:sz="4"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r>
      <w:tr w:rsidR="00307922" w:rsidRPr="00307922" w:rsidTr="00307922">
        <w:trPr>
          <w:trHeight w:val="294"/>
        </w:trPr>
        <w:tc>
          <w:tcPr>
            <w:tcW w:w="1220" w:type="dxa"/>
            <w:tcBorders>
              <w:top w:val="nil"/>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over 30 days</w:t>
            </w:r>
          </w:p>
        </w:tc>
        <w:tc>
          <w:tcPr>
            <w:tcW w:w="808" w:type="dxa"/>
            <w:tcBorders>
              <w:top w:val="nil"/>
              <w:left w:val="single" w:sz="8" w:space="0" w:color="auto"/>
              <w:bottom w:val="single" w:sz="8"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18%</w:t>
            </w:r>
          </w:p>
        </w:tc>
        <w:tc>
          <w:tcPr>
            <w:tcW w:w="759" w:type="dxa"/>
            <w:tcBorders>
              <w:top w:val="nil"/>
              <w:left w:val="nil"/>
              <w:bottom w:val="single" w:sz="8"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14%</w:t>
            </w:r>
          </w:p>
        </w:tc>
        <w:tc>
          <w:tcPr>
            <w:tcW w:w="808" w:type="dxa"/>
            <w:tcBorders>
              <w:top w:val="nil"/>
              <w:left w:val="nil"/>
              <w:bottom w:val="single" w:sz="8"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24%</w:t>
            </w:r>
          </w:p>
        </w:tc>
        <w:tc>
          <w:tcPr>
            <w:tcW w:w="759" w:type="dxa"/>
            <w:tcBorders>
              <w:top w:val="nil"/>
              <w:left w:val="nil"/>
              <w:bottom w:val="single" w:sz="8"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26%</w:t>
            </w:r>
          </w:p>
        </w:tc>
        <w:tc>
          <w:tcPr>
            <w:tcW w:w="878" w:type="dxa"/>
            <w:tcBorders>
              <w:top w:val="nil"/>
              <w:left w:val="nil"/>
              <w:bottom w:val="single" w:sz="8" w:space="0" w:color="auto"/>
              <w:right w:val="single" w:sz="8" w:space="0" w:color="auto"/>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 </w:t>
            </w:r>
          </w:p>
        </w:tc>
        <w:tc>
          <w:tcPr>
            <w:tcW w:w="4028" w:type="dxa"/>
            <w:vMerge/>
            <w:tcBorders>
              <w:top w:val="nil"/>
              <w:left w:val="nil"/>
              <w:bottom w:val="single" w:sz="4" w:space="0" w:color="000000"/>
              <w:right w:val="single" w:sz="4"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r>
      <w:tr w:rsidR="00307922" w:rsidRPr="00307922" w:rsidTr="00307922">
        <w:trPr>
          <w:trHeight w:val="372"/>
        </w:trPr>
        <w:tc>
          <w:tcPr>
            <w:tcW w:w="1220" w:type="dxa"/>
            <w:tcBorders>
              <w:top w:val="nil"/>
              <w:left w:val="single" w:sz="8" w:space="0" w:color="auto"/>
              <w:bottom w:val="nil"/>
              <w:right w:val="single" w:sz="4" w:space="0" w:color="auto"/>
            </w:tcBorders>
            <w:shd w:val="clear" w:color="000000" w:fill="FFC000"/>
            <w:noWrap/>
            <w:vAlign w:val="bottom"/>
            <w:hideMark/>
          </w:tcPr>
          <w:p w:rsidR="00307922" w:rsidRPr="00307922" w:rsidRDefault="00307922" w:rsidP="00307922">
            <w:pPr>
              <w:spacing w:after="0" w:line="240" w:lineRule="auto"/>
              <w:jc w:val="right"/>
              <w:rPr>
                <w:rFonts w:ascii="Calibri" w:eastAsia="Times New Roman" w:hAnsi="Calibri" w:cs="Calibri"/>
                <w:color w:val="000000"/>
                <w:sz w:val="28"/>
                <w:szCs w:val="28"/>
              </w:rPr>
            </w:pPr>
            <w:r w:rsidRPr="00307922">
              <w:rPr>
                <w:rFonts w:ascii="Calibri" w:eastAsia="Times New Roman" w:hAnsi="Calibri" w:cs="Calibri"/>
                <w:color w:val="000000"/>
                <w:sz w:val="28"/>
                <w:szCs w:val="28"/>
              </w:rPr>
              <w:t>2 → 3</w:t>
            </w:r>
          </w:p>
        </w:tc>
        <w:tc>
          <w:tcPr>
            <w:tcW w:w="8040" w:type="dxa"/>
            <w:gridSpan w:val="6"/>
            <w:tcBorders>
              <w:top w:val="nil"/>
              <w:left w:val="nil"/>
              <w:bottom w:val="nil"/>
              <w:right w:val="nil"/>
            </w:tcBorders>
            <w:shd w:val="clear" w:color="000000" w:fill="FFC000"/>
            <w:noWrap/>
            <w:vAlign w:val="bottom"/>
            <w:hideMark/>
          </w:tcPr>
          <w:p w:rsidR="00307922" w:rsidRPr="00307922" w:rsidRDefault="00307922" w:rsidP="00307922">
            <w:pPr>
              <w:spacing w:after="0" w:line="240" w:lineRule="auto"/>
              <w:rPr>
                <w:rFonts w:ascii="Calibri" w:eastAsia="Times New Roman" w:hAnsi="Calibri" w:cs="Calibri"/>
                <w:color w:val="000000"/>
                <w:sz w:val="28"/>
                <w:szCs w:val="28"/>
              </w:rPr>
            </w:pPr>
            <w:r w:rsidRPr="00307922">
              <w:rPr>
                <w:rFonts w:ascii="Calibri" w:eastAsia="Times New Roman" w:hAnsi="Calibri" w:cs="Calibri"/>
                <w:color w:val="000000"/>
                <w:sz w:val="28"/>
                <w:szCs w:val="28"/>
              </w:rPr>
              <w:t>how long to begin working</w:t>
            </w:r>
          </w:p>
        </w:tc>
      </w:tr>
      <w:tr w:rsidR="00307922" w:rsidRPr="00307922" w:rsidTr="00307922">
        <w:trPr>
          <w:trHeight w:val="288"/>
        </w:trPr>
        <w:tc>
          <w:tcPr>
            <w:tcW w:w="1220" w:type="dxa"/>
            <w:tcBorders>
              <w:top w:val="single" w:sz="4" w:space="0" w:color="auto"/>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same day</w:t>
            </w:r>
          </w:p>
        </w:tc>
        <w:tc>
          <w:tcPr>
            <w:tcW w:w="8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51%</w:t>
            </w:r>
          </w:p>
        </w:tc>
        <w:tc>
          <w:tcPr>
            <w:tcW w:w="759" w:type="dxa"/>
            <w:tcBorders>
              <w:top w:val="single" w:sz="8" w:space="0" w:color="auto"/>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45%</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11%</w:t>
            </w:r>
          </w:p>
        </w:tc>
        <w:tc>
          <w:tcPr>
            <w:tcW w:w="759" w:type="dxa"/>
            <w:tcBorders>
              <w:top w:val="single" w:sz="8" w:space="0" w:color="auto"/>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13%</w:t>
            </w:r>
          </w:p>
        </w:tc>
        <w:tc>
          <w:tcPr>
            <w:tcW w:w="878" w:type="dxa"/>
            <w:tcBorders>
              <w:top w:val="single" w:sz="8" w:space="0" w:color="auto"/>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12%</w:t>
            </w:r>
          </w:p>
        </w:tc>
        <w:tc>
          <w:tcPr>
            <w:tcW w:w="4028" w:type="dxa"/>
            <w:vMerge w:val="restart"/>
            <w:tcBorders>
              <w:top w:val="single" w:sz="4" w:space="0" w:color="auto"/>
              <w:left w:val="nil"/>
              <w:bottom w:val="single" w:sz="4" w:space="0" w:color="auto"/>
              <w:right w:val="single" w:sz="4" w:space="0" w:color="auto"/>
            </w:tcBorders>
            <w:shd w:val="clear" w:color="auto" w:fill="auto"/>
            <w:vAlign w:val="bottom"/>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 </w:t>
            </w:r>
          </w:p>
        </w:tc>
      </w:tr>
      <w:tr w:rsidR="00307922" w:rsidRPr="00307922" w:rsidTr="00307922">
        <w:trPr>
          <w:trHeight w:val="288"/>
        </w:trPr>
        <w:tc>
          <w:tcPr>
            <w:tcW w:w="1220" w:type="dxa"/>
            <w:tcBorders>
              <w:top w:val="nil"/>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within 3 days</w:t>
            </w:r>
          </w:p>
        </w:tc>
        <w:tc>
          <w:tcPr>
            <w:tcW w:w="808" w:type="dxa"/>
            <w:tcBorders>
              <w:top w:val="nil"/>
              <w:left w:val="single" w:sz="8" w:space="0" w:color="auto"/>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87%</w:t>
            </w:r>
          </w:p>
        </w:tc>
        <w:tc>
          <w:tcPr>
            <w:tcW w:w="759" w:type="dxa"/>
            <w:tcBorders>
              <w:top w:val="nil"/>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82%</w:t>
            </w:r>
          </w:p>
        </w:tc>
        <w:tc>
          <w:tcPr>
            <w:tcW w:w="808" w:type="dxa"/>
            <w:tcBorders>
              <w:top w:val="nil"/>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81%</w:t>
            </w:r>
          </w:p>
        </w:tc>
        <w:tc>
          <w:tcPr>
            <w:tcW w:w="759" w:type="dxa"/>
            <w:tcBorders>
              <w:top w:val="nil"/>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81%</w:t>
            </w:r>
          </w:p>
        </w:tc>
        <w:tc>
          <w:tcPr>
            <w:tcW w:w="878" w:type="dxa"/>
            <w:tcBorders>
              <w:top w:val="nil"/>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75%</w:t>
            </w:r>
          </w:p>
        </w:tc>
        <w:tc>
          <w:tcPr>
            <w:tcW w:w="4028" w:type="dxa"/>
            <w:vMerge/>
            <w:tcBorders>
              <w:top w:val="single" w:sz="4" w:space="0" w:color="auto"/>
              <w:left w:val="nil"/>
              <w:bottom w:val="single" w:sz="4" w:space="0" w:color="auto"/>
              <w:right w:val="single" w:sz="4"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r>
      <w:tr w:rsidR="00307922" w:rsidRPr="00307922" w:rsidTr="00307922">
        <w:trPr>
          <w:trHeight w:val="294"/>
        </w:trPr>
        <w:tc>
          <w:tcPr>
            <w:tcW w:w="1220" w:type="dxa"/>
            <w:tcBorders>
              <w:top w:val="nil"/>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0 - 7 days</w:t>
            </w:r>
          </w:p>
        </w:tc>
        <w:tc>
          <w:tcPr>
            <w:tcW w:w="808" w:type="dxa"/>
            <w:tcBorders>
              <w:top w:val="nil"/>
              <w:left w:val="single" w:sz="8" w:space="0" w:color="auto"/>
              <w:bottom w:val="single" w:sz="8"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97%</w:t>
            </w:r>
          </w:p>
        </w:tc>
        <w:tc>
          <w:tcPr>
            <w:tcW w:w="759" w:type="dxa"/>
            <w:tcBorders>
              <w:top w:val="nil"/>
              <w:left w:val="nil"/>
              <w:bottom w:val="single" w:sz="8"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95%</w:t>
            </w:r>
          </w:p>
        </w:tc>
        <w:tc>
          <w:tcPr>
            <w:tcW w:w="808" w:type="dxa"/>
            <w:tcBorders>
              <w:top w:val="nil"/>
              <w:left w:val="nil"/>
              <w:bottom w:val="single" w:sz="8"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94%</w:t>
            </w:r>
          </w:p>
        </w:tc>
        <w:tc>
          <w:tcPr>
            <w:tcW w:w="759" w:type="dxa"/>
            <w:tcBorders>
              <w:top w:val="nil"/>
              <w:left w:val="nil"/>
              <w:bottom w:val="single" w:sz="8"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95%</w:t>
            </w:r>
          </w:p>
        </w:tc>
        <w:tc>
          <w:tcPr>
            <w:tcW w:w="878" w:type="dxa"/>
            <w:tcBorders>
              <w:top w:val="nil"/>
              <w:left w:val="nil"/>
              <w:bottom w:val="single" w:sz="8"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88%</w:t>
            </w:r>
          </w:p>
        </w:tc>
        <w:tc>
          <w:tcPr>
            <w:tcW w:w="4028" w:type="dxa"/>
            <w:vMerge/>
            <w:tcBorders>
              <w:top w:val="single" w:sz="4" w:space="0" w:color="auto"/>
              <w:left w:val="nil"/>
              <w:bottom w:val="single" w:sz="4" w:space="0" w:color="auto"/>
              <w:right w:val="single" w:sz="4"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r>
      <w:tr w:rsidR="00307922" w:rsidRPr="00307922" w:rsidTr="00307922">
        <w:trPr>
          <w:trHeight w:val="372"/>
        </w:trPr>
        <w:tc>
          <w:tcPr>
            <w:tcW w:w="1220" w:type="dxa"/>
            <w:tcBorders>
              <w:top w:val="nil"/>
              <w:left w:val="single" w:sz="8" w:space="0" w:color="auto"/>
              <w:bottom w:val="single" w:sz="4" w:space="0" w:color="auto"/>
              <w:right w:val="single" w:sz="4" w:space="0" w:color="auto"/>
            </w:tcBorders>
            <w:shd w:val="clear" w:color="000000" w:fill="FFC000"/>
            <w:noWrap/>
            <w:vAlign w:val="bottom"/>
            <w:hideMark/>
          </w:tcPr>
          <w:p w:rsidR="00307922" w:rsidRPr="00307922" w:rsidRDefault="00307922" w:rsidP="00307922">
            <w:pPr>
              <w:spacing w:after="0" w:line="240" w:lineRule="auto"/>
              <w:jc w:val="right"/>
              <w:rPr>
                <w:rFonts w:ascii="Calibri" w:eastAsia="Times New Roman" w:hAnsi="Calibri" w:cs="Calibri"/>
                <w:color w:val="000000"/>
                <w:sz w:val="28"/>
                <w:szCs w:val="28"/>
              </w:rPr>
            </w:pPr>
            <w:r w:rsidRPr="00307922">
              <w:rPr>
                <w:rFonts w:ascii="Calibri" w:eastAsia="Times New Roman" w:hAnsi="Calibri" w:cs="Calibri"/>
                <w:color w:val="000000"/>
                <w:sz w:val="28"/>
                <w:szCs w:val="28"/>
              </w:rPr>
              <w:t>3 → 4</w:t>
            </w:r>
          </w:p>
        </w:tc>
        <w:tc>
          <w:tcPr>
            <w:tcW w:w="8040" w:type="dxa"/>
            <w:gridSpan w:val="6"/>
            <w:tcBorders>
              <w:top w:val="nil"/>
              <w:left w:val="nil"/>
              <w:bottom w:val="nil"/>
              <w:right w:val="nil"/>
            </w:tcBorders>
            <w:shd w:val="clear" w:color="000000" w:fill="FFC000"/>
            <w:noWrap/>
            <w:vAlign w:val="bottom"/>
            <w:hideMark/>
          </w:tcPr>
          <w:p w:rsidR="00307922" w:rsidRPr="00307922" w:rsidRDefault="00307922" w:rsidP="00307922">
            <w:pPr>
              <w:spacing w:after="0" w:line="240" w:lineRule="auto"/>
              <w:rPr>
                <w:rFonts w:ascii="Calibri" w:eastAsia="Times New Roman" w:hAnsi="Calibri" w:cs="Calibri"/>
                <w:color w:val="000000"/>
                <w:sz w:val="28"/>
                <w:szCs w:val="28"/>
              </w:rPr>
            </w:pPr>
            <w:r w:rsidRPr="00307922">
              <w:rPr>
                <w:rFonts w:ascii="Calibri" w:eastAsia="Times New Roman" w:hAnsi="Calibri" w:cs="Calibri"/>
                <w:color w:val="000000"/>
                <w:sz w:val="28"/>
                <w:szCs w:val="28"/>
              </w:rPr>
              <w:t>how long to agree/unexecute once touched</w:t>
            </w:r>
          </w:p>
        </w:tc>
      </w:tr>
      <w:tr w:rsidR="00307922" w:rsidRPr="00307922" w:rsidTr="00307922">
        <w:trPr>
          <w:trHeight w:val="288"/>
        </w:trPr>
        <w:tc>
          <w:tcPr>
            <w:tcW w:w="1220" w:type="dxa"/>
            <w:tcBorders>
              <w:top w:val="nil"/>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same day</w:t>
            </w:r>
          </w:p>
        </w:tc>
        <w:tc>
          <w:tcPr>
            <w:tcW w:w="80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58%</w:t>
            </w:r>
          </w:p>
        </w:tc>
        <w:tc>
          <w:tcPr>
            <w:tcW w:w="759" w:type="dxa"/>
            <w:tcBorders>
              <w:top w:val="single" w:sz="8" w:space="0" w:color="auto"/>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73%</w:t>
            </w:r>
          </w:p>
        </w:tc>
        <w:tc>
          <w:tcPr>
            <w:tcW w:w="808" w:type="dxa"/>
            <w:tcBorders>
              <w:top w:val="single" w:sz="8" w:space="0" w:color="auto"/>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50%</w:t>
            </w:r>
          </w:p>
        </w:tc>
        <w:tc>
          <w:tcPr>
            <w:tcW w:w="759" w:type="dxa"/>
            <w:tcBorders>
              <w:top w:val="single" w:sz="8" w:space="0" w:color="auto"/>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60%</w:t>
            </w:r>
          </w:p>
        </w:tc>
        <w:tc>
          <w:tcPr>
            <w:tcW w:w="878" w:type="dxa"/>
            <w:tcBorders>
              <w:top w:val="single" w:sz="8" w:space="0" w:color="auto"/>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87%</w:t>
            </w:r>
          </w:p>
        </w:tc>
        <w:tc>
          <w:tcPr>
            <w:tcW w:w="4028"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 </w:t>
            </w:r>
          </w:p>
        </w:tc>
      </w:tr>
      <w:tr w:rsidR="00307922" w:rsidRPr="00307922" w:rsidTr="00307922">
        <w:trPr>
          <w:trHeight w:val="288"/>
        </w:trPr>
        <w:tc>
          <w:tcPr>
            <w:tcW w:w="1220" w:type="dxa"/>
            <w:tcBorders>
              <w:top w:val="nil"/>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within 3 days</w:t>
            </w:r>
          </w:p>
        </w:tc>
        <w:tc>
          <w:tcPr>
            <w:tcW w:w="808" w:type="dxa"/>
            <w:tcBorders>
              <w:top w:val="nil"/>
              <w:left w:val="single" w:sz="8" w:space="0" w:color="auto"/>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 </w:t>
            </w:r>
          </w:p>
        </w:tc>
        <w:tc>
          <w:tcPr>
            <w:tcW w:w="759" w:type="dxa"/>
            <w:tcBorders>
              <w:top w:val="nil"/>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 </w:t>
            </w:r>
          </w:p>
        </w:tc>
        <w:tc>
          <w:tcPr>
            <w:tcW w:w="808" w:type="dxa"/>
            <w:tcBorders>
              <w:top w:val="nil"/>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62%</w:t>
            </w:r>
          </w:p>
        </w:tc>
        <w:tc>
          <w:tcPr>
            <w:tcW w:w="759" w:type="dxa"/>
            <w:tcBorders>
              <w:top w:val="nil"/>
              <w:left w:val="nil"/>
              <w:bottom w:val="single" w:sz="4"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78%</w:t>
            </w:r>
          </w:p>
        </w:tc>
        <w:tc>
          <w:tcPr>
            <w:tcW w:w="878" w:type="dxa"/>
            <w:tcBorders>
              <w:top w:val="nil"/>
              <w:left w:val="nil"/>
              <w:bottom w:val="single" w:sz="4"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87%</w:t>
            </w:r>
          </w:p>
        </w:tc>
        <w:tc>
          <w:tcPr>
            <w:tcW w:w="4028" w:type="dxa"/>
            <w:vMerge/>
            <w:tcBorders>
              <w:top w:val="single" w:sz="4" w:space="0" w:color="auto"/>
              <w:left w:val="nil"/>
              <w:bottom w:val="single" w:sz="4" w:space="0" w:color="auto"/>
              <w:right w:val="single" w:sz="4"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r>
      <w:tr w:rsidR="00307922" w:rsidRPr="00307922" w:rsidTr="00307922">
        <w:trPr>
          <w:trHeight w:val="294"/>
        </w:trPr>
        <w:tc>
          <w:tcPr>
            <w:tcW w:w="1220" w:type="dxa"/>
            <w:tcBorders>
              <w:top w:val="nil"/>
              <w:left w:val="single" w:sz="4" w:space="0" w:color="auto"/>
              <w:bottom w:val="single" w:sz="4" w:space="0" w:color="auto"/>
              <w:right w:val="nil"/>
            </w:tcBorders>
            <w:shd w:val="clear" w:color="auto" w:fill="auto"/>
            <w:noWrap/>
            <w:vAlign w:val="bottom"/>
            <w:hideMark/>
          </w:tcPr>
          <w:p w:rsidR="00307922" w:rsidRPr="00307922" w:rsidRDefault="00307922" w:rsidP="00307922">
            <w:pPr>
              <w:spacing w:after="0" w:line="240" w:lineRule="auto"/>
              <w:rPr>
                <w:rFonts w:ascii="Calibri" w:eastAsia="Times New Roman" w:hAnsi="Calibri" w:cs="Calibri"/>
                <w:color w:val="000000"/>
              </w:rPr>
            </w:pPr>
            <w:r w:rsidRPr="00307922">
              <w:rPr>
                <w:rFonts w:ascii="Calibri" w:eastAsia="Times New Roman" w:hAnsi="Calibri" w:cs="Calibri"/>
                <w:color w:val="000000"/>
              </w:rPr>
              <w:t>0 - 7 days</w:t>
            </w:r>
          </w:p>
        </w:tc>
        <w:tc>
          <w:tcPr>
            <w:tcW w:w="808" w:type="dxa"/>
            <w:tcBorders>
              <w:top w:val="nil"/>
              <w:left w:val="single" w:sz="8" w:space="0" w:color="auto"/>
              <w:bottom w:val="single" w:sz="8"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95%</w:t>
            </w:r>
          </w:p>
        </w:tc>
        <w:tc>
          <w:tcPr>
            <w:tcW w:w="759" w:type="dxa"/>
            <w:tcBorders>
              <w:top w:val="nil"/>
              <w:left w:val="nil"/>
              <w:bottom w:val="single" w:sz="8"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94%</w:t>
            </w:r>
          </w:p>
        </w:tc>
        <w:tc>
          <w:tcPr>
            <w:tcW w:w="808" w:type="dxa"/>
            <w:tcBorders>
              <w:top w:val="nil"/>
              <w:left w:val="nil"/>
              <w:bottom w:val="single" w:sz="8"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76%</w:t>
            </w:r>
          </w:p>
        </w:tc>
        <w:tc>
          <w:tcPr>
            <w:tcW w:w="759" w:type="dxa"/>
            <w:tcBorders>
              <w:top w:val="nil"/>
              <w:left w:val="nil"/>
              <w:bottom w:val="single" w:sz="8" w:space="0" w:color="auto"/>
              <w:right w:val="single" w:sz="4"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89%</w:t>
            </w:r>
          </w:p>
        </w:tc>
        <w:tc>
          <w:tcPr>
            <w:tcW w:w="878" w:type="dxa"/>
            <w:tcBorders>
              <w:top w:val="nil"/>
              <w:left w:val="nil"/>
              <w:bottom w:val="single" w:sz="8" w:space="0" w:color="auto"/>
              <w:right w:val="single" w:sz="8" w:space="0" w:color="auto"/>
            </w:tcBorders>
            <w:shd w:val="clear" w:color="auto" w:fill="auto"/>
            <w:noWrap/>
            <w:vAlign w:val="bottom"/>
            <w:hideMark/>
          </w:tcPr>
          <w:p w:rsidR="00307922" w:rsidRPr="00307922" w:rsidRDefault="00307922" w:rsidP="00307922">
            <w:pPr>
              <w:spacing w:after="0" w:line="240" w:lineRule="auto"/>
              <w:jc w:val="right"/>
              <w:rPr>
                <w:rFonts w:ascii="Calibri" w:eastAsia="Times New Roman" w:hAnsi="Calibri" w:cs="Calibri"/>
                <w:color w:val="000000"/>
              </w:rPr>
            </w:pPr>
            <w:r w:rsidRPr="00307922">
              <w:rPr>
                <w:rFonts w:ascii="Calibri" w:eastAsia="Times New Roman" w:hAnsi="Calibri" w:cs="Calibri"/>
                <w:color w:val="000000"/>
              </w:rPr>
              <w:t>93%</w:t>
            </w:r>
          </w:p>
        </w:tc>
        <w:tc>
          <w:tcPr>
            <w:tcW w:w="4028" w:type="dxa"/>
            <w:vMerge/>
            <w:tcBorders>
              <w:top w:val="single" w:sz="4" w:space="0" w:color="auto"/>
              <w:left w:val="nil"/>
              <w:bottom w:val="single" w:sz="4" w:space="0" w:color="auto"/>
              <w:right w:val="single" w:sz="4"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r>
      <w:tr w:rsidR="00307922" w:rsidRPr="00307922" w:rsidTr="00307922">
        <w:trPr>
          <w:trHeight w:val="366"/>
        </w:trPr>
        <w:tc>
          <w:tcPr>
            <w:tcW w:w="1220" w:type="dxa"/>
            <w:tcBorders>
              <w:top w:val="nil"/>
              <w:left w:val="single" w:sz="8" w:space="0" w:color="auto"/>
              <w:bottom w:val="nil"/>
              <w:right w:val="single" w:sz="4" w:space="0" w:color="auto"/>
            </w:tcBorders>
            <w:shd w:val="clear" w:color="000000" w:fill="FFC000"/>
            <w:noWrap/>
            <w:vAlign w:val="bottom"/>
            <w:hideMark/>
          </w:tcPr>
          <w:p w:rsidR="00307922" w:rsidRPr="00307922" w:rsidRDefault="00307922" w:rsidP="00307922">
            <w:pPr>
              <w:spacing w:after="0" w:line="240" w:lineRule="auto"/>
              <w:jc w:val="right"/>
              <w:rPr>
                <w:rFonts w:ascii="Calibri" w:eastAsia="Times New Roman" w:hAnsi="Calibri" w:cs="Calibri"/>
                <w:color w:val="000000"/>
                <w:sz w:val="28"/>
                <w:szCs w:val="28"/>
              </w:rPr>
            </w:pPr>
            <w:r w:rsidRPr="00307922">
              <w:rPr>
                <w:rFonts w:ascii="Calibri" w:eastAsia="Times New Roman" w:hAnsi="Calibri" w:cs="Calibri"/>
                <w:color w:val="000000"/>
                <w:sz w:val="28"/>
                <w:szCs w:val="28"/>
              </w:rPr>
              <w:t>4 → 8</w:t>
            </w:r>
          </w:p>
        </w:tc>
        <w:tc>
          <w:tcPr>
            <w:tcW w:w="8040" w:type="dxa"/>
            <w:gridSpan w:val="6"/>
            <w:tcBorders>
              <w:top w:val="nil"/>
              <w:left w:val="nil"/>
              <w:bottom w:val="nil"/>
              <w:right w:val="nil"/>
            </w:tcBorders>
            <w:shd w:val="clear" w:color="000000" w:fill="FFC000"/>
            <w:noWrap/>
            <w:hideMark/>
          </w:tcPr>
          <w:p w:rsidR="00307922" w:rsidRPr="00307922" w:rsidRDefault="00307922" w:rsidP="00307922">
            <w:pPr>
              <w:spacing w:after="0" w:line="240" w:lineRule="auto"/>
              <w:rPr>
                <w:rFonts w:ascii="Calibri" w:eastAsia="Times New Roman" w:hAnsi="Calibri" w:cs="Calibri"/>
                <w:color w:val="000000"/>
                <w:sz w:val="28"/>
                <w:szCs w:val="28"/>
              </w:rPr>
            </w:pPr>
            <w:r w:rsidRPr="00307922">
              <w:rPr>
                <w:rFonts w:ascii="Calibri" w:eastAsia="Times New Roman" w:hAnsi="Calibri" w:cs="Calibri"/>
                <w:color w:val="000000"/>
                <w:sz w:val="28"/>
                <w:szCs w:val="28"/>
              </w:rPr>
              <w:t>unexecute to close</w:t>
            </w:r>
          </w:p>
        </w:tc>
      </w:tr>
      <w:tr w:rsidR="00307922" w:rsidRPr="00307922" w:rsidTr="00307922">
        <w:trPr>
          <w:trHeight w:val="288"/>
        </w:trPr>
        <w:tc>
          <w:tcPr>
            <w:tcW w:w="278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 </w:t>
            </w:r>
          </w:p>
        </w:tc>
        <w:tc>
          <w:tcPr>
            <w:tcW w:w="647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922" w:rsidRPr="00307922" w:rsidRDefault="00307922" w:rsidP="00307922">
            <w:pPr>
              <w:spacing w:after="0" w:line="240" w:lineRule="auto"/>
              <w:jc w:val="center"/>
              <w:rPr>
                <w:rFonts w:ascii="Calibri" w:eastAsia="Times New Roman" w:hAnsi="Calibri" w:cs="Calibri"/>
                <w:color w:val="000000"/>
              </w:rPr>
            </w:pPr>
            <w:r w:rsidRPr="00307922">
              <w:rPr>
                <w:rFonts w:ascii="Calibri" w:eastAsia="Times New Roman" w:hAnsi="Calibri" w:cs="Calibri"/>
                <w:color w:val="000000"/>
              </w:rPr>
              <w:t xml:space="preserve">nearly 100% of </w:t>
            </w:r>
            <w:proofErr w:type="spellStart"/>
            <w:r w:rsidRPr="00307922">
              <w:rPr>
                <w:rFonts w:ascii="Calibri" w:eastAsia="Times New Roman" w:hAnsi="Calibri" w:cs="Calibri"/>
                <w:color w:val="000000"/>
              </w:rPr>
              <w:t>Unexecutables</w:t>
            </w:r>
            <w:proofErr w:type="spellEnd"/>
            <w:r w:rsidRPr="00307922">
              <w:rPr>
                <w:rFonts w:ascii="Calibri" w:eastAsia="Times New Roman" w:hAnsi="Calibri" w:cs="Calibri"/>
                <w:color w:val="000000"/>
              </w:rPr>
              <w:t xml:space="preserve"> </w:t>
            </w:r>
            <w:proofErr w:type="gramStart"/>
            <w:r w:rsidRPr="00307922">
              <w:rPr>
                <w:rFonts w:ascii="Calibri" w:eastAsia="Times New Roman" w:hAnsi="Calibri" w:cs="Calibri"/>
                <w:color w:val="000000"/>
              </w:rPr>
              <w:t>are allowed to</w:t>
            </w:r>
            <w:proofErr w:type="gramEnd"/>
            <w:r w:rsidRPr="00307922">
              <w:rPr>
                <w:rFonts w:ascii="Calibri" w:eastAsia="Times New Roman" w:hAnsi="Calibri" w:cs="Calibri"/>
                <w:color w:val="000000"/>
              </w:rPr>
              <w:t xml:space="preserve"> auto-close </w:t>
            </w:r>
          </w:p>
        </w:tc>
      </w:tr>
      <w:tr w:rsidR="00307922" w:rsidRPr="00307922" w:rsidTr="00307922">
        <w:trPr>
          <w:trHeight w:val="464"/>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c>
          <w:tcPr>
            <w:tcW w:w="6473" w:type="dxa"/>
            <w:gridSpan w:val="4"/>
            <w:vMerge/>
            <w:tcBorders>
              <w:top w:val="single" w:sz="4" w:space="0" w:color="auto"/>
              <w:left w:val="single" w:sz="4" w:space="0" w:color="auto"/>
              <w:bottom w:val="single" w:sz="4" w:space="0" w:color="auto"/>
              <w:right w:val="single" w:sz="4" w:space="0" w:color="auto"/>
            </w:tcBorders>
            <w:vAlign w:val="center"/>
            <w:hideMark/>
          </w:tcPr>
          <w:p w:rsidR="00307922" w:rsidRPr="00307922" w:rsidRDefault="00307922" w:rsidP="00307922">
            <w:pPr>
              <w:spacing w:after="0" w:line="240" w:lineRule="auto"/>
              <w:rPr>
                <w:rFonts w:ascii="Calibri" w:eastAsia="Times New Roman" w:hAnsi="Calibri" w:cs="Calibri"/>
                <w:color w:val="000000"/>
              </w:rPr>
            </w:pPr>
          </w:p>
        </w:tc>
      </w:tr>
    </w:tbl>
    <w:p w:rsidR="00D70538" w:rsidRDefault="00D70538" w:rsidP="00D70538">
      <w:pPr>
        <w:pStyle w:val="NoSpacing"/>
      </w:pPr>
    </w:p>
    <w:p w:rsidR="00AA104F" w:rsidRDefault="00AA104F" w:rsidP="006B7779">
      <w:pPr>
        <w:pStyle w:val="NoSpacing"/>
      </w:pPr>
    </w:p>
    <w:p w:rsidR="006B7779" w:rsidRPr="00323CE5" w:rsidRDefault="00323CE5" w:rsidP="006B7779">
      <w:pPr>
        <w:pStyle w:val="NoSpacing"/>
        <w:rPr>
          <w:b/>
          <w:u w:val="single"/>
        </w:rPr>
      </w:pPr>
      <w:r w:rsidRPr="00323CE5">
        <w:rPr>
          <w:b/>
          <w:u w:val="single"/>
        </w:rPr>
        <w:t>DRAFT SCR for Administrative MT Enhancements</w:t>
      </w:r>
    </w:p>
    <w:p w:rsidR="00AA104F" w:rsidRDefault="00323CE5" w:rsidP="00323CE5">
      <w:pPr>
        <w:pStyle w:val="NoSpacing"/>
      </w:pPr>
      <w:r>
        <w:t xml:space="preserve">Sheri presented a DRAFT SCR for the administrative MT Enhancements primarily discussing the Description, Business Case, and structure of the matrix outlining the Issue and Proposed Resolution.  Suggestion modifications were presented.  </w:t>
      </w:r>
    </w:p>
    <w:p w:rsidR="00323CE5" w:rsidRDefault="00323CE5" w:rsidP="00323CE5">
      <w:pPr>
        <w:pStyle w:val="NoSpacing"/>
      </w:pPr>
      <w:r w:rsidRPr="00323CE5">
        <w:rPr>
          <w:highlight w:val="yellow"/>
        </w:rPr>
        <w:t>ACTION</w:t>
      </w:r>
      <w:r>
        <w:t xml:space="preserve">: Sheri will perform modifications of the proposed SCR and send to Dave Michelson and Tammy Stewart for their comments.  </w:t>
      </w:r>
    </w:p>
    <w:p w:rsidR="00323CE5" w:rsidRDefault="00323CE5" w:rsidP="00323CE5">
      <w:pPr>
        <w:pStyle w:val="NoSpacing"/>
      </w:pPr>
      <w:r>
        <w:t>RMS would need to approve the final SCR then it would move to PRS to begin the voting process and assign rank and priority.</w:t>
      </w:r>
    </w:p>
    <w:p w:rsidR="00323CE5" w:rsidRPr="00780949" w:rsidRDefault="00323CE5" w:rsidP="00323CE5">
      <w:pPr>
        <w:pStyle w:val="NoSpacing"/>
      </w:pPr>
    </w:p>
    <w:p w:rsidR="007660CA" w:rsidRPr="007660CA" w:rsidRDefault="007660CA" w:rsidP="00F145EE">
      <w:pPr>
        <w:pStyle w:val="NoSpacing"/>
        <w:rPr>
          <w:b/>
          <w:u w:val="single"/>
        </w:rPr>
      </w:pPr>
      <w:r w:rsidRPr="007660CA">
        <w:rPr>
          <w:b/>
          <w:u w:val="single"/>
        </w:rPr>
        <w:t xml:space="preserve">AGENDA for </w:t>
      </w:r>
      <w:r w:rsidR="00323CE5">
        <w:rPr>
          <w:b/>
          <w:u w:val="single"/>
        </w:rPr>
        <w:t>4</w:t>
      </w:r>
      <w:r w:rsidR="005719FD">
        <w:rPr>
          <w:b/>
          <w:u w:val="single"/>
        </w:rPr>
        <w:t>/</w:t>
      </w:r>
      <w:r w:rsidR="00323CE5">
        <w:rPr>
          <w:b/>
          <w:u w:val="single"/>
        </w:rPr>
        <w:t>23</w:t>
      </w:r>
      <w:r w:rsidR="005719FD">
        <w:rPr>
          <w:b/>
          <w:u w:val="single"/>
        </w:rPr>
        <w:t>/2</w:t>
      </w:r>
      <w:r w:rsidR="00323CE5">
        <w:rPr>
          <w:b/>
          <w:u w:val="single"/>
        </w:rPr>
        <w:t>1</w:t>
      </w:r>
      <w:r w:rsidRPr="007660CA">
        <w:rPr>
          <w:b/>
          <w:u w:val="single"/>
        </w:rPr>
        <w:t xml:space="preserve"> Meeting</w:t>
      </w:r>
    </w:p>
    <w:p w:rsidR="00257783" w:rsidRPr="00257783" w:rsidRDefault="00257783" w:rsidP="00245452">
      <w:pPr>
        <w:pStyle w:val="NoSpacing"/>
        <w:numPr>
          <w:ilvl w:val="0"/>
          <w:numId w:val="5"/>
        </w:numPr>
        <w:rPr>
          <w:b/>
          <w:u w:val="single"/>
        </w:rPr>
      </w:pPr>
      <w:r>
        <w:t>ERCOT Update</w:t>
      </w:r>
    </w:p>
    <w:p w:rsidR="00257783" w:rsidRPr="00323CE5" w:rsidRDefault="00257783" w:rsidP="00245452">
      <w:pPr>
        <w:pStyle w:val="NoSpacing"/>
        <w:numPr>
          <w:ilvl w:val="1"/>
          <w:numId w:val="5"/>
        </w:numPr>
        <w:rPr>
          <w:b/>
          <w:u w:val="single"/>
        </w:rPr>
      </w:pPr>
      <w:r>
        <w:t>System Instances and MarkeTrak Monthly Performance Review</w:t>
      </w:r>
    </w:p>
    <w:p w:rsidR="00323CE5" w:rsidRPr="00345EA2" w:rsidRDefault="00323CE5" w:rsidP="00245452">
      <w:pPr>
        <w:pStyle w:val="NoSpacing"/>
        <w:numPr>
          <w:ilvl w:val="1"/>
          <w:numId w:val="5"/>
        </w:numPr>
        <w:rPr>
          <w:b/>
          <w:u w:val="single"/>
        </w:rPr>
      </w:pPr>
      <w:r>
        <w:t>May Retail Release – extended outage</w:t>
      </w:r>
    </w:p>
    <w:p w:rsidR="004222C3" w:rsidRPr="004222C3" w:rsidRDefault="00323CE5" w:rsidP="00123FEE">
      <w:pPr>
        <w:pStyle w:val="NoSpacing"/>
        <w:numPr>
          <w:ilvl w:val="0"/>
          <w:numId w:val="5"/>
        </w:numPr>
        <w:rPr>
          <w:b/>
          <w:u w:val="single"/>
        </w:rPr>
      </w:pPr>
      <w:r>
        <w:t>Follow up on ACTION item from MIS API functionality discussion</w:t>
      </w:r>
    </w:p>
    <w:p w:rsidR="004222C3" w:rsidRDefault="00323CE5" w:rsidP="004222C3">
      <w:pPr>
        <w:pStyle w:val="NoSpacing"/>
        <w:numPr>
          <w:ilvl w:val="0"/>
          <w:numId w:val="5"/>
        </w:numPr>
      </w:pPr>
      <w:r>
        <w:t>Review Proposed RMGRR Clarification of Switch Hold Documentation Requirements</w:t>
      </w:r>
    </w:p>
    <w:p w:rsidR="00323CE5" w:rsidRPr="00323CE5" w:rsidRDefault="00323CE5" w:rsidP="0004131D">
      <w:pPr>
        <w:pStyle w:val="NoSpacing"/>
        <w:numPr>
          <w:ilvl w:val="0"/>
          <w:numId w:val="5"/>
        </w:numPr>
        <w:rPr>
          <w:b/>
          <w:u w:val="single"/>
        </w:rPr>
      </w:pPr>
      <w:r>
        <w:t xml:space="preserve">Review DRAFT SCR on Switch Hold Repository </w:t>
      </w:r>
    </w:p>
    <w:p w:rsidR="00323CE5" w:rsidRPr="00323CE5" w:rsidRDefault="00323CE5" w:rsidP="0004131D">
      <w:pPr>
        <w:pStyle w:val="NoSpacing"/>
        <w:numPr>
          <w:ilvl w:val="0"/>
          <w:numId w:val="5"/>
        </w:numPr>
        <w:rPr>
          <w:b/>
          <w:u w:val="single"/>
        </w:rPr>
      </w:pPr>
      <w:r>
        <w:t>Review DRAFT SCR on Administrative MT Enhancements</w:t>
      </w:r>
    </w:p>
    <w:p w:rsidR="00331770" w:rsidRPr="00331770" w:rsidRDefault="00323CE5" w:rsidP="00331770">
      <w:pPr>
        <w:pStyle w:val="NoSpacing"/>
        <w:numPr>
          <w:ilvl w:val="0"/>
          <w:numId w:val="5"/>
        </w:numPr>
        <w:rPr>
          <w:b/>
          <w:u w:val="single"/>
        </w:rPr>
      </w:pPr>
      <w:r>
        <w:t xml:space="preserve">Discuss cadence of IGL </w:t>
      </w:r>
      <w:r w:rsidR="00331770">
        <w:t>Monthly Report review</w:t>
      </w:r>
    </w:p>
    <w:sectPr w:rsidR="00331770" w:rsidRPr="00331770" w:rsidSect="008C13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1C3"/>
    <w:multiLevelType w:val="hybridMultilevel"/>
    <w:tmpl w:val="98C42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921B9"/>
    <w:multiLevelType w:val="hybridMultilevel"/>
    <w:tmpl w:val="D87E0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17502"/>
    <w:multiLevelType w:val="hybridMultilevel"/>
    <w:tmpl w:val="410A7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F09B5"/>
    <w:multiLevelType w:val="hybridMultilevel"/>
    <w:tmpl w:val="3DBC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73B2B"/>
    <w:multiLevelType w:val="hybridMultilevel"/>
    <w:tmpl w:val="64603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B6E25"/>
    <w:multiLevelType w:val="hybridMultilevel"/>
    <w:tmpl w:val="BEE2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463DD"/>
    <w:multiLevelType w:val="hybridMultilevel"/>
    <w:tmpl w:val="E3C0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D6B07"/>
    <w:multiLevelType w:val="hybridMultilevel"/>
    <w:tmpl w:val="5A42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D6877"/>
    <w:multiLevelType w:val="hybridMultilevel"/>
    <w:tmpl w:val="4F3E7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B5E55"/>
    <w:multiLevelType w:val="hybridMultilevel"/>
    <w:tmpl w:val="00A6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355"/>
    <w:multiLevelType w:val="hybridMultilevel"/>
    <w:tmpl w:val="9E8E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A7C3F"/>
    <w:multiLevelType w:val="hybridMultilevel"/>
    <w:tmpl w:val="B6545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70D13"/>
    <w:multiLevelType w:val="hybridMultilevel"/>
    <w:tmpl w:val="7C26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B5990"/>
    <w:multiLevelType w:val="hybridMultilevel"/>
    <w:tmpl w:val="5748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B3F03"/>
    <w:multiLevelType w:val="hybridMultilevel"/>
    <w:tmpl w:val="78829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FD6749"/>
    <w:multiLevelType w:val="hybridMultilevel"/>
    <w:tmpl w:val="6986A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7C40BBD"/>
    <w:multiLevelType w:val="hybridMultilevel"/>
    <w:tmpl w:val="F5F8DE6E"/>
    <w:lvl w:ilvl="0" w:tplc="83A4B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5F1F33"/>
    <w:multiLevelType w:val="hybridMultilevel"/>
    <w:tmpl w:val="DE48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C4A10"/>
    <w:multiLevelType w:val="hybridMultilevel"/>
    <w:tmpl w:val="108E6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4"/>
  </w:num>
  <w:num w:numId="4">
    <w:abstractNumId w:val="8"/>
  </w:num>
  <w:num w:numId="5">
    <w:abstractNumId w:val="14"/>
  </w:num>
  <w:num w:numId="6">
    <w:abstractNumId w:val="16"/>
  </w:num>
  <w:num w:numId="7">
    <w:abstractNumId w:val="7"/>
  </w:num>
  <w:num w:numId="8">
    <w:abstractNumId w:val="12"/>
  </w:num>
  <w:num w:numId="9">
    <w:abstractNumId w:val="10"/>
  </w:num>
  <w:num w:numId="10">
    <w:abstractNumId w:val="0"/>
  </w:num>
  <w:num w:numId="11">
    <w:abstractNumId w:val="6"/>
  </w:num>
  <w:num w:numId="12">
    <w:abstractNumId w:val="2"/>
  </w:num>
  <w:num w:numId="13">
    <w:abstractNumId w:val="11"/>
  </w:num>
  <w:num w:numId="14">
    <w:abstractNumId w:val="18"/>
  </w:num>
  <w:num w:numId="15">
    <w:abstractNumId w:val="15"/>
  </w:num>
  <w:num w:numId="16">
    <w:abstractNumId w:val="5"/>
  </w:num>
  <w:num w:numId="17">
    <w:abstractNumId w:val="13"/>
  </w:num>
  <w:num w:numId="18">
    <w:abstractNumId w:val="3"/>
  </w:num>
  <w:num w:numId="1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153D5"/>
    <w:rsid w:val="00020312"/>
    <w:rsid w:val="00020E68"/>
    <w:rsid w:val="00021FA8"/>
    <w:rsid w:val="00022185"/>
    <w:rsid w:val="00023998"/>
    <w:rsid w:val="00025B49"/>
    <w:rsid w:val="0004131D"/>
    <w:rsid w:val="000A1F65"/>
    <w:rsid w:val="000C0AF2"/>
    <w:rsid w:val="000C20CF"/>
    <w:rsid w:val="000C319D"/>
    <w:rsid w:val="000C5FAB"/>
    <w:rsid w:val="000D3187"/>
    <w:rsid w:val="000E13F8"/>
    <w:rsid w:val="00110EA2"/>
    <w:rsid w:val="00123FEE"/>
    <w:rsid w:val="001303F8"/>
    <w:rsid w:val="001313EA"/>
    <w:rsid w:val="00131DDA"/>
    <w:rsid w:val="00136DF5"/>
    <w:rsid w:val="00153056"/>
    <w:rsid w:val="00171E07"/>
    <w:rsid w:val="001B1170"/>
    <w:rsid w:val="001C225E"/>
    <w:rsid w:val="001C3FE4"/>
    <w:rsid w:val="001C4664"/>
    <w:rsid w:val="001D16C1"/>
    <w:rsid w:val="001E1FBF"/>
    <w:rsid w:val="001E2F5F"/>
    <w:rsid w:val="001E6DA0"/>
    <w:rsid w:val="00210956"/>
    <w:rsid w:val="0022539C"/>
    <w:rsid w:val="00227F00"/>
    <w:rsid w:val="002417F6"/>
    <w:rsid w:val="00245452"/>
    <w:rsid w:val="00257783"/>
    <w:rsid w:val="00266626"/>
    <w:rsid w:val="00275BB9"/>
    <w:rsid w:val="002B73B5"/>
    <w:rsid w:val="002C5F35"/>
    <w:rsid w:val="002E188E"/>
    <w:rsid w:val="002E4A02"/>
    <w:rsid w:val="002E4AA8"/>
    <w:rsid w:val="002E52F7"/>
    <w:rsid w:val="002E6D10"/>
    <w:rsid w:val="002F12FE"/>
    <w:rsid w:val="002F5B65"/>
    <w:rsid w:val="002F6A98"/>
    <w:rsid w:val="00307922"/>
    <w:rsid w:val="00310E34"/>
    <w:rsid w:val="003147A9"/>
    <w:rsid w:val="0032177A"/>
    <w:rsid w:val="003224FF"/>
    <w:rsid w:val="00323CE5"/>
    <w:rsid w:val="00326666"/>
    <w:rsid w:val="0032714F"/>
    <w:rsid w:val="00327A45"/>
    <w:rsid w:val="00331770"/>
    <w:rsid w:val="00331FF3"/>
    <w:rsid w:val="0033302E"/>
    <w:rsid w:val="00345EA2"/>
    <w:rsid w:val="0035068E"/>
    <w:rsid w:val="00351211"/>
    <w:rsid w:val="00356955"/>
    <w:rsid w:val="00370FAA"/>
    <w:rsid w:val="0038504B"/>
    <w:rsid w:val="00387FDB"/>
    <w:rsid w:val="003939F4"/>
    <w:rsid w:val="00397D90"/>
    <w:rsid w:val="003A0149"/>
    <w:rsid w:val="003A4C4B"/>
    <w:rsid w:val="003B2CDB"/>
    <w:rsid w:val="003C2B32"/>
    <w:rsid w:val="003D3023"/>
    <w:rsid w:val="003D62FC"/>
    <w:rsid w:val="003D7918"/>
    <w:rsid w:val="00402166"/>
    <w:rsid w:val="00402D16"/>
    <w:rsid w:val="00404E6C"/>
    <w:rsid w:val="00420104"/>
    <w:rsid w:val="004222C3"/>
    <w:rsid w:val="00423A26"/>
    <w:rsid w:val="00446742"/>
    <w:rsid w:val="004510BA"/>
    <w:rsid w:val="00453CB9"/>
    <w:rsid w:val="0046383E"/>
    <w:rsid w:val="00463A02"/>
    <w:rsid w:val="00473E06"/>
    <w:rsid w:val="00474281"/>
    <w:rsid w:val="004852C1"/>
    <w:rsid w:val="00487203"/>
    <w:rsid w:val="00496BC3"/>
    <w:rsid w:val="004A02A5"/>
    <w:rsid w:val="004B0BD3"/>
    <w:rsid w:val="004C5528"/>
    <w:rsid w:val="004C672D"/>
    <w:rsid w:val="004F3B6C"/>
    <w:rsid w:val="005101FF"/>
    <w:rsid w:val="0051096F"/>
    <w:rsid w:val="00517D7C"/>
    <w:rsid w:val="00527ADA"/>
    <w:rsid w:val="00540840"/>
    <w:rsid w:val="0054333F"/>
    <w:rsid w:val="00543BB4"/>
    <w:rsid w:val="00544D4C"/>
    <w:rsid w:val="00546D6E"/>
    <w:rsid w:val="00547B3B"/>
    <w:rsid w:val="00553D72"/>
    <w:rsid w:val="005572E8"/>
    <w:rsid w:val="00562FBA"/>
    <w:rsid w:val="005645B7"/>
    <w:rsid w:val="005719FD"/>
    <w:rsid w:val="005A25C3"/>
    <w:rsid w:val="005D1EE7"/>
    <w:rsid w:val="005D1F24"/>
    <w:rsid w:val="005D5510"/>
    <w:rsid w:val="006149AB"/>
    <w:rsid w:val="0062681D"/>
    <w:rsid w:val="00637F5C"/>
    <w:rsid w:val="00643E89"/>
    <w:rsid w:val="00653F95"/>
    <w:rsid w:val="006758D3"/>
    <w:rsid w:val="006816F8"/>
    <w:rsid w:val="00683CC7"/>
    <w:rsid w:val="006B7779"/>
    <w:rsid w:val="006F0C42"/>
    <w:rsid w:val="00702CF5"/>
    <w:rsid w:val="00707132"/>
    <w:rsid w:val="00720A5D"/>
    <w:rsid w:val="00733038"/>
    <w:rsid w:val="00733B41"/>
    <w:rsid w:val="007533E9"/>
    <w:rsid w:val="0076567B"/>
    <w:rsid w:val="007660CA"/>
    <w:rsid w:val="00766AED"/>
    <w:rsid w:val="00766E5D"/>
    <w:rsid w:val="00770025"/>
    <w:rsid w:val="00780949"/>
    <w:rsid w:val="0079359B"/>
    <w:rsid w:val="007966CC"/>
    <w:rsid w:val="007C090E"/>
    <w:rsid w:val="007C5998"/>
    <w:rsid w:val="007D1BE9"/>
    <w:rsid w:val="007E4B3E"/>
    <w:rsid w:val="007F145E"/>
    <w:rsid w:val="007F3FC1"/>
    <w:rsid w:val="00806140"/>
    <w:rsid w:val="00807049"/>
    <w:rsid w:val="00815480"/>
    <w:rsid w:val="00820B4A"/>
    <w:rsid w:val="008217FD"/>
    <w:rsid w:val="00860321"/>
    <w:rsid w:val="00862522"/>
    <w:rsid w:val="008636F7"/>
    <w:rsid w:val="00875092"/>
    <w:rsid w:val="00887CAB"/>
    <w:rsid w:val="00891A72"/>
    <w:rsid w:val="008A3554"/>
    <w:rsid w:val="008B5C93"/>
    <w:rsid w:val="008C13D1"/>
    <w:rsid w:val="008D78D2"/>
    <w:rsid w:val="008E6934"/>
    <w:rsid w:val="008F2439"/>
    <w:rsid w:val="008F4DC4"/>
    <w:rsid w:val="008F6D8F"/>
    <w:rsid w:val="0090152E"/>
    <w:rsid w:val="00932C1B"/>
    <w:rsid w:val="009361FE"/>
    <w:rsid w:val="0095114C"/>
    <w:rsid w:val="00963F70"/>
    <w:rsid w:val="0096742E"/>
    <w:rsid w:val="009805C2"/>
    <w:rsid w:val="009921EF"/>
    <w:rsid w:val="009A0B03"/>
    <w:rsid w:val="009A6188"/>
    <w:rsid w:val="009B2EE9"/>
    <w:rsid w:val="009C4583"/>
    <w:rsid w:val="009D07DF"/>
    <w:rsid w:val="009D5ECB"/>
    <w:rsid w:val="009D7657"/>
    <w:rsid w:val="009D7D5C"/>
    <w:rsid w:val="009F63FD"/>
    <w:rsid w:val="009F7D81"/>
    <w:rsid w:val="00A00502"/>
    <w:rsid w:val="00A01863"/>
    <w:rsid w:val="00A14B4A"/>
    <w:rsid w:val="00A150C2"/>
    <w:rsid w:val="00A17B5F"/>
    <w:rsid w:val="00A241ED"/>
    <w:rsid w:val="00A24868"/>
    <w:rsid w:val="00A274B3"/>
    <w:rsid w:val="00A27E45"/>
    <w:rsid w:val="00A367C4"/>
    <w:rsid w:val="00A42563"/>
    <w:rsid w:val="00A43FBD"/>
    <w:rsid w:val="00A47BA1"/>
    <w:rsid w:val="00A5566F"/>
    <w:rsid w:val="00A5593F"/>
    <w:rsid w:val="00A60FAD"/>
    <w:rsid w:val="00A67EE2"/>
    <w:rsid w:val="00A86140"/>
    <w:rsid w:val="00A86544"/>
    <w:rsid w:val="00A95E96"/>
    <w:rsid w:val="00AA104F"/>
    <w:rsid w:val="00AA3CAF"/>
    <w:rsid w:val="00AA7CB2"/>
    <w:rsid w:val="00AB4932"/>
    <w:rsid w:val="00AB5B26"/>
    <w:rsid w:val="00AC7F6D"/>
    <w:rsid w:val="00AE38A9"/>
    <w:rsid w:val="00AE3E48"/>
    <w:rsid w:val="00AF56A0"/>
    <w:rsid w:val="00AF71B5"/>
    <w:rsid w:val="00B05A4F"/>
    <w:rsid w:val="00B22277"/>
    <w:rsid w:val="00B22D19"/>
    <w:rsid w:val="00B303A3"/>
    <w:rsid w:val="00B31199"/>
    <w:rsid w:val="00B33AC5"/>
    <w:rsid w:val="00B57B56"/>
    <w:rsid w:val="00B64B2E"/>
    <w:rsid w:val="00B66384"/>
    <w:rsid w:val="00B749BF"/>
    <w:rsid w:val="00B877FC"/>
    <w:rsid w:val="00B90882"/>
    <w:rsid w:val="00BB0367"/>
    <w:rsid w:val="00BB094F"/>
    <w:rsid w:val="00BB571E"/>
    <w:rsid w:val="00BC33B9"/>
    <w:rsid w:val="00C1359E"/>
    <w:rsid w:val="00C21A42"/>
    <w:rsid w:val="00C27CC0"/>
    <w:rsid w:val="00C32B22"/>
    <w:rsid w:val="00C33E4E"/>
    <w:rsid w:val="00C41BC0"/>
    <w:rsid w:val="00C44212"/>
    <w:rsid w:val="00C5225F"/>
    <w:rsid w:val="00C66CDF"/>
    <w:rsid w:val="00C70FD8"/>
    <w:rsid w:val="00C7529A"/>
    <w:rsid w:val="00C9361E"/>
    <w:rsid w:val="00CA0ED7"/>
    <w:rsid w:val="00CA1A12"/>
    <w:rsid w:val="00CA1C81"/>
    <w:rsid w:val="00CA2667"/>
    <w:rsid w:val="00CB2304"/>
    <w:rsid w:val="00CB68ED"/>
    <w:rsid w:val="00CD26E3"/>
    <w:rsid w:val="00CD7EFB"/>
    <w:rsid w:val="00CE3D30"/>
    <w:rsid w:val="00D00FE4"/>
    <w:rsid w:val="00D021DD"/>
    <w:rsid w:val="00D059C5"/>
    <w:rsid w:val="00D15CA5"/>
    <w:rsid w:val="00D17997"/>
    <w:rsid w:val="00D17CF3"/>
    <w:rsid w:val="00D21886"/>
    <w:rsid w:val="00D24CFB"/>
    <w:rsid w:val="00D30343"/>
    <w:rsid w:val="00D30503"/>
    <w:rsid w:val="00D40728"/>
    <w:rsid w:val="00D66857"/>
    <w:rsid w:val="00D70538"/>
    <w:rsid w:val="00D734CD"/>
    <w:rsid w:val="00D77953"/>
    <w:rsid w:val="00D848CA"/>
    <w:rsid w:val="00D86915"/>
    <w:rsid w:val="00DA1B12"/>
    <w:rsid w:val="00DC64DC"/>
    <w:rsid w:val="00DD1441"/>
    <w:rsid w:val="00DE49C2"/>
    <w:rsid w:val="00E12C6D"/>
    <w:rsid w:val="00E26300"/>
    <w:rsid w:val="00E44630"/>
    <w:rsid w:val="00E522FE"/>
    <w:rsid w:val="00E65CE9"/>
    <w:rsid w:val="00E7036C"/>
    <w:rsid w:val="00E72A60"/>
    <w:rsid w:val="00E761AD"/>
    <w:rsid w:val="00E822B6"/>
    <w:rsid w:val="00E871A3"/>
    <w:rsid w:val="00EA742D"/>
    <w:rsid w:val="00EB2B86"/>
    <w:rsid w:val="00EB3273"/>
    <w:rsid w:val="00EB6375"/>
    <w:rsid w:val="00EC285D"/>
    <w:rsid w:val="00EC7CD0"/>
    <w:rsid w:val="00ED1739"/>
    <w:rsid w:val="00ED6B55"/>
    <w:rsid w:val="00ED7D16"/>
    <w:rsid w:val="00EE0F52"/>
    <w:rsid w:val="00EE7981"/>
    <w:rsid w:val="00EF31E0"/>
    <w:rsid w:val="00EF48D4"/>
    <w:rsid w:val="00F021C5"/>
    <w:rsid w:val="00F02BDF"/>
    <w:rsid w:val="00F145EE"/>
    <w:rsid w:val="00F14D1F"/>
    <w:rsid w:val="00F2039B"/>
    <w:rsid w:val="00F44DF8"/>
    <w:rsid w:val="00F51CAB"/>
    <w:rsid w:val="00F56237"/>
    <w:rsid w:val="00F81867"/>
    <w:rsid w:val="00F83FF7"/>
    <w:rsid w:val="00F8406C"/>
    <w:rsid w:val="00F8712A"/>
    <w:rsid w:val="00F873FF"/>
    <w:rsid w:val="00F93EB7"/>
    <w:rsid w:val="00FA647E"/>
    <w:rsid w:val="00FB04C0"/>
    <w:rsid w:val="00FD4DD1"/>
    <w:rsid w:val="00FD7895"/>
    <w:rsid w:val="00FE0C3D"/>
    <w:rsid w:val="00FE2C19"/>
    <w:rsid w:val="00FE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794C"/>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C781D-C3A5-402C-B0C8-5CD9264C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4</Pages>
  <Words>1213</Words>
  <Characters>6919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8</cp:revision>
  <dcterms:created xsi:type="dcterms:W3CDTF">2021-04-02T22:46:00Z</dcterms:created>
  <dcterms:modified xsi:type="dcterms:W3CDTF">2021-04-09T03:24:00Z</dcterms:modified>
</cp:coreProperties>
</file>