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6A2076BB" w:rsidR="007F1A85" w:rsidRPr="00F47DEE" w:rsidRDefault="007F1A85" w:rsidP="00CF3582">
            <w:pPr>
              <w:tabs>
                <w:tab w:val="left" w:pos="720"/>
                <w:tab w:val="left" w:pos="1080"/>
                <w:tab w:val="left" w:pos="1725"/>
              </w:tabs>
              <w:rPr>
                <w:rFonts w:ascii="Arial" w:hAnsi="Arial" w:cs="Arial"/>
              </w:rPr>
            </w:pPr>
            <w:r>
              <w:rPr>
                <w:rFonts w:ascii="Arial" w:hAnsi="Arial" w:cs="Arial"/>
              </w:rPr>
              <w:t>A</w:t>
            </w:r>
            <w:r w:rsidR="003E2E29">
              <w:rPr>
                <w:rFonts w:ascii="Arial" w:hAnsi="Arial" w:cs="Arial"/>
              </w:rPr>
              <w:t>pril 6</w:t>
            </w:r>
            <w:r>
              <w:rPr>
                <w:rFonts w:ascii="Arial" w:hAnsi="Arial" w:cs="Arial"/>
              </w:rPr>
              <w:t>, 2021</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3D71E01F" w14:textId="3325B771"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67741" w:rsidRPr="00F47DEE">
              <w:rPr>
                <w:rFonts w:ascii="Arial" w:hAnsi="Arial" w:cs="Arial"/>
                <w:bCs/>
                <w:szCs w:val="24"/>
              </w:rPr>
              <w:t xml:space="preserve">  </w:t>
            </w:r>
            <w:r w:rsidR="003E2E29">
              <w:rPr>
                <w:rFonts w:ascii="Arial" w:hAnsi="Arial" w:cs="Arial"/>
                <w:bCs/>
                <w:szCs w:val="24"/>
              </w:rPr>
              <w:t>April 13, 2021</w:t>
            </w:r>
          </w:p>
          <w:p w14:paraId="54AFDC54" w14:textId="07D8DE34" w:rsidR="007D620B" w:rsidRPr="00F47DEE" w:rsidRDefault="00731C50" w:rsidP="007C472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7C4726">
              <w:rPr>
                <w:rFonts w:ascii="Arial" w:hAnsi="Arial" w:cs="Arial"/>
                <w:bCs/>
                <w:szCs w:val="24"/>
              </w:rPr>
              <w:t>2</w:t>
            </w:r>
            <w:r w:rsidR="00ED1822">
              <w:rPr>
                <w:rFonts w:ascii="Arial" w:hAnsi="Arial" w:cs="Arial"/>
                <w:bCs/>
                <w:szCs w:val="24"/>
              </w:rPr>
              <w:t>.1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4388BC32" w:rsidR="007D620B" w:rsidRPr="00F47DEE" w:rsidRDefault="007D620B" w:rsidP="00A62562">
            <w:pPr>
              <w:pStyle w:val="Heading5"/>
              <w:keepNext w:val="0"/>
              <w:jc w:val="both"/>
              <w:rPr>
                <w:rFonts w:ascii="Arial" w:hAnsi="Arial" w:cs="Arial"/>
                <w:b/>
                <w:bCs/>
              </w:rPr>
            </w:pPr>
            <w:r w:rsidRPr="00F47DEE">
              <w:rPr>
                <w:rFonts w:ascii="Arial" w:hAnsi="Arial" w:cs="Arial"/>
                <w:b/>
                <w:bCs/>
              </w:rPr>
              <w:t>Issue:</w:t>
            </w:r>
          </w:p>
          <w:p w14:paraId="71ADC845" w14:textId="41ADACD2" w:rsidR="009C6BA6" w:rsidRPr="00F47DEE" w:rsidRDefault="009C6BA6" w:rsidP="009C6BA6">
            <w:pPr>
              <w:pStyle w:val="Heading5"/>
              <w:keepNext w:val="0"/>
              <w:jc w:val="both"/>
              <w:rPr>
                <w:rFonts w:ascii="Arial" w:hAnsi="Arial" w:cs="Arial"/>
                <w:bCs/>
                <w:u w:val="none"/>
              </w:rPr>
            </w:pPr>
            <w:r w:rsidRPr="00F47DEE">
              <w:rPr>
                <w:rFonts w:ascii="Arial" w:hAnsi="Arial" w:cs="Arial"/>
                <w:bCs/>
                <w:u w:val="none"/>
              </w:rPr>
              <w:t xml:space="preserve">Consideration of the following Revision Requests </w:t>
            </w:r>
            <w:r w:rsidR="00ED1E51" w:rsidRPr="00F47DEE">
              <w:rPr>
                <w:rFonts w:ascii="Arial" w:hAnsi="Arial" w:cs="Arial"/>
                <w:bCs/>
                <w:u w:val="none"/>
              </w:rPr>
              <w:t>(</w:t>
            </w:r>
            <w:r w:rsidR="00A97F2B" w:rsidRPr="00F47DEE">
              <w:rPr>
                <w:rFonts w:ascii="Arial" w:hAnsi="Arial" w:cs="Arial"/>
                <w:u w:val="none"/>
              </w:rPr>
              <w:t>Nodal Prot</w:t>
            </w:r>
            <w:r w:rsidR="00ED1E51" w:rsidRPr="00F47DEE">
              <w:rPr>
                <w:rFonts w:ascii="Arial" w:hAnsi="Arial" w:cs="Arial"/>
                <w:u w:val="none"/>
              </w:rPr>
              <w:t>ocol Revision Requests (NPRRs)</w:t>
            </w:r>
            <w:r w:rsidR="004553F9">
              <w:rPr>
                <w:rFonts w:ascii="Arial" w:hAnsi="Arial" w:cs="Arial"/>
                <w:u w:val="none"/>
              </w:rPr>
              <w:t xml:space="preserve">, </w:t>
            </w:r>
            <w:r w:rsidR="00B4619A">
              <w:rPr>
                <w:rFonts w:ascii="Arial" w:hAnsi="Arial" w:cs="Arial"/>
                <w:u w:val="none"/>
              </w:rPr>
              <w:t>Nodal Operating Guide Revision Request (NOGRR) and Other Binding Document Revision Request (OBDRR))</w:t>
            </w:r>
            <w:r w:rsidR="00A750E5">
              <w:rPr>
                <w:rFonts w:ascii="Arial" w:hAnsi="Arial" w:cs="Arial"/>
                <w:u w:val="none"/>
              </w:rPr>
              <w:t xml:space="preserve"> </w:t>
            </w:r>
            <w:r w:rsidRPr="00F47DEE">
              <w:rPr>
                <w:rFonts w:ascii="Arial" w:hAnsi="Arial" w:cs="Arial"/>
                <w:bCs/>
                <w:u w:val="none"/>
              </w:rPr>
              <w:t>recommended for approval by TAC (with no opposing votes recorded):</w:t>
            </w:r>
          </w:p>
          <w:p w14:paraId="13BD58B9" w14:textId="64214CF3" w:rsidR="007F1A85" w:rsidRPr="007F1A85" w:rsidRDefault="007F1A85" w:rsidP="007F1A85">
            <w:pPr>
              <w:numPr>
                <w:ilvl w:val="0"/>
                <w:numId w:val="31"/>
              </w:numPr>
              <w:rPr>
                <w:rFonts w:ascii="Arial" w:hAnsi="Arial" w:cs="Arial"/>
              </w:rPr>
            </w:pPr>
            <w:r w:rsidRPr="007F1A85">
              <w:rPr>
                <w:rFonts w:ascii="Arial" w:hAnsi="Arial" w:cs="Arial"/>
              </w:rPr>
              <w:t>NPRR1023, Cha</w:t>
            </w:r>
            <w:r w:rsidR="005C248B">
              <w:rPr>
                <w:rFonts w:ascii="Arial" w:hAnsi="Arial" w:cs="Arial"/>
              </w:rPr>
              <w:t>nge to CRR Repossession Process;</w:t>
            </w:r>
          </w:p>
          <w:p w14:paraId="6201685A" w14:textId="3890F40C" w:rsidR="007F1A85" w:rsidRPr="007F1A85" w:rsidRDefault="007F1A85" w:rsidP="007F1A85">
            <w:pPr>
              <w:numPr>
                <w:ilvl w:val="0"/>
                <w:numId w:val="31"/>
              </w:numPr>
              <w:rPr>
                <w:rFonts w:ascii="Arial" w:hAnsi="Arial" w:cs="Arial"/>
              </w:rPr>
            </w:pPr>
            <w:r w:rsidRPr="007F1A85">
              <w:rPr>
                <w:rFonts w:ascii="Arial" w:hAnsi="Arial" w:cs="Arial"/>
              </w:rPr>
              <w:t>NPRR1045, Transmission Oper</w:t>
            </w:r>
            <w:r w:rsidR="005C248B">
              <w:rPr>
                <w:rFonts w:ascii="Arial" w:hAnsi="Arial" w:cs="Arial"/>
              </w:rPr>
              <w:t>ator Definition and Designation;</w:t>
            </w:r>
          </w:p>
          <w:p w14:paraId="6B0D38E8" w14:textId="2BEF3F69" w:rsidR="007F1A85" w:rsidRPr="007F1A85" w:rsidRDefault="007F1A85" w:rsidP="007F1A85">
            <w:pPr>
              <w:numPr>
                <w:ilvl w:val="0"/>
                <w:numId w:val="31"/>
              </w:numPr>
              <w:rPr>
                <w:rFonts w:ascii="Arial" w:hAnsi="Arial" w:cs="Arial"/>
              </w:rPr>
            </w:pPr>
            <w:r w:rsidRPr="007F1A85">
              <w:rPr>
                <w:rFonts w:ascii="Arial" w:hAnsi="Arial" w:cs="Arial"/>
              </w:rPr>
              <w:t>NPRR1057, Modification to Real-Time Hub Price Formulas for Fully De-Energized Hubs</w:t>
            </w:r>
            <w:r w:rsidR="005C248B">
              <w:rPr>
                <w:rFonts w:ascii="Arial" w:hAnsi="Arial" w:cs="Arial"/>
              </w:rPr>
              <w:t>;</w:t>
            </w:r>
            <w:r w:rsidRPr="007F1A85">
              <w:rPr>
                <w:rFonts w:ascii="Arial" w:hAnsi="Arial" w:cs="Arial"/>
              </w:rPr>
              <w:t xml:space="preserve"> </w:t>
            </w:r>
          </w:p>
          <w:p w14:paraId="754D11EA" w14:textId="14606AD3" w:rsidR="007F1A85" w:rsidRPr="007F1A85" w:rsidRDefault="007F1A85" w:rsidP="007F1A85">
            <w:pPr>
              <w:numPr>
                <w:ilvl w:val="0"/>
                <w:numId w:val="31"/>
              </w:numPr>
              <w:rPr>
                <w:rFonts w:ascii="Arial" w:hAnsi="Arial" w:cs="Arial"/>
              </w:rPr>
            </w:pPr>
            <w:r w:rsidRPr="007F1A85">
              <w:rPr>
                <w:rFonts w:ascii="Arial" w:hAnsi="Arial" w:cs="Arial"/>
              </w:rPr>
              <w:t>NPRR1059, Ability for MOUs and ECs to Send Non-BUSIDRRQ Interval Data</w:t>
            </w:r>
            <w:r w:rsidR="005C248B">
              <w:rPr>
                <w:rFonts w:ascii="Arial" w:hAnsi="Arial" w:cs="Arial"/>
              </w:rPr>
              <w:t>;</w:t>
            </w:r>
            <w:r w:rsidRPr="007F1A85">
              <w:rPr>
                <w:rFonts w:ascii="Arial" w:hAnsi="Arial" w:cs="Arial"/>
              </w:rPr>
              <w:t xml:space="preserve"> </w:t>
            </w:r>
          </w:p>
          <w:p w14:paraId="4D28E377" w14:textId="51EEE5A9" w:rsidR="007F1A85" w:rsidRPr="007F1A85" w:rsidRDefault="007F1A85" w:rsidP="007F1A85">
            <w:pPr>
              <w:numPr>
                <w:ilvl w:val="0"/>
                <w:numId w:val="31"/>
              </w:numPr>
              <w:rPr>
                <w:rFonts w:ascii="Arial" w:hAnsi="Arial" w:cs="Arial"/>
              </w:rPr>
            </w:pPr>
            <w:r w:rsidRPr="007F1A85">
              <w:rPr>
                <w:rFonts w:ascii="Arial" w:hAnsi="Arial" w:cs="Arial"/>
              </w:rPr>
              <w:t>NPRR1065, Implementation Adjustment for NPRR917</w:t>
            </w:r>
            <w:r w:rsidR="005C248B">
              <w:rPr>
                <w:rFonts w:ascii="Arial" w:hAnsi="Arial" w:cs="Arial"/>
              </w:rPr>
              <w:t>;</w:t>
            </w:r>
            <w:r w:rsidRPr="007F1A85">
              <w:rPr>
                <w:rFonts w:ascii="Arial" w:hAnsi="Arial" w:cs="Arial"/>
              </w:rPr>
              <w:t xml:space="preserve"> </w:t>
            </w:r>
          </w:p>
          <w:p w14:paraId="34AB3116" w14:textId="54ED6966" w:rsidR="007F1A85" w:rsidRPr="007F1A85" w:rsidRDefault="007F1A85" w:rsidP="007F1A85">
            <w:pPr>
              <w:numPr>
                <w:ilvl w:val="0"/>
                <w:numId w:val="31"/>
              </w:numPr>
              <w:rPr>
                <w:rFonts w:ascii="Arial" w:hAnsi="Arial" w:cs="Arial"/>
              </w:rPr>
            </w:pPr>
            <w:r w:rsidRPr="007F1A85">
              <w:rPr>
                <w:rFonts w:ascii="Arial" w:hAnsi="Arial" w:cs="Arial"/>
              </w:rPr>
              <w:t>NPRR1066, Interconnection of Existing Generation Owned by a Municipally Owned Utility (MOU) or Electric Cooperative (EC) Transferring Load into the ERCOT System</w:t>
            </w:r>
            <w:r w:rsidR="005C248B">
              <w:rPr>
                <w:rFonts w:ascii="Arial" w:hAnsi="Arial" w:cs="Arial"/>
              </w:rPr>
              <w:t>;</w:t>
            </w:r>
            <w:r w:rsidRPr="007F1A85">
              <w:rPr>
                <w:rFonts w:ascii="Arial" w:hAnsi="Arial" w:cs="Arial"/>
              </w:rPr>
              <w:t xml:space="preserve"> </w:t>
            </w:r>
          </w:p>
          <w:p w14:paraId="67253120" w14:textId="32F14233" w:rsidR="00ED1822" w:rsidRDefault="007F1A85" w:rsidP="007F1A85">
            <w:pPr>
              <w:numPr>
                <w:ilvl w:val="0"/>
                <w:numId w:val="31"/>
              </w:numPr>
              <w:rPr>
                <w:rFonts w:ascii="Arial" w:hAnsi="Arial" w:cs="Arial"/>
              </w:rPr>
            </w:pPr>
            <w:r w:rsidRPr="007F1A85">
              <w:rPr>
                <w:rFonts w:ascii="Arial" w:hAnsi="Arial" w:cs="Arial"/>
              </w:rPr>
              <w:t>NPRR1069, Align Ancillary Service Responsibility for ESRs with NPRR987 – URGENT</w:t>
            </w:r>
            <w:r w:rsidR="005C248B">
              <w:rPr>
                <w:rFonts w:ascii="Arial" w:hAnsi="Arial" w:cs="Arial"/>
              </w:rPr>
              <w:t>;</w:t>
            </w:r>
            <w:r w:rsidRPr="007F1A85">
              <w:rPr>
                <w:rFonts w:ascii="Arial" w:hAnsi="Arial" w:cs="Arial"/>
              </w:rPr>
              <w:t xml:space="preserve"> </w:t>
            </w:r>
          </w:p>
          <w:p w14:paraId="11995CC5" w14:textId="6C8577B1" w:rsidR="007F1A85" w:rsidRDefault="007F1A85" w:rsidP="007F1A85">
            <w:pPr>
              <w:numPr>
                <w:ilvl w:val="0"/>
                <w:numId w:val="31"/>
              </w:numPr>
              <w:rPr>
                <w:rFonts w:ascii="Arial" w:hAnsi="Arial" w:cs="Arial"/>
              </w:rPr>
            </w:pPr>
            <w:r>
              <w:rPr>
                <w:rFonts w:ascii="Arial" w:hAnsi="Arial" w:cs="Arial"/>
              </w:rPr>
              <w:t xml:space="preserve">NOGRR219, </w:t>
            </w:r>
            <w:r w:rsidRPr="007F1A85">
              <w:rPr>
                <w:rFonts w:ascii="Arial" w:hAnsi="Arial" w:cs="Arial"/>
              </w:rPr>
              <w:t>Related to NPRR1045, Transmission Operator Definition and Designation</w:t>
            </w:r>
            <w:r w:rsidR="005C248B">
              <w:rPr>
                <w:rFonts w:ascii="Arial" w:hAnsi="Arial" w:cs="Arial"/>
              </w:rPr>
              <w:t>; and</w:t>
            </w:r>
          </w:p>
          <w:p w14:paraId="0CCF2458" w14:textId="77777777" w:rsidR="007F1A85" w:rsidRDefault="007F1A85" w:rsidP="007F1A85">
            <w:pPr>
              <w:numPr>
                <w:ilvl w:val="0"/>
                <w:numId w:val="31"/>
              </w:numPr>
              <w:rPr>
                <w:rFonts w:ascii="Arial" w:hAnsi="Arial" w:cs="Arial"/>
              </w:rPr>
            </w:pPr>
            <w:r>
              <w:rPr>
                <w:rFonts w:ascii="Arial" w:hAnsi="Arial" w:cs="Arial"/>
              </w:rPr>
              <w:t xml:space="preserve">OBDRR028, </w:t>
            </w:r>
            <w:r w:rsidRPr="007F1A85">
              <w:rPr>
                <w:rFonts w:ascii="Arial" w:hAnsi="Arial" w:cs="Arial"/>
              </w:rPr>
              <w:t>Related to NPRR1069, Align Ancillary Service Respon</w:t>
            </w:r>
            <w:r>
              <w:rPr>
                <w:rFonts w:ascii="Arial" w:hAnsi="Arial" w:cs="Arial"/>
              </w:rPr>
              <w:t>sibility for ESRs with NPRR987</w:t>
            </w:r>
            <w:r w:rsidR="005C248B">
              <w:rPr>
                <w:rFonts w:ascii="Arial" w:hAnsi="Arial" w:cs="Arial"/>
              </w:rPr>
              <w:t>.</w:t>
            </w:r>
          </w:p>
          <w:p w14:paraId="4E760282" w14:textId="574DA0FC" w:rsidR="00D67656" w:rsidRPr="007F1A85" w:rsidRDefault="00D67656" w:rsidP="00514008">
            <w:pPr>
              <w:rPr>
                <w:rFonts w:ascii="Arial" w:hAnsi="Arial" w:cs="Arial"/>
              </w:rPr>
            </w:pPr>
          </w:p>
        </w:tc>
      </w:tr>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F47DEE" w:rsidRDefault="007D620B" w:rsidP="00CB74E7">
            <w:pPr>
              <w:pStyle w:val="Heading5"/>
              <w:keepNext w:val="0"/>
              <w:jc w:val="both"/>
              <w:rPr>
                <w:rFonts w:ascii="Arial" w:hAnsi="Arial" w:cs="Arial"/>
                <w:b/>
                <w:bCs/>
              </w:rPr>
            </w:pPr>
            <w:r w:rsidRPr="00F47DEE">
              <w:rPr>
                <w:rFonts w:ascii="Arial" w:hAnsi="Arial" w:cs="Arial"/>
                <w:b/>
                <w:bCs/>
              </w:rPr>
              <w:t>Background/History:</w:t>
            </w:r>
          </w:p>
          <w:p w14:paraId="5B9CF010" w14:textId="106A8DFB" w:rsidR="006720B6" w:rsidRDefault="00167741" w:rsidP="007844FD">
            <w:pPr>
              <w:jc w:val="both"/>
              <w:rPr>
                <w:rFonts w:ascii="Arial" w:hAnsi="Arial" w:cs="Arial"/>
                <w:b/>
                <w:bCs/>
              </w:rPr>
            </w:pPr>
            <w:r w:rsidRPr="00F47DEE">
              <w:rPr>
                <w:rFonts w:ascii="Arial" w:hAnsi="Arial" w:cs="Arial"/>
                <w:b/>
                <w:bCs/>
              </w:rPr>
              <w:t>Unless otherwise noted: (i) all Market Segment</w:t>
            </w:r>
            <w:r w:rsidR="00840278">
              <w:rPr>
                <w:rFonts w:ascii="Arial" w:hAnsi="Arial" w:cs="Arial"/>
                <w:b/>
                <w:bCs/>
              </w:rPr>
              <w:t xml:space="preserve">s </w:t>
            </w:r>
            <w:r w:rsidR="007F1A85">
              <w:rPr>
                <w:rFonts w:ascii="Arial" w:hAnsi="Arial" w:cs="Arial"/>
                <w:b/>
                <w:bCs/>
              </w:rPr>
              <w:t>participated</w:t>
            </w:r>
            <w:r w:rsidR="00177EE8">
              <w:rPr>
                <w:rFonts w:ascii="Arial" w:hAnsi="Arial" w:cs="Arial"/>
                <w:b/>
                <w:bCs/>
              </w:rPr>
              <w:t xml:space="preserve"> in</w:t>
            </w:r>
            <w:r w:rsidR="00840278">
              <w:rPr>
                <w:rFonts w:ascii="Arial" w:hAnsi="Arial" w:cs="Arial"/>
                <w:b/>
                <w:bCs/>
              </w:rPr>
              <w:t xml:space="preserve"> each vote;</w:t>
            </w:r>
            <w:r w:rsidRPr="00F47DEE">
              <w:rPr>
                <w:rFonts w:ascii="Arial" w:hAnsi="Arial" w:cs="Arial"/>
                <w:b/>
                <w:bCs/>
              </w:rPr>
              <w:t xml:space="preserve"> (ii) </w:t>
            </w:r>
            <w:r w:rsidR="00ED1822">
              <w:rPr>
                <w:rFonts w:ascii="Arial" w:hAnsi="Arial" w:cs="Arial"/>
                <w:b/>
                <w:bCs/>
              </w:rPr>
              <w:t xml:space="preserve">For NPRRs, </w:t>
            </w:r>
            <w:r w:rsidRPr="00F47DEE">
              <w:rPr>
                <w:rFonts w:ascii="Arial" w:hAnsi="Arial" w:cs="Arial"/>
                <w:b/>
                <w:bCs/>
              </w:rPr>
              <w:t xml:space="preserve">ERCOT Credit Staff and the Credit Work Group (Credit WG) have reviewed the </w:t>
            </w:r>
            <w:r w:rsidR="00ED1822">
              <w:rPr>
                <w:rFonts w:ascii="Arial" w:hAnsi="Arial" w:cs="Arial"/>
                <w:b/>
                <w:bCs/>
              </w:rPr>
              <w:t>NPRR</w:t>
            </w:r>
            <w:r w:rsidRPr="00F47DEE">
              <w:rPr>
                <w:rFonts w:ascii="Arial" w:hAnsi="Arial" w:cs="Arial"/>
                <w:b/>
                <w:bCs/>
              </w:rPr>
              <w:t xml:space="preserve">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revision request</w:t>
            </w:r>
            <w:r w:rsidR="00ED1822">
              <w:rPr>
                <w:rFonts w:ascii="Arial" w:hAnsi="Arial" w:cs="Arial"/>
                <w:b/>
                <w:bCs/>
              </w:rPr>
              <w:t>.</w:t>
            </w:r>
          </w:p>
          <w:p w14:paraId="0781FCBE" w14:textId="77777777" w:rsidR="00102820" w:rsidRPr="00115CD3" w:rsidRDefault="00102820">
            <w:pPr>
              <w:ind w:left="360"/>
              <w:jc w:val="both"/>
              <w:rPr>
                <w:rFonts w:ascii="Arial" w:hAnsi="Arial" w:cs="Arial"/>
              </w:rPr>
            </w:pPr>
          </w:p>
          <w:p w14:paraId="133DBCA4" w14:textId="77777777" w:rsidR="007F1A85" w:rsidRPr="007F1A85" w:rsidRDefault="007F1A85" w:rsidP="00514008">
            <w:pPr>
              <w:numPr>
                <w:ilvl w:val="0"/>
                <w:numId w:val="25"/>
              </w:numPr>
              <w:jc w:val="both"/>
              <w:rPr>
                <w:rFonts w:ascii="Arial" w:hAnsi="Arial" w:cs="Arial"/>
                <w:b/>
                <w:i/>
              </w:rPr>
            </w:pPr>
            <w:r w:rsidRPr="007F1A85">
              <w:rPr>
                <w:rFonts w:ascii="Arial" w:hAnsi="Arial" w:cs="Arial"/>
                <w:b/>
                <w:i/>
              </w:rPr>
              <w:t>NPRR1023, Change to CRR Repossession Process [ERCOT]</w:t>
            </w:r>
          </w:p>
          <w:p w14:paraId="6ED66378" w14:textId="030AD389" w:rsidR="00EB2CE7" w:rsidRPr="007F1A85" w:rsidRDefault="00EB2CE7" w:rsidP="00514008">
            <w:pPr>
              <w:ind w:left="360"/>
              <w:jc w:val="both"/>
              <w:rPr>
                <w:rFonts w:ascii="Arial" w:hAnsi="Arial" w:cs="Arial"/>
              </w:rPr>
            </w:pPr>
            <w:r w:rsidRPr="007F1A85">
              <w:rPr>
                <w:rFonts w:ascii="Arial" w:hAnsi="Arial" w:cs="Arial"/>
                <w:b/>
              </w:rPr>
              <w:t xml:space="preserve">Revision Description:  </w:t>
            </w:r>
            <w:r w:rsidRPr="007F1A85">
              <w:rPr>
                <w:rFonts w:ascii="Arial" w:hAnsi="Arial" w:cs="Arial"/>
              </w:rPr>
              <w:t xml:space="preserve">This NPRR modifies the way that ERCOT handles the repossession of a </w:t>
            </w:r>
            <w:r w:rsidR="00D6011E">
              <w:rPr>
                <w:rFonts w:ascii="Arial" w:hAnsi="Arial" w:cs="Arial"/>
              </w:rPr>
              <w:t>Congestion Revenue Right (</w:t>
            </w:r>
            <w:r w:rsidRPr="007F1A85">
              <w:rPr>
                <w:rFonts w:ascii="Arial" w:hAnsi="Arial" w:cs="Arial"/>
              </w:rPr>
              <w:t>CRR</w:t>
            </w:r>
            <w:r w:rsidR="00D6011E">
              <w:rPr>
                <w:rFonts w:ascii="Arial" w:hAnsi="Arial" w:cs="Arial"/>
              </w:rPr>
              <w:t>)</w:t>
            </w:r>
            <w:r w:rsidRPr="007F1A85">
              <w:rPr>
                <w:rFonts w:ascii="Arial" w:hAnsi="Arial" w:cs="Arial"/>
              </w:rPr>
              <w:t xml:space="preserve"> portfolio resulting from a Market Participant default.  The current process of offering the repossessed CRRs in a one-time auction may not fully realize the potential value of the repossessed CRR portfolio, which can in turn result in increased uplift to the market.  This NPRR </w:t>
            </w:r>
            <w:r w:rsidRPr="007F1A85">
              <w:rPr>
                <w:rFonts w:ascii="Arial" w:hAnsi="Arial" w:cs="Arial"/>
              </w:rPr>
              <w:lastRenderedPageBreak/>
              <w:t>establishes a means for liquidating a repossessed CRR portfolio over time by utilizing the Financial Security held by ERCOT for the Defaulting CRR Account Holder for Settlement purposes.  This NPRR also modifies the process for forfeiture of CRRs resulting from non-payment or late payment of an Invoice by a CRR Account Holder, and proposes liquidating forfeited CRRs in the same manner as repossessed CRRs.</w:t>
            </w:r>
          </w:p>
          <w:p w14:paraId="427A9B42" w14:textId="77777777" w:rsidR="007F1A85" w:rsidRPr="007F1A85" w:rsidRDefault="007F1A85">
            <w:pPr>
              <w:pStyle w:val="BodyText"/>
              <w:spacing w:before="0" w:after="0"/>
              <w:ind w:left="360"/>
              <w:jc w:val="both"/>
              <w:rPr>
                <w:rFonts w:ascii="Arial" w:hAnsi="Arial" w:cs="Arial"/>
              </w:rPr>
            </w:pPr>
            <w:r w:rsidRPr="007F1A85">
              <w:rPr>
                <w:rFonts w:ascii="Arial" w:hAnsi="Arial" w:cs="Arial"/>
                <w:b/>
              </w:rPr>
              <w:t xml:space="preserve">Proposed Effective Date:  </w:t>
            </w:r>
            <w:r w:rsidRPr="007F1A85">
              <w:rPr>
                <w:rFonts w:ascii="Arial" w:hAnsi="Arial" w:cs="Arial"/>
              </w:rPr>
              <w:t>Upon system implementation – Priority 2022; Rank 3500</w:t>
            </w:r>
          </w:p>
          <w:p w14:paraId="74A31398" w14:textId="273F1154" w:rsidR="007F1A85" w:rsidRPr="007F1A85" w:rsidRDefault="007F1A85">
            <w:pPr>
              <w:pStyle w:val="BodyText"/>
              <w:spacing w:before="0" w:after="0"/>
              <w:ind w:left="360"/>
              <w:jc w:val="both"/>
              <w:rPr>
                <w:rFonts w:ascii="Arial" w:hAnsi="Arial" w:cs="Arial"/>
                <w:i/>
              </w:rPr>
            </w:pPr>
            <w:r w:rsidRPr="007F1A85">
              <w:rPr>
                <w:rFonts w:ascii="Arial" w:hAnsi="Arial" w:cs="Arial"/>
                <w:b/>
              </w:rPr>
              <w:t xml:space="preserve">ERCOT Impact Analysis:  </w:t>
            </w:r>
            <w:r w:rsidRPr="007F1A85">
              <w:rPr>
                <w:rFonts w:ascii="Arial" w:hAnsi="Arial" w:cs="Arial"/>
              </w:rPr>
              <w:t xml:space="preserve">Between $250k and $350k; no impacts to ERCOT staffing; impacts to </w:t>
            </w:r>
            <w:r w:rsidR="00D6011E">
              <w:rPr>
                <w:rFonts w:ascii="Arial" w:hAnsi="Arial" w:cs="Arial"/>
              </w:rPr>
              <w:t>CRR</w:t>
            </w:r>
            <w:r w:rsidRPr="007F1A85">
              <w:rPr>
                <w:rFonts w:ascii="Arial" w:hAnsi="Arial" w:cs="Arial"/>
              </w:rPr>
              <w:t>; ERCOT business processes will be updated; no impacts to ERCOT grid operations and practices.</w:t>
            </w:r>
          </w:p>
          <w:p w14:paraId="6B21E94A" w14:textId="27C02531" w:rsidR="007F1A85" w:rsidRPr="007F1A85" w:rsidRDefault="00EB2CE7" w:rsidP="00514008">
            <w:pPr>
              <w:ind w:left="360"/>
              <w:jc w:val="both"/>
              <w:rPr>
                <w:rFonts w:ascii="Arial" w:hAnsi="Arial" w:cs="Arial"/>
                <w:iCs/>
                <w:kern w:val="24"/>
              </w:rPr>
            </w:pPr>
            <w:r>
              <w:rPr>
                <w:rFonts w:ascii="Arial" w:hAnsi="Arial" w:cs="Arial"/>
                <w:b/>
              </w:rPr>
              <w:t xml:space="preserve">TAC </w:t>
            </w:r>
            <w:r w:rsidR="007F1A85" w:rsidRPr="007F1A85">
              <w:rPr>
                <w:rFonts w:ascii="Arial" w:hAnsi="Arial" w:cs="Arial"/>
                <w:b/>
              </w:rPr>
              <w:t>Decision:</w:t>
            </w:r>
            <w:r w:rsidR="007F1A85" w:rsidRPr="007F1A85">
              <w:rPr>
                <w:rFonts w:ascii="Arial" w:hAnsi="Arial" w:cs="Arial"/>
              </w:rPr>
              <w:t xml:space="preserve">  </w:t>
            </w:r>
            <w:r w:rsidR="001E75DD" w:rsidRPr="001E75DD">
              <w:rPr>
                <w:rFonts w:ascii="Arial" w:hAnsi="Arial" w:cs="Arial"/>
              </w:rPr>
              <w:t>On 3/24/21, TAC unanimously voted via roll call to recommend approval of NPRR1023 as recommended by PRS in the 3/11/21 PRS Report</w:t>
            </w:r>
            <w:r w:rsidR="00D6011E">
              <w:rPr>
                <w:rFonts w:ascii="Arial" w:hAnsi="Arial" w:cs="Arial"/>
              </w:rPr>
              <w:t>.</w:t>
            </w:r>
          </w:p>
          <w:p w14:paraId="0EFFA8D5" w14:textId="3C9B595E" w:rsidR="007F1A85" w:rsidRPr="007F1A85" w:rsidRDefault="007F1A85" w:rsidP="00514008">
            <w:pPr>
              <w:ind w:left="360"/>
              <w:jc w:val="both"/>
              <w:rPr>
                <w:rFonts w:ascii="Arial" w:hAnsi="Arial" w:cs="Arial"/>
              </w:rPr>
            </w:pPr>
            <w:r w:rsidRPr="007F1A85">
              <w:rPr>
                <w:rFonts w:ascii="Arial" w:hAnsi="Arial" w:cs="Arial"/>
                <w:b/>
              </w:rPr>
              <w:t>Credit WG:</w:t>
            </w:r>
            <w:r w:rsidRPr="007F1A85">
              <w:rPr>
                <w:rFonts w:ascii="Arial" w:hAnsi="Arial" w:cs="Arial"/>
              </w:rPr>
              <w:t xml:space="preserve">  </w:t>
            </w:r>
            <w:r w:rsidR="00EB2CE7">
              <w:rPr>
                <w:rFonts w:ascii="Arial" w:hAnsi="Arial" w:cs="Arial"/>
              </w:rPr>
              <w:t>See 3/29/21 Credit WG comments</w:t>
            </w:r>
          </w:p>
          <w:p w14:paraId="00FCAB0E" w14:textId="77777777" w:rsidR="007F1A85" w:rsidRPr="007F1A85" w:rsidRDefault="007F1A85" w:rsidP="00514008">
            <w:pPr>
              <w:ind w:left="360"/>
              <w:jc w:val="both"/>
              <w:rPr>
                <w:rFonts w:ascii="Arial" w:hAnsi="Arial" w:cs="Arial"/>
                <w:b/>
              </w:rPr>
            </w:pPr>
          </w:p>
          <w:p w14:paraId="783AE9FC" w14:textId="77777777" w:rsidR="007F1A85" w:rsidRPr="007F1A85" w:rsidRDefault="007F1A85" w:rsidP="00514008">
            <w:pPr>
              <w:numPr>
                <w:ilvl w:val="0"/>
                <w:numId w:val="46"/>
              </w:numPr>
              <w:jc w:val="both"/>
              <w:rPr>
                <w:rFonts w:ascii="Arial" w:hAnsi="Arial" w:cs="Arial"/>
                <w:b/>
                <w:i/>
              </w:rPr>
            </w:pPr>
            <w:r w:rsidRPr="007F1A85">
              <w:rPr>
                <w:rFonts w:ascii="Arial" w:hAnsi="Arial" w:cs="Arial"/>
                <w:b/>
                <w:i/>
              </w:rPr>
              <w:t>NPRR1045, Transmission Operator Definition and Designation [ERCOT]</w:t>
            </w:r>
          </w:p>
          <w:p w14:paraId="04B37129" w14:textId="09B4B925" w:rsidR="001E75DD" w:rsidRPr="007F1A85" w:rsidRDefault="001E75DD" w:rsidP="00514008">
            <w:pPr>
              <w:ind w:left="360"/>
              <w:jc w:val="both"/>
              <w:rPr>
                <w:rFonts w:ascii="Arial" w:hAnsi="Arial" w:cs="Arial"/>
              </w:rPr>
            </w:pPr>
            <w:r w:rsidRPr="007F1A85">
              <w:rPr>
                <w:rFonts w:ascii="Arial" w:hAnsi="Arial" w:cs="Arial"/>
                <w:b/>
              </w:rPr>
              <w:t xml:space="preserve">Revision Description:  </w:t>
            </w:r>
            <w:r w:rsidRPr="007F1A85">
              <w:rPr>
                <w:rFonts w:ascii="Arial" w:hAnsi="Arial" w:cs="Arial"/>
              </w:rPr>
              <w:t>This NPRR moves and revises the definition of Transmission Operator (TO) from the Nodal Operating Guide to the Protocols and adds new Section 16.19, Designa</w:t>
            </w:r>
            <w:r>
              <w:rPr>
                <w:rFonts w:ascii="Arial" w:hAnsi="Arial" w:cs="Arial"/>
              </w:rPr>
              <w:t>tion of Transmission Operators,</w:t>
            </w:r>
            <w:r w:rsidR="00D6011E">
              <w:rPr>
                <w:rFonts w:ascii="Arial" w:hAnsi="Arial" w:cs="Arial"/>
              </w:rPr>
              <w:t xml:space="preserve"> </w:t>
            </w:r>
            <w:r w:rsidRPr="007F1A85">
              <w:rPr>
                <w:rFonts w:ascii="Arial" w:hAnsi="Arial" w:cs="Arial"/>
              </w:rPr>
              <w:t>that clarifies the designation process and basic qualifications for TOs.  This NPRR also replaces references to “designated agent” in Section 6.5.7.8, Dispatch Procedures, with the term “TO.”</w:t>
            </w:r>
          </w:p>
          <w:p w14:paraId="072F67B5" w14:textId="77777777" w:rsidR="007F1A85" w:rsidRPr="007F1A85" w:rsidRDefault="007F1A85">
            <w:pPr>
              <w:pStyle w:val="BodyText"/>
              <w:spacing w:before="0" w:after="0"/>
              <w:ind w:left="360"/>
              <w:jc w:val="both"/>
              <w:rPr>
                <w:rFonts w:ascii="Arial" w:hAnsi="Arial" w:cs="Arial"/>
              </w:rPr>
            </w:pPr>
            <w:r w:rsidRPr="007F1A85">
              <w:rPr>
                <w:rFonts w:ascii="Arial" w:hAnsi="Arial" w:cs="Arial"/>
                <w:b/>
              </w:rPr>
              <w:t xml:space="preserve">Proposed Effective Date:  </w:t>
            </w:r>
            <w:r w:rsidRPr="007F1A85">
              <w:rPr>
                <w:rFonts w:ascii="Arial" w:hAnsi="Arial" w:cs="Arial"/>
              </w:rPr>
              <w:t>May 1, 2021</w:t>
            </w:r>
          </w:p>
          <w:p w14:paraId="40AA2CD9" w14:textId="77777777" w:rsidR="007F1A85" w:rsidRPr="007F1A85" w:rsidRDefault="007F1A85">
            <w:pPr>
              <w:pStyle w:val="BodyText"/>
              <w:spacing w:before="0" w:after="0"/>
              <w:ind w:left="360"/>
              <w:jc w:val="both"/>
              <w:rPr>
                <w:rFonts w:ascii="Arial" w:hAnsi="Arial" w:cs="Arial"/>
                <w:i/>
              </w:rPr>
            </w:pPr>
            <w:r w:rsidRPr="007F1A85">
              <w:rPr>
                <w:rFonts w:ascii="Arial" w:hAnsi="Arial" w:cs="Arial"/>
                <w:b/>
              </w:rPr>
              <w:t xml:space="preserve">ERCOT Impact Analysis:  </w:t>
            </w:r>
            <w:r w:rsidRPr="007F1A85">
              <w:rPr>
                <w:rFonts w:ascii="Arial" w:hAnsi="Arial" w:cs="Arial"/>
              </w:rPr>
              <w:t>No budgetary impact; no impacts to ERCOT staffing; no impacts to ERCOT computer systems; no impacts to ERCOT business processes; no impacts to ERCOT grid operations and practices.</w:t>
            </w:r>
          </w:p>
          <w:p w14:paraId="70A60190" w14:textId="5D7A7A48" w:rsidR="007F1A85" w:rsidRPr="007F1A85" w:rsidRDefault="001E75DD" w:rsidP="00514008">
            <w:pPr>
              <w:ind w:left="360"/>
              <w:jc w:val="both"/>
              <w:rPr>
                <w:rFonts w:ascii="Arial" w:hAnsi="Arial" w:cs="Arial"/>
              </w:rPr>
            </w:pPr>
            <w:r>
              <w:rPr>
                <w:rFonts w:ascii="Arial" w:hAnsi="Arial" w:cs="Arial"/>
                <w:b/>
              </w:rPr>
              <w:t xml:space="preserve">TAC Decision:  </w:t>
            </w:r>
            <w:r w:rsidRPr="001E75DD">
              <w:rPr>
                <w:rFonts w:ascii="Arial" w:hAnsi="Arial" w:cs="Arial"/>
              </w:rPr>
              <w:t>On 3/24/21, TAC unanimously voted via roll call to recommend approval of NPRR1045 as recommended by PRS in the 2/11/21 PRS Report as amended by the 3/15/21 ERCOT comments.</w:t>
            </w:r>
          </w:p>
          <w:p w14:paraId="2B96DBB6" w14:textId="77777777" w:rsidR="007F1A85" w:rsidRPr="007F1A85" w:rsidRDefault="007F1A85" w:rsidP="00514008">
            <w:pPr>
              <w:ind w:left="360"/>
              <w:jc w:val="both"/>
              <w:rPr>
                <w:rFonts w:ascii="Arial" w:hAnsi="Arial" w:cs="Arial"/>
                <w:b/>
                <w:i/>
              </w:rPr>
            </w:pPr>
          </w:p>
          <w:p w14:paraId="5577AC42" w14:textId="77777777" w:rsidR="007F1A85" w:rsidRPr="007F1A85" w:rsidRDefault="007F1A85" w:rsidP="00514008">
            <w:pPr>
              <w:numPr>
                <w:ilvl w:val="0"/>
                <w:numId w:val="25"/>
              </w:numPr>
              <w:jc w:val="both"/>
              <w:rPr>
                <w:rFonts w:ascii="Arial" w:hAnsi="Arial" w:cs="Arial"/>
                <w:b/>
                <w:i/>
              </w:rPr>
            </w:pPr>
            <w:r w:rsidRPr="007F1A85">
              <w:rPr>
                <w:rFonts w:ascii="Arial" w:hAnsi="Arial" w:cs="Arial"/>
                <w:b/>
                <w:i/>
              </w:rPr>
              <w:t>NPRR1057, Modification to Real-Time Hub Price Formulas for Fully De-Energized Hubs [ERCOT]</w:t>
            </w:r>
          </w:p>
          <w:p w14:paraId="7C70143B" w14:textId="77777777" w:rsidR="001E75DD" w:rsidRPr="007F1A85" w:rsidRDefault="001E75DD" w:rsidP="00514008">
            <w:pPr>
              <w:ind w:left="360"/>
              <w:jc w:val="both"/>
              <w:rPr>
                <w:rFonts w:ascii="Arial" w:hAnsi="Arial" w:cs="Arial"/>
              </w:rPr>
            </w:pPr>
            <w:r w:rsidRPr="007F1A85">
              <w:rPr>
                <w:rFonts w:ascii="Arial" w:hAnsi="Arial" w:cs="Arial"/>
                <w:b/>
              </w:rPr>
              <w:t xml:space="preserve">Revision Description:  </w:t>
            </w:r>
            <w:r w:rsidRPr="007F1A85">
              <w:rPr>
                <w:rFonts w:ascii="Arial" w:hAnsi="Arial" w:cs="Arial"/>
              </w:rPr>
              <w:t>This NPRR revises paragraph (2) of Section 6.6.1.5, Hub LMPs, to apply the Hub Locational Marginal Price (LMP) formulas to the Panhandle 345 kV Hub and the Lower Rio Grande Valley 138/345 kV Hub.  In the case of the Lower Rio Grande Valley 138/345 kV Hub, this proposed change would only apply after implementation of NPRR941, Create a Lower Rio Grande Valley Hub.  The proposed revisions also eliminate the portions of Hub Real-Time Settlement Point Prices (RTSPPs) formulas that are designed to address the condition of all Hub Buses within a Hub being de-energized.  The RTSPP logic is redundant with what occurs in the calculation of LMPs and the formulas are unclear regarding how to manage the case in which all the Hub Buses are de-energized for only a portion of a 15-minute Settlement Interval.</w:t>
            </w:r>
          </w:p>
          <w:p w14:paraId="6B184354" w14:textId="77777777" w:rsidR="007F1A85" w:rsidRPr="007F1A85" w:rsidRDefault="007F1A85">
            <w:pPr>
              <w:pStyle w:val="BodyText"/>
              <w:spacing w:before="0" w:after="0"/>
              <w:ind w:left="360"/>
              <w:jc w:val="both"/>
              <w:rPr>
                <w:rFonts w:ascii="Arial" w:hAnsi="Arial" w:cs="Arial"/>
              </w:rPr>
            </w:pPr>
            <w:r w:rsidRPr="007F1A85">
              <w:rPr>
                <w:rFonts w:ascii="Arial" w:hAnsi="Arial" w:cs="Arial"/>
                <w:b/>
              </w:rPr>
              <w:t xml:space="preserve">Proposed Effective Date:  </w:t>
            </w:r>
            <w:r w:rsidRPr="007F1A85">
              <w:rPr>
                <w:rFonts w:ascii="Arial" w:hAnsi="Arial" w:cs="Arial"/>
              </w:rPr>
              <w:t>Upon system implementation – Priority 2021; Rank 3310</w:t>
            </w:r>
          </w:p>
          <w:p w14:paraId="1CDBE82D" w14:textId="77777777" w:rsidR="007F1A85" w:rsidRPr="007F1A85" w:rsidRDefault="007F1A85">
            <w:pPr>
              <w:pStyle w:val="BodyText"/>
              <w:spacing w:before="0" w:after="0"/>
              <w:ind w:left="360"/>
              <w:jc w:val="both"/>
              <w:rPr>
                <w:rFonts w:ascii="Arial" w:hAnsi="Arial" w:cs="Arial"/>
                <w:i/>
              </w:rPr>
            </w:pPr>
            <w:r w:rsidRPr="007F1A85">
              <w:rPr>
                <w:rFonts w:ascii="Arial" w:hAnsi="Arial" w:cs="Arial"/>
                <w:b/>
              </w:rPr>
              <w:lastRenderedPageBreak/>
              <w:t xml:space="preserve">ERCOT Impact Analysis:  </w:t>
            </w:r>
            <w:r w:rsidRPr="007F1A85">
              <w:rPr>
                <w:rFonts w:ascii="Arial" w:hAnsi="Arial" w:cs="Arial"/>
              </w:rPr>
              <w:t>Between $15k and $30k; no impacts to ERCOT staffing; impacts to Market Management Systems (MMS); no impacts to ERCOT business processes; no impacts to ERCOT grid operations and practices.</w:t>
            </w:r>
          </w:p>
          <w:p w14:paraId="70F34E4D" w14:textId="1B0CC8BE" w:rsidR="007F1A85" w:rsidRPr="007F1A85" w:rsidRDefault="001E75DD" w:rsidP="00514008">
            <w:pPr>
              <w:ind w:left="360"/>
              <w:jc w:val="both"/>
              <w:rPr>
                <w:rFonts w:ascii="Arial" w:hAnsi="Arial" w:cs="Arial"/>
              </w:rPr>
            </w:pPr>
            <w:r>
              <w:rPr>
                <w:rFonts w:ascii="Arial" w:hAnsi="Arial" w:cs="Arial"/>
                <w:b/>
              </w:rPr>
              <w:t>TAC</w:t>
            </w:r>
            <w:r w:rsidR="007F1A85" w:rsidRPr="007F1A85">
              <w:rPr>
                <w:rFonts w:ascii="Arial" w:hAnsi="Arial" w:cs="Arial"/>
                <w:b/>
              </w:rPr>
              <w:t xml:space="preserve"> Decision:</w:t>
            </w:r>
            <w:r w:rsidR="007F1A85" w:rsidRPr="007F1A85">
              <w:rPr>
                <w:rFonts w:ascii="Arial" w:hAnsi="Arial" w:cs="Arial"/>
              </w:rPr>
              <w:t xml:space="preserve">  </w:t>
            </w:r>
            <w:r w:rsidRPr="001E75DD">
              <w:rPr>
                <w:rFonts w:ascii="Arial" w:hAnsi="Arial" w:cs="Arial"/>
              </w:rPr>
              <w:t>On 3/24/21, TAC unanimously voted via roll call to recommend approval of NPRR1057 as recommended by PRS in the 2/11/21 PRS Report.</w:t>
            </w:r>
          </w:p>
          <w:p w14:paraId="410FDB15" w14:textId="77777777" w:rsidR="007F1A85" w:rsidRPr="007F1A85" w:rsidRDefault="007F1A85" w:rsidP="00514008">
            <w:pPr>
              <w:ind w:left="360"/>
              <w:jc w:val="both"/>
              <w:rPr>
                <w:rFonts w:ascii="Arial" w:hAnsi="Arial" w:cs="Arial"/>
                <w:b/>
                <w:i/>
              </w:rPr>
            </w:pPr>
          </w:p>
          <w:p w14:paraId="185478E4" w14:textId="77777777" w:rsidR="007F1A85" w:rsidRPr="007F1A85" w:rsidRDefault="007F1A85" w:rsidP="00514008">
            <w:pPr>
              <w:numPr>
                <w:ilvl w:val="0"/>
                <w:numId w:val="46"/>
              </w:numPr>
              <w:jc w:val="both"/>
              <w:rPr>
                <w:rFonts w:ascii="Arial" w:hAnsi="Arial" w:cs="Arial"/>
                <w:b/>
                <w:i/>
              </w:rPr>
            </w:pPr>
            <w:r w:rsidRPr="007F1A85">
              <w:rPr>
                <w:rFonts w:ascii="Arial" w:hAnsi="Arial" w:cs="Arial"/>
                <w:b/>
                <w:i/>
              </w:rPr>
              <w:t>NPRR1059, Ability for MOUs and ECs to Send Non-BUSIDRRQ Interval Data [Nueces]</w:t>
            </w:r>
          </w:p>
          <w:p w14:paraId="52F16D7D" w14:textId="77777777" w:rsidR="001E75DD" w:rsidRPr="007F1A85" w:rsidRDefault="001E75DD" w:rsidP="00514008">
            <w:pPr>
              <w:ind w:left="360"/>
              <w:jc w:val="both"/>
              <w:rPr>
                <w:rFonts w:ascii="Arial" w:hAnsi="Arial" w:cs="Arial"/>
              </w:rPr>
            </w:pPr>
            <w:r w:rsidRPr="007F1A85">
              <w:rPr>
                <w:rFonts w:ascii="Arial" w:hAnsi="Arial" w:cs="Arial"/>
                <w:b/>
              </w:rPr>
              <w:t xml:space="preserve">Revision Description:  </w:t>
            </w:r>
            <w:r w:rsidRPr="007F1A85">
              <w:rPr>
                <w:rFonts w:ascii="Arial" w:hAnsi="Arial" w:cs="Arial"/>
              </w:rPr>
              <w:t>This NPRR creates the ability to send interval readings for non-Interval Data Recorder (IDR) Meters, such as residential accounts with consumption under 700 kW, to be able to settle on actual usage/generation instead of the Load Profile.</w:t>
            </w:r>
          </w:p>
          <w:p w14:paraId="7BAE8882" w14:textId="77777777" w:rsidR="007F1A85" w:rsidRPr="007F1A85" w:rsidRDefault="007F1A85">
            <w:pPr>
              <w:pStyle w:val="BodyText"/>
              <w:spacing w:before="0" w:after="0"/>
              <w:ind w:left="360"/>
              <w:jc w:val="both"/>
              <w:rPr>
                <w:rFonts w:ascii="Arial" w:hAnsi="Arial" w:cs="Arial"/>
              </w:rPr>
            </w:pPr>
            <w:r w:rsidRPr="007F1A85">
              <w:rPr>
                <w:rFonts w:ascii="Arial" w:hAnsi="Arial" w:cs="Arial"/>
                <w:b/>
              </w:rPr>
              <w:t xml:space="preserve">Proposed Effective Date:  </w:t>
            </w:r>
            <w:r w:rsidRPr="007F1A85">
              <w:rPr>
                <w:rFonts w:ascii="Arial" w:hAnsi="Arial" w:cs="Arial"/>
              </w:rPr>
              <w:t>May 1, 2021</w:t>
            </w:r>
          </w:p>
          <w:p w14:paraId="71B7E094" w14:textId="77777777" w:rsidR="007F1A85" w:rsidRPr="007F1A85" w:rsidRDefault="007F1A85">
            <w:pPr>
              <w:pStyle w:val="BodyText"/>
              <w:spacing w:before="0" w:after="0"/>
              <w:ind w:left="360"/>
              <w:jc w:val="both"/>
              <w:rPr>
                <w:rFonts w:ascii="Arial" w:hAnsi="Arial" w:cs="Arial"/>
                <w:i/>
              </w:rPr>
            </w:pPr>
            <w:r w:rsidRPr="007F1A85">
              <w:rPr>
                <w:rFonts w:ascii="Arial" w:hAnsi="Arial" w:cs="Arial"/>
                <w:b/>
              </w:rPr>
              <w:t xml:space="preserve">ERCOT Impact Analysis:  </w:t>
            </w:r>
            <w:r w:rsidRPr="007F1A85">
              <w:rPr>
                <w:rFonts w:ascii="Arial" w:hAnsi="Arial" w:cs="Arial"/>
              </w:rPr>
              <w:t>No budgetary impact; no impacts to ERCOT staffing; no impacts to ERCOT computer systems; ERCOT business processes will be updated; no impacts to ERCOT grid operations and practices.</w:t>
            </w:r>
          </w:p>
          <w:p w14:paraId="58BF7C57" w14:textId="513D3AD3" w:rsidR="007F1A85" w:rsidRPr="007F1A85" w:rsidRDefault="001E75DD" w:rsidP="00514008">
            <w:pPr>
              <w:ind w:left="360"/>
              <w:jc w:val="both"/>
              <w:rPr>
                <w:rFonts w:ascii="Arial" w:hAnsi="Arial" w:cs="Arial"/>
              </w:rPr>
            </w:pPr>
            <w:r>
              <w:rPr>
                <w:rFonts w:ascii="Arial" w:hAnsi="Arial" w:cs="Arial"/>
                <w:b/>
              </w:rPr>
              <w:t>TAC</w:t>
            </w:r>
            <w:r w:rsidR="007F1A85" w:rsidRPr="007F1A85">
              <w:rPr>
                <w:rFonts w:ascii="Arial" w:hAnsi="Arial" w:cs="Arial"/>
                <w:b/>
              </w:rPr>
              <w:t xml:space="preserve"> Decision:</w:t>
            </w:r>
            <w:r w:rsidR="007F1A85" w:rsidRPr="007F1A85">
              <w:rPr>
                <w:rFonts w:ascii="Arial" w:hAnsi="Arial" w:cs="Arial"/>
              </w:rPr>
              <w:t xml:space="preserve">  </w:t>
            </w:r>
            <w:r w:rsidRPr="001E75DD">
              <w:rPr>
                <w:rFonts w:ascii="Arial" w:hAnsi="Arial" w:cs="Arial"/>
              </w:rPr>
              <w:t>On 3/24/21, TAC unanimously voted via roll call to recommend approval of NPRR1059 as recommended by PRS in the 2/11/21 PRS Report.</w:t>
            </w:r>
          </w:p>
          <w:p w14:paraId="2726C933" w14:textId="77777777" w:rsidR="007F1A85" w:rsidRPr="007F1A85" w:rsidRDefault="007F1A85" w:rsidP="00514008">
            <w:pPr>
              <w:jc w:val="both"/>
              <w:rPr>
                <w:rFonts w:ascii="Arial" w:hAnsi="Arial" w:cs="Arial"/>
                <w:b/>
                <w:i/>
              </w:rPr>
            </w:pPr>
          </w:p>
          <w:p w14:paraId="1601670C" w14:textId="2828DB84" w:rsidR="007F1A85" w:rsidRPr="007F1A85" w:rsidRDefault="007F1A85" w:rsidP="00514008">
            <w:pPr>
              <w:numPr>
                <w:ilvl w:val="0"/>
                <w:numId w:val="46"/>
              </w:numPr>
              <w:jc w:val="both"/>
              <w:rPr>
                <w:rFonts w:ascii="Arial" w:hAnsi="Arial" w:cs="Arial"/>
                <w:b/>
                <w:i/>
              </w:rPr>
            </w:pPr>
            <w:r w:rsidRPr="007F1A85">
              <w:rPr>
                <w:rFonts w:ascii="Arial" w:hAnsi="Arial" w:cs="Arial"/>
                <w:b/>
                <w:i/>
              </w:rPr>
              <w:t>NPRR1065, Implementation Adjustment for NPRR917</w:t>
            </w:r>
            <w:r w:rsidR="00B76FFE" w:rsidRPr="007F1A85">
              <w:rPr>
                <w:rFonts w:ascii="Arial" w:hAnsi="Arial" w:cs="Arial"/>
                <w:b/>
                <w:i/>
              </w:rPr>
              <w:t xml:space="preserve"> [ERCOT]</w:t>
            </w:r>
          </w:p>
          <w:p w14:paraId="5AA214FD" w14:textId="25D1183B" w:rsidR="001E75DD" w:rsidRPr="007F1A85" w:rsidRDefault="001E75DD" w:rsidP="00514008">
            <w:pPr>
              <w:ind w:left="360"/>
              <w:jc w:val="both"/>
              <w:rPr>
                <w:rFonts w:ascii="Arial" w:hAnsi="Arial" w:cs="Arial"/>
              </w:rPr>
            </w:pPr>
            <w:r w:rsidRPr="007F1A85">
              <w:rPr>
                <w:rFonts w:ascii="Arial" w:hAnsi="Arial" w:cs="Arial"/>
                <w:b/>
              </w:rPr>
              <w:t xml:space="preserve">Revision Description:  </w:t>
            </w:r>
            <w:r w:rsidRPr="007F1A85">
              <w:rPr>
                <w:rFonts w:ascii="Arial" w:hAnsi="Arial" w:cs="Arial"/>
              </w:rPr>
              <w:t>This NPRR strikes a sentence from Section 6.6.3.9, Real-Time Payment or Charge for Energy from a Settlement Only Distribution Generator (SODG) or a Settlement Only Transmission Generator (SOTG), that describes the energy volumes for a Settlement Only Generator (SOG) subject to nodal vs. zonal pricing and replaces that sentence with a formula; revises the name and definition of a related billing determinant, from “OFSOG” to “MEBSOG</w:t>
            </w:r>
            <w:r w:rsidR="0084535E">
              <w:rPr>
                <w:rFonts w:ascii="Arial" w:hAnsi="Arial" w:cs="Arial"/>
              </w:rPr>
              <w:t>,</w:t>
            </w:r>
            <w:r w:rsidRPr="007F1A85">
              <w:rPr>
                <w:rFonts w:ascii="Arial" w:hAnsi="Arial" w:cs="Arial"/>
              </w:rPr>
              <w:t>” to more accurately describe the data it represents; and adjusts the Default Uplift Settlement described in paragraph (2) of Section 9.19.1, Default Uplift Invoices, to combine SOG generation with other generation for the Counter-Party.</w:t>
            </w:r>
          </w:p>
          <w:p w14:paraId="4EDAEFB4" w14:textId="77777777" w:rsidR="007F1A85" w:rsidRPr="007F1A85" w:rsidRDefault="007F1A85">
            <w:pPr>
              <w:pStyle w:val="BodyText"/>
              <w:spacing w:before="0" w:after="0"/>
              <w:ind w:left="360"/>
              <w:jc w:val="both"/>
              <w:rPr>
                <w:rFonts w:ascii="Arial" w:hAnsi="Arial" w:cs="Arial"/>
              </w:rPr>
            </w:pPr>
            <w:r w:rsidRPr="007F1A85">
              <w:rPr>
                <w:rFonts w:ascii="Arial" w:hAnsi="Arial" w:cs="Arial"/>
                <w:b/>
              </w:rPr>
              <w:t xml:space="preserve">Proposed Effective Date:  </w:t>
            </w:r>
            <w:r w:rsidRPr="007F1A85">
              <w:rPr>
                <w:rFonts w:ascii="Arial" w:hAnsi="Arial" w:cs="Arial"/>
              </w:rPr>
              <w:t>Upon system implementation of NPRR917, Nodal Pricing for Settlement Only Distribution Generators (SODGs) and Settlement Only Transmission Generators (SOTGs)</w:t>
            </w:r>
          </w:p>
          <w:p w14:paraId="402ABD02" w14:textId="619B50C5" w:rsidR="007F1A85" w:rsidRPr="007F1A85" w:rsidRDefault="007F1A85">
            <w:pPr>
              <w:pStyle w:val="BodyText"/>
              <w:spacing w:before="0" w:after="0"/>
              <w:ind w:left="360"/>
              <w:jc w:val="both"/>
              <w:rPr>
                <w:rFonts w:ascii="Arial" w:hAnsi="Arial" w:cs="Arial"/>
                <w:i/>
              </w:rPr>
            </w:pPr>
            <w:r w:rsidRPr="007F1A85">
              <w:rPr>
                <w:rFonts w:ascii="Arial" w:hAnsi="Arial" w:cs="Arial"/>
                <w:b/>
              </w:rPr>
              <w:t xml:space="preserve">ERCOT Impact Analysis:  </w:t>
            </w:r>
            <w:r w:rsidRPr="007F1A85">
              <w:rPr>
                <w:rFonts w:ascii="Arial" w:hAnsi="Arial" w:cs="Arial"/>
              </w:rPr>
              <w:t xml:space="preserve">No budgetary impact; no impacts to ERCOT staffing; no impacts to ERCOT computer systems; </w:t>
            </w:r>
            <w:r w:rsidR="0084535E">
              <w:rPr>
                <w:rFonts w:ascii="Arial" w:hAnsi="Arial" w:cs="Arial"/>
              </w:rPr>
              <w:t xml:space="preserve">no impacts to </w:t>
            </w:r>
            <w:r w:rsidRPr="007F1A85">
              <w:rPr>
                <w:rFonts w:ascii="Arial" w:hAnsi="Arial" w:cs="Arial"/>
              </w:rPr>
              <w:t>ERCOT business processes; no impacts to ERCOT grid operations and practices.</w:t>
            </w:r>
          </w:p>
          <w:p w14:paraId="54AD5EF5" w14:textId="4933AC2D" w:rsidR="007F1A85" w:rsidRPr="007F1A85" w:rsidRDefault="001E75DD" w:rsidP="00514008">
            <w:pPr>
              <w:ind w:left="360"/>
              <w:jc w:val="both"/>
              <w:rPr>
                <w:rFonts w:ascii="Arial" w:hAnsi="Arial" w:cs="Arial"/>
              </w:rPr>
            </w:pPr>
            <w:r>
              <w:rPr>
                <w:rFonts w:ascii="Arial" w:hAnsi="Arial" w:cs="Arial"/>
                <w:b/>
              </w:rPr>
              <w:t>TAC</w:t>
            </w:r>
            <w:r w:rsidR="007F1A85" w:rsidRPr="007F1A85">
              <w:rPr>
                <w:rFonts w:ascii="Arial" w:hAnsi="Arial" w:cs="Arial"/>
                <w:b/>
              </w:rPr>
              <w:t xml:space="preserve"> Decision:</w:t>
            </w:r>
            <w:r w:rsidR="007F1A85" w:rsidRPr="007F1A85">
              <w:rPr>
                <w:rFonts w:ascii="Arial" w:hAnsi="Arial" w:cs="Arial"/>
              </w:rPr>
              <w:t xml:space="preserve">  </w:t>
            </w:r>
            <w:r w:rsidRPr="001E75DD">
              <w:rPr>
                <w:rFonts w:ascii="Arial" w:hAnsi="Arial" w:cs="Arial"/>
              </w:rPr>
              <w:t>On 3/24/21, TAC unanimously voted via roll call to recommend approval of NPRR1065 as recommended by PRS in the 3/11/21 PRS Report.</w:t>
            </w:r>
          </w:p>
          <w:p w14:paraId="77E7820A" w14:textId="77777777" w:rsidR="007F1A85" w:rsidRPr="007F1A85" w:rsidRDefault="007F1A85" w:rsidP="00514008">
            <w:pPr>
              <w:ind w:left="360"/>
              <w:jc w:val="both"/>
              <w:rPr>
                <w:rFonts w:ascii="Arial" w:hAnsi="Arial" w:cs="Arial"/>
                <w:b/>
                <w:i/>
              </w:rPr>
            </w:pPr>
          </w:p>
          <w:p w14:paraId="0774A130" w14:textId="77777777" w:rsidR="007F1A85" w:rsidRPr="007F1A85" w:rsidRDefault="007F1A85" w:rsidP="00514008">
            <w:pPr>
              <w:numPr>
                <w:ilvl w:val="0"/>
                <w:numId w:val="46"/>
              </w:numPr>
              <w:jc w:val="both"/>
              <w:rPr>
                <w:rFonts w:ascii="Arial" w:hAnsi="Arial" w:cs="Arial"/>
                <w:b/>
                <w:i/>
              </w:rPr>
            </w:pPr>
            <w:r w:rsidRPr="007F1A85">
              <w:rPr>
                <w:rFonts w:ascii="Arial" w:hAnsi="Arial" w:cs="Arial"/>
                <w:b/>
                <w:i/>
              </w:rPr>
              <w:t>NPRR1066, Interconnection of Existing Generation Owned by a Municipally Owned Utility (MOU) or Electric Cooperative (EC) Transferring Load into the ERCOT System [ERCOT]</w:t>
            </w:r>
          </w:p>
          <w:p w14:paraId="5E9F2CA8" w14:textId="77777777" w:rsidR="001E75DD" w:rsidRPr="007F1A85" w:rsidRDefault="001E75DD" w:rsidP="00514008">
            <w:pPr>
              <w:ind w:left="360"/>
              <w:jc w:val="both"/>
              <w:rPr>
                <w:rFonts w:ascii="Arial" w:hAnsi="Arial" w:cs="Arial"/>
              </w:rPr>
            </w:pPr>
            <w:r w:rsidRPr="007F1A85">
              <w:rPr>
                <w:rFonts w:ascii="Arial" w:hAnsi="Arial" w:cs="Arial"/>
                <w:b/>
              </w:rPr>
              <w:t xml:space="preserve">Revision Description:  </w:t>
            </w:r>
            <w:r w:rsidRPr="007F1A85">
              <w:rPr>
                <w:rFonts w:ascii="Arial" w:hAnsi="Arial" w:cs="Arial"/>
              </w:rPr>
              <w:t xml:space="preserve">This NPRR grants ERCOT the discretion to apply existing standards that are applicable to older Generation Resources registered with ERCOT (a “grandfathered” standard) to an existing generation unit owned by a Municipally Owned Utility (MOU) or Electric Cooperative (EC) that is transferring </w:t>
            </w:r>
            <w:r w:rsidRPr="007F1A85">
              <w:rPr>
                <w:rFonts w:ascii="Arial" w:hAnsi="Arial" w:cs="Arial"/>
              </w:rPr>
              <w:lastRenderedPageBreak/>
              <w:t>Load into ERCOT and seeks to interconnect the existing generation unit to the ERCOT Transmission Grid in conjunction with the Load transfer.  ERCOT will only apply a grandfathered standard if the MOU or EC provides a written explanation as to why it cannot comply with the standard imposed on new Generation Resources, and demonstrates to ERCOT’s satisfaction that allowing the generation unit to comply with the grandfathered standard is reasonable and will not create a risk to reliability of the ERCOT System.  This NPRR also clarifies that, should an MOU or EC interconnect an older generation unit to the ERCOT Transmission System as part of a Load integration, the unit will not qualify the MOU or EC to receive Pre-Assigned Congestion Revenue Rights (PCRRs).</w:t>
            </w:r>
          </w:p>
          <w:p w14:paraId="2058631D" w14:textId="77777777" w:rsidR="007F1A85" w:rsidRPr="007F1A85" w:rsidRDefault="007F1A85">
            <w:pPr>
              <w:pStyle w:val="BodyText"/>
              <w:spacing w:before="0" w:after="0"/>
              <w:ind w:left="360"/>
              <w:jc w:val="both"/>
              <w:rPr>
                <w:rFonts w:ascii="Arial" w:hAnsi="Arial" w:cs="Arial"/>
              </w:rPr>
            </w:pPr>
            <w:r w:rsidRPr="007F1A85">
              <w:rPr>
                <w:rFonts w:ascii="Arial" w:hAnsi="Arial" w:cs="Arial"/>
                <w:b/>
              </w:rPr>
              <w:t xml:space="preserve">Proposed Effective Date:  </w:t>
            </w:r>
            <w:r w:rsidRPr="007F1A85">
              <w:rPr>
                <w:rFonts w:ascii="Arial" w:hAnsi="Arial" w:cs="Arial"/>
              </w:rPr>
              <w:t>May 1, 2021</w:t>
            </w:r>
          </w:p>
          <w:p w14:paraId="79DF1D9B" w14:textId="77777777" w:rsidR="007F1A85" w:rsidRPr="007F1A85" w:rsidRDefault="007F1A85">
            <w:pPr>
              <w:pStyle w:val="BodyText"/>
              <w:spacing w:before="0" w:after="0"/>
              <w:ind w:left="360"/>
              <w:jc w:val="both"/>
              <w:rPr>
                <w:rFonts w:ascii="Arial" w:hAnsi="Arial" w:cs="Arial"/>
                <w:i/>
              </w:rPr>
            </w:pPr>
            <w:r w:rsidRPr="007F1A85">
              <w:rPr>
                <w:rFonts w:ascii="Arial" w:hAnsi="Arial" w:cs="Arial"/>
                <w:b/>
              </w:rPr>
              <w:t xml:space="preserve">ERCOT Impact Analysis:  </w:t>
            </w:r>
            <w:r w:rsidRPr="007F1A85">
              <w:rPr>
                <w:rFonts w:ascii="Arial" w:hAnsi="Arial" w:cs="Arial"/>
              </w:rPr>
              <w:t>No budgetary impact; no impacts to ERCOT staffing; no impacts to ERCOT computer systems; no impacts to ERCOT business processes; ERCOT grid operations and practices will be updated.</w:t>
            </w:r>
          </w:p>
          <w:p w14:paraId="6508F87D" w14:textId="31AA1FC8" w:rsidR="007F1A85" w:rsidRPr="007F1A85" w:rsidRDefault="001E75DD" w:rsidP="00514008">
            <w:pPr>
              <w:ind w:left="360"/>
              <w:jc w:val="both"/>
              <w:rPr>
                <w:rFonts w:ascii="Arial" w:hAnsi="Arial" w:cs="Arial"/>
              </w:rPr>
            </w:pPr>
            <w:r>
              <w:rPr>
                <w:rFonts w:ascii="Arial" w:hAnsi="Arial" w:cs="Arial"/>
                <w:b/>
              </w:rPr>
              <w:t>TAC</w:t>
            </w:r>
            <w:r w:rsidR="007F1A85" w:rsidRPr="007F1A85">
              <w:rPr>
                <w:rFonts w:ascii="Arial" w:hAnsi="Arial" w:cs="Arial"/>
                <w:b/>
              </w:rPr>
              <w:t xml:space="preserve"> Decision:</w:t>
            </w:r>
            <w:r w:rsidR="007F1A85" w:rsidRPr="007F1A85">
              <w:rPr>
                <w:rFonts w:ascii="Arial" w:hAnsi="Arial" w:cs="Arial"/>
              </w:rPr>
              <w:t xml:space="preserve">  </w:t>
            </w:r>
            <w:r w:rsidRPr="001E75DD">
              <w:rPr>
                <w:rFonts w:ascii="Arial" w:hAnsi="Arial" w:cs="Arial"/>
              </w:rPr>
              <w:t>On 3/24/21, TAC unanimously voted via roll call to recommend approval of NPRR1066 as recommended by PRS in the 3/11/21 PRS Report.</w:t>
            </w:r>
          </w:p>
          <w:p w14:paraId="22CFEAE7" w14:textId="77777777" w:rsidR="007F1A85" w:rsidRPr="007F1A85" w:rsidRDefault="007F1A85" w:rsidP="00514008">
            <w:pPr>
              <w:ind w:left="360"/>
              <w:jc w:val="both"/>
              <w:rPr>
                <w:rFonts w:ascii="Arial" w:hAnsi="Arial" w:cs="Arial"/>
                <w:b/>
                <w:i/>
              </w:rPr>
            </w:pPr>
          </w:p>
          <w:p w14:paraId="1D7374AA" w14:textId="77777777" w:rsidR="007F1A85" w:rsidRPr="007F1A85" w:rsidRDefault="007F1A85" w:rsidP="00514008">
            <w:pPr>
              <w:numPr>
                <w:ilvl w:val="0"/>
                <w:numId w:val="46"/>
              </w:numPr>
              <w:jc w:val="both"/>
              <w:rPr>
                <w:rFonts w:ascii="Arial" w:hAnsi="Arial" w:cs="Arial"/>
                <w:b/>
                <w:i/>
              </w:rPr>
            </w:pPr>
            <w:r w:rsidRPr="007F1A85">
              <w:rPr>
                <w:rFonts w:ascii="Arial" w:hAnsi="Arial" w:cs="Arial"/>
                <w:b/>
                <w:i/>
              </w:rPr>
              <w:t>NPRR1069, Align Ancillary Service Responsibility for ESRs with NPRR987 – URGENT [ERCOT]</w:t>
            </w:r>
          </w:p>
          <w:p w14:paraId="3A803641" w14:textId="77777777" w:rsidR="001E75DD" w:rsidRPr="007F1A85" w:rsidRDefault="001E75DD" w:rsidP="00514008">
            <w:pPr>
              <w:ind w:left="360"/>
              <w:jc w:val="both"/>
              <w:rPr>
                <w:rFonts w:ascii="Arial" w:hAnsi="Arial" w:cs="Arial"/>
              </w:rPr>
            </w:pPr>
            <w:r w:rsidRPr="007F1A85">
              <w:rPr>
                <w:rFonts w:ascii="Arial" w:hAnsi="Arial" w:cs="Arial"/>
                <w:b/>
              </w:rPr>
              <w:t xml:space="preserve">Revision Description:  </w:t>
            </w:r>
            <w:r w:rsidRPr="007F1A85">
              <w:rPr>
                <w:rFonts w:ascii="Arial" w:hAnsi="Arial" w:cs="Arial"/>
              </w:rPr>
              <w:t>This NPRR provides clarification to Settlement billing determinants to ensure that the capacity for an Energy Storage Resource (ESR) is not counted in the Off-Line Reserve Imbalance of the Real-Time Ancillary Service Imbalance Payment or Charge.</w:t>
            </w:r>
          </w:p>
          <w:p w14:paraId="714F61F1" w14:textId="77777777" w:rsidR="007F1A85" w:rsidRPr="007F1A85" w:rsidRDefault="007F1A85">
            <w:pPr>
              <w:pStyle w:val="BodyText"/>
              <w:spacing w:before="0" w:after="0"/>
              <w:ind w:left="360"/>
              <w:jc w:val="both"/>
              <w:rPr>
                <w:rFonts w:ascii="Arial" w:hAnsi="Arial" w:cs="Arial"/>
              </w:rPr>
            </w:pPr>
            <w:r w:rsidRPr="007F1A85">
              <w:rPr>
                <w:rFonts w:ascii="Arial" w:hAnsi="Arial" w:cs="Arial"/>
                <w:b/>
              </w:rPr>
              <w:t xml:space="preserve">Proposed Effective Date:  </w:t>
            </w:r>
            <w:r w:rsidRPr="007F1A85">
              <w:rPr>
                <w:rFonts w:ascii="Arial" w:hAnsi="Arial" w:cs="Arial"/>
              </w:rPr>
              <w:t>Upon system implementation of NPRR987, BESTF-3 Energy Storage Resource Contribution to Physical Responsive Capability and Real-Time On-Line Reserve Capacity Calculations.</w:t>
            </w:r>
          </w:p>
          <w:p w14:paraId="0D6D3FA2" w14:textId="77777777" w:rsidR="007F1A85" w:rsidRPr="007F1A85" w:rsidRDefault="007F1A85">
            <w:pPr>
              <w:pStyle w:val="BodyText"/>
              <w:spacing w:before="0" w:after="0"/>
              <w:ind w:left="360"/>
              <w:jc w:val="both"/>
              <w:rPr>
                <w:rFonts w:ascii="Arial" w:hAnsi="Arial" w:cs="Arial"/>
                <w:i/>
              </w:rPr>
            </w:pPr>
            <w:r w:rsidRPr="007F1A85">
              <w:rPr>
                <w:rFonts w:ascii="Arial" w:hAnsi="Arial" w:cs="Arial"/>
                <w:b/>
              </w:rPr>
              <w:t xml:space="preserve">ERCOT Impact Analysis:  </w:t>
            </w:r>
            <w:r w:rsidRPr="007F1A85">
              <w:rPr>
                <w:rFonts w:ascii="Arial" w:hAnsi="Arial" w:cs="Arial"/>
              </w:rPr>
              <w:t>No budgetary impact; no impacts to ERCOT staffing; no impacts to ERCOT computer systems; no impacts to ERCOT business processes; no impacts to ERCOT grid operations and practices.</w:t>
            </w:r>
          </w:p>
          <w:p w14:paraId="28216EDD" w14:textId="5FC20DB3" w:rsidR="007F1A85" w:rsidRPr="007F1A85" w:rsidRDefault="001E75DD" w:rsidP="00514008">
            <w:pPr>
              <w:ind w:left="360"/>
              <w:jc w:val="both"/>
              <w:rPr>
                <w:rFonts w:ascii="Arial" w:hAnsi="Arial" w:cs="Arial"/>
              </w:rPr>
            </w:pPr>
            <w:r>
              <w:rPr>
                <w:rFonts w:ascii="Arial" w:hAnsi="Arial" w:cs="Arial"/>
                <w:b/>
              </w:rPr>
              <w:t xml:space="preserve">TAC </w:t>
            </w:r>
            <w:r w:rsidR="007F1A85" w:rsidRPr="007F1A85">
              <w:rPr>
                <w:rFonts w:ascii="Arial" w:hAnsi="Arial" w:cs="Arial"/>
                <w:b/>
              </w:rPr>
              <w:t>Decision:</w:t>
            </w:r>
            <w:r w:rsidR="007F1A85" w:rsidRPr="007F1A85">
              <w:rPr>
                <w:rFonts w:ascii="Arial" w:hAnsi="Arial" w:cs="Arial"/>
              </w:rPr>
              <w:t xml:space="preserve">  </w:t>
            </w:r>
            <w:r w:rsidRPr="001E75DD">
              <w:rPr>
                <w:rFonts w:ascii="Arial" w:hAnsi="Arial" w:cs="Arial"/>
              </w:rPr>
              <w:t>On 3/24/21, TAC unanimously voted via roll call to recommend approval of NPRR1069 as recommended by PRS in the 3/11/21 PRS Report and the Revised Impact Analysis for NPRR1069.</w:t>
            </w:r>
          </w:p>
          <w:p w14:paraId="03CF01A3" w14:textId="63AE2424" w:rsidR="00011386" w:rsidRDefault="00011386">
            <w:pPr>
              <w:ind w:left="360"/>
              <w:jc w:val="both"/>
              <w:rPr>
                <w:rFonts w:ascii="Arial" w:hAnsi="Arial" w:cs="Arial"/>
              </w:rPr>
            </w:pPr>
          </w:p>
          <w:p w14:paraId="3B29FF0D" w14:textId="54EF044D" w:rsidR="00690580" w:rsidRPr="007F1A85" w:rsidRDefault="00690580" w:rsidP="00514008">
            <w:pPr>
              <w:numPr>
                <w:ilvl w:val="0"/>
                <w:numId w:val="46"/>
              </w:numPr>
              <w:jc w:val="both"/>
              <w:rPr>
                <w:rFonts w:ascii="Arial" w:hAnsi="Arial" w:cs="Arial"/>
                <w:b/>
                <w:i/>
              </w:rPr>
            </w:pPr>
            <w:r>
              <w:rPr>
                <w:rFonts w:ascii="Arial" w:hAnsi="Arial" w:cs="Arial"/>
                <w:b/>
                <w:i/>
              </w:rPr>
              <w:t>NOGRR219, Related to NPRR1045, Transmission Operator Definition and Designation</w:t>
            </w:r>
            <w:r w:rsidRPr="007F1A85">
              <w:rPr>
                <w:rFonts w:ascii="Arial" w:hAnsi="Arial" w:cs="Arial"/>
                <w:b/>
                <w:i/>
              </w:rPr>
              <w:t xml:space="preserve"> [ERCOT]</w:t>
            </w:r>
          </w:p>
          <w:p w14:paraId="552A61EC" w14:textId="1EFCEF04" w:rsidR="00690580" w:rsidRPr="007F1A85" w:rsidRDefault="00690580" w:rsidP="00514008">
            <w:pPr>
              <w:ind w:left="360"/>
              <w:jc w:val="both"/>
              <w:rPr>
                <w:rFonts w:ascii="Arial" w:hAnsi="Arial" w:cs="Arial"/>
              </w:rPr>
            </w:pPr>
            <w:r w:rsidRPr="007F1A85">
              <w:rPr>
                <w:rFonts w:ascii="Arial" w:hAnsi="Arial" w:cs="Arial"/>
                <w:b/>
              </w:rPr>
              <w:t xml:space="preserve">Revision Description:  </w:t>
            </w:r>
            <w:r w:rsidRPr="00690580">
              <w:rPr>
                <w:rFonts w:ascii="Arial" w:hAnsi="Arial" w:cs="Arial"/>
              </w:rPr>
              <w:t xml:space="preserve">This NOGRR removes the definition of TO from the Nodal Operating Guide because it is being moved to the ERCOT Protocols by NPRR1045.  This NOGRR also clarifies existing language relating to Load shed obligations and removes the Load Shed Table from the Nodal Operating Guide.  Instead, the Load Shed Table will be posted on the ERCOT website.  </w:t>
            </w:r>
          </w:p>
          <w:p w14:paraId="55FB9085" w14:textId="05F9B51E" w:rsidR="00690580" w:rsidRPr="007F1A85" w:rsidRDefault="00690580">
            <w:pPr>
              <w:pStyle w:val="BodyText"/>
              <w:spacing w:before="0" w:after="0"/>
              <w:ind w:left="360"/>
              <w:jc w:val="both"/>
              <w:rPr>
                <w:rFonts w:ascii="Arial" w:hAnsi="Arial" w:cs="Arial"/>
              </w:rPr>
            </w:pPr>
            <w:r w:rsidRPr="007F1A85">
              <w:rPr>
                <w:rFonts w:ascii="Arial" w:hAnsi="Arial" w:cs="Arial"/>
                <w:b/>
              </w:rPr>
              <w:t xml:space="preserve">Proposed Effective Date:  </w:t>
            </w:r>
            <w:r>
              <w:rPr>
                <w:rFonts w:ascii="Arial" w:hAnsi="Arial" w:cs="Arial"/>
              </w:rPr>
              <w:t>May 1, 2021 (Section 1.4); Upon system implementation (all remaining language)</w:t>
            </w:r>
          </w:p>
          <w:p w14:paraId="2EE42CD6" w14:textId="43F413AE" w:rsidR="00690580" w:rsidRPr="007F1A85" w:rsidRDefault="00690580">
            <w:pPr>
              <w:pStyle w:val="BodyText"/>
              <w:spacing w:before="0" w:after="0"/>
              <w:ind w:left="360"/>
              <w:jc w:val="both"/>
              <w:rPr>
                <w:rFonts w:ascii="Arial" w:hAnsi="Arial" w:cs="Arial"/>
                <w:i/>
              </w:rPr>
            </w:pPr>
            <w:r w:rsidRPr="007F1A85">
              <w:rPr>
                <w:rFonts w:ascii="Arial" w:hAnsi="Arial" w:cs="Arial"/>
                <w:b/>
              </w:rPr>
              <w:t xml:space="preserve">ERCOT Impact Analysis:  </w:t>
            </w:r>
            <w:r w:rsidR="00A374C1">
              <w:rPr>
                <w:rFonts w:ascii="Arial" w:hAnsi="Arial" w:cs="Arial"/>
              </w:rPr>
              <w:t>Less than $5k (O&amp;M)</w:t>
            </w:r>
            <w:r w:rsidRPr="007F1A85">
              <w:rPr>
                <w:rFonts w:ascii="Arial" w:hAnsi="Arial" w:cs="Arial"/>
              </w:rPr>
              <w:t xml:space="preserve">; no impacts to ERCOT staffing; </w:t>
            </w:r>
            <w:r w:rsidR="00A374C1">
              <w:rPr>
                <w:rFonts w:ascii="Arial" w:hAnsi="Arial" w:cs="Arial"/>
              </w:rPr>
              <w:t>impacts to External Public</w:t>
            </w:r>
            <w:r w:rsidRPr="007F1A85">
              <w:rPr>
                <w:rFonts w:ascii="Arial" w:hAnsi="Arial" w:cs="Arial"/>
              </w:rPr>
              <w:t>; ERCOT business processes</w:t>
            </w:r>
            <w:r w:rsidR="00A374C1">
              <w:rPr>
                <w:rFonts w:ascii="Arial" w:hAnsi="Arial" w:cs="Arial"/>
              </w:rPr>
              <w:t xml:space="preserve"> will be updated</w:t>
            </w:r>
            <w:r w:rsidRPr="007F1A85">
              <w:rPr>
                <w:rFonts w:ascii="Arial" w:hAnsi="Arial" w:cs="Arial"/>
              </w:rPr>
              <w:t>; no impacts to ERCOT grid operations and practices.</w:t>
            </w:r>
          </w:p>
          <w:p w14:paraId="0298E483" w14:textId="74C3523D" w:rsidR="00690580" w:rsidRDefault="00690580" w:rsidP="000A10DB">
            <w:pPr>
              <w:ind w:left="360"/>
              <w:jc w:val="both"/>
              <w:rPr>
                <w:rFonts w:ascii="Arial" w:hAnsi="Arial" w:cs="Arial"/>
              </w:rPr>
            </w:pPr>
            <w:r>
              <w:rPr>
                <w:rFonts w:ascii="Arial" w:hAnsi="Arial" w:cs="Arial"/>
                <w:b/>
              </w:rPr>
              <w:lastRenderedPageBreak/>
              <w:t xml:space="preserve">TAC </w:t>
            </w:r>
            <w:r w:rsidRPr="007F1A85">
              <w:rPr>
                <w:rFonts w:ascii="Arial" w:hAnsi="Arial" w:cs="Arial"/>
                <w:b/>
              </w:rPr>
              <w:t>Decision:</w:t>
            </w:r>
            <w:r w:rsidRPr="007F1A85">
              <w:rPr>
                <w:rFonts w:ascii="Arial" w:hAnsi="Arial" w:cs="Arial"/>
              </w:rPr>
              <w:t xml:space="preserve">  </w:t>
            </w:r>
            <w:r w:rsidR="00A374C1" w:rsidRPr="00A374C1">
              <w:rPr>
                <w:rFonts w:ascii="Arial" w:hAnsi="Arial" w:cs="Arial"/>
              </w:rPr>
              <w:t>On 3/24/21, TAC unanimously voted via roll call to recommend approval of NOGRR219 as recommended by ROS in the 2/4/21 ROS Report with a recommended effective date of 5/1/21 for language in Section 1.4, Definitions, and upon system implementation for all remaining language.</w:t>
            </w:r>
          </w:p>
          <w:p w14:paraId="0FEDC776" w14:textId="77777777" w:rsidR="00A374C1" w:rsidRDefault="00A374C1" w:rsidP="000A10DB">
            <w:pPr>
              <w:ind w:left="360"/>
              <w:jc w:val="both"/>
              <w:rPr>
                <w:rFonts w:ascii="Arial" w:hAnsi="Arial" w:cs="Arial"/>
              </w:rPr>
            </w:pPr>
          </w:p>
          <w:p w14:paraId="0059E2FA" w14:textId="7148B7BC" w:rsidR="00A374C1" w:rsidRPr="007F1A85" w:rsidRDefault="00A374C1" w:rsidP="000A10DB">
            <w:pPr>
              <w:numPr>
                <w:ilvl w:val="0"/>
                <w:numId w:val="46"/>
              </w:numPr>
              <w:jc w:val="both"/>
              <w:rPr>
                <w:rFonts w:ascii="Arial" w:hAnsi="Arial" w:cs="Arial"/>
                <w:b/>
                <w:i/>
              </w:rPr>
            </w:pPr>
            <w:r>
              <w:rPr>
                <w:rFonts w:ascii="Arial" w:hAnsi="Arial" w:cs="Arial"/>
                <w:b/>
                <w:i/>
              </w:rPr>
              <w:t>OBDRR028, Related to NPRR1069, Align Ancillary Service Responsibility for ESRs with NPRR987</w:t>
            </w:r>
            <w:r w:rsidRPr="007F1A85">
              <w:rPr>
                <w:rFonts w:ascii="Arial" w:hAnsi="Arial" w:cs="Arial"/>
                <w:b/>
                <w:i/>
              </w:rPr>
              <w:t xml:space="preserve"> [ERCOT]</w:t>
            </w:r>
          </w:p>
          <w:p w14:paraId="136550F6" w14:textId="3B049149" w:rsidR="00A374C1" w:rsidRPr="007F1A85" w:rsidRDefault="00A374C1" w:rsidP="000A10DB">
            <w:pPr>
              <w:ind w:left="360"/>
              <w:jc w:val="both"/>
              <w:rPr>
                <w:rFonts w:ascii="Arial" w:hAnsi="Arial" w:cs="Arial"/>
              </w:rPr>
            </w:pPr>
            <w:r w:rsidRPr="007F1A85">
              <w:rPr>
                <w:rFonts w:ascii="Arial" w:hAnsi="Arial" w:cs="Arial"/>
                <w:b/>
              </w:rPr>
              <w:t xml:space="preserve">Revision Description:  </w:t>
            </w:r>
            <w:r w:rsidRPr="00A374C1">
              <w:rPr>
                <w:rFonts w:ascii="Arial" w:hAnsi="Arial" w:cs="Arial"/>
              </w:rPr>
              <w:t xml:space="preserve">This </w:t>
            </w:r>
            <w:r w:rsidR="00D6011E">
              <w:rPr>
                <w:rFonts w:ascii="Arial" w:hAnsi="Arial" w:cs="Arial"/>
              </w:rPr>
              <w:t>OBDRR</w:t>
            </w:r>
            <w:r w:rsidRPr="00A374C1">
              <w:rPr>
                <w:rFonts w:ascii="Arial" w:hAnsi="Arial" w:cs="Arial"/>
              </w:rPr>
              <w:t xml:space="preserve"> clarifies Operating Reserve treatment of </w:t>
            </w:r>
            <w:r w:rsidR="00D6011E">
              <w:rPr>
                <w:rFonts w:ascii="Arial" w:hAnsi="Arial" w:cs="Arial"/>
              </w:rPr>
              <w:t>ESR</w:t>
            </w:r>
            <w:r w:rsidRPr="00A374C1">
              <w:rPr>
                <w:rFonts w:ascii="Arial" w:hAnsi="Arial" w:cs="Arial"/>
              </w:rPr>
              <w:t xml:space="preserve"> capacity.</w:t>
            </w:r>
          </w:p>
          <w:p w14:paraId="30DFB36E" w14:textId="4AA83B83" w:rsidR="00A374C1" w:rsidRPr="007F1A85" w:rsidRDefault="00A374C1">
            <w:pPr>
              <w:pStyle w:val="BodyText"/>
              <w:spacing w:before="0" w:after="0"/>
              <w:ind w:left="360"/>
              <w:jc w:val="both"/>
              <w:rPr>
                <w:rFonts w:ascii="Arial" w:hAnsi="Arial" w:cs="Arial"/>
              </w:rPr>
            </w:pPr>
            <w:r w:rsidRPr="007F1A85">
              <w:rPr>
                <w:rFonts w:ascii="Arial" w:hAnsi="Arial" w:cs="Arial"/>
                <w:b/>
              </w:rPr>
              <w:t xml:space="preserve">Proposed Effective Date:  </w:t>
            </w:r>
            <w:r w:rsidRPr="00A374C1">
              <w:rPr>
                <w:rFonts w:ascii="Arial" w:hAnsi="Arial" w:cs="Arial"/>
              </w:rPr>
              <w:t>Upon system implementation of NPRR1069</w:t>
            </w:r>
          </w:p>
          <w:p w14:paraId="10F33E70" w14:textId="04D3CB0C" w:rsidR="00A374C1" w:rsidRPr="007F1A85" w:rsidRDefault="00A374C1">
            <w:pPr>
              <w:pStyle w:val="BodyText"/>
              <w:spacing w:before="0" w:after="0"/>
              <w:ind w:left="360"/>
              <w:jc w:val="both"/>
              <w:rPr>
                <w:rFonts w:ascii="Arial" w:hAnsi="Arial" w:cs="Arial"/>
                <w:i/>
              </w:rPr>
            </w:pPr>
            <w:r w:rsidRPr="007F1A85">
              <w:rPr>
                <w:rFonts w:ascii="Arial" w:hAnsi="Arial" w:cs="Arial"/>
                <w:b/>
              </w:rPr>
              <w:t xml:space="preserve">ERCOT Impact Analysis:  </w:t>
            </w:r>
            <w:r w:rsidRPr="007F1A85">
              <w:rPr>
                <w:rFonts w:ascii="Arial" w:hAnsi="Arial" w:cs="Arial"/>
              </w:rPr>
              <w:t>No budgetary impact; no impacts to ERCOT staffing; no impacts to ERCOT computer systems; no impacts to ERCOT business processes; no impacts to ERCOT grid operations and practices.</w:t>
            </w:r>
            <w:r>
              <w:rPr>
                <w:rFonts w:ascii="Arial" w:hAnsi="Arial" w:cs="Arial"/>
              </w:rPr>
              <w:t xml:space="preserve"> (</w:t>
            </w:r>
            <w:r w:rsidRPr="00A374C1">
              <w:rPr>
                <w:rFonts w:ascii="Arial" w:hAnsi="Arial" w:cs="Arial"/>
              </w:rPr>
              <w:t xml:space="preserve">There are no additional impacts to this NPRR beyond what was captured in the </w:t>
            </w:r>
            <w:r>
              <w:rPr>
                <w:rFonts w:ascii="Arial" w:hAnsi="Arial" w:cs="Arial"/>
              </w:rPr>
              <w:t>Impact Analysis for NPRR1069.)</w:t>
            </w:r>
          </w:p>
          <w:p w14:paraId="5EAF1292" w14:textId="6130C2B5" w:rsidR="00A374C1" w:rsidRPr="007F1A85" w:rsidRDefault="00A374C1" w:rsidP="000A10DB">
            <w:pPr>
              <w:ind w:left="360"/>
              <w:jc w:val="both"/>
              <w:rPr>
                <w:rFonts w:ascii="Arial" w:hAnsi="Arial" w:cs="Arial"/>
              </w:rPr>
            </w:pPr>
            <w:r>
              <w:rPr>
                <w:rFonts w:ascii="Arial" w:hAnsi="Arial" w:cs="Arial"/>
                <w:b/>
              </w:rPr>
              <w:t xml:space="preserve">TAC </w:t>
            </w:r>
            <w:r w:rsidRPr="007F1A85">
              <w:rPr>
                <w:rFonts w:ascii="Arial" w:hAnsi="Arial" w:cs="Arial"/>
                <w:b/>
              </w:rPr>
              <w:t>Decision:</w:t>
            </w:r>
            <w:r w:rsidRPr="007F1A85">
              <w:rPr>
                <w:rFonts w:ascii="Arial" w:hAnsi="Arial" w:cs="Arial"/>
              </w:rPr>
              <w:t xml:space="preserve">  </w:t>
            </w:r>
            <w:r w:rsidRPr="00A374C1">
              <w:rPr>
                <w:rFonts w:ascii="Arial" w:hAnsi="Arial" w:cs="Arial"/>
              </w:rPr>
              <w:t>On 3/24/21, TAC unanimously voted via roll call to recommend approval of OBDRR028 as submitted and the Impact Analysis for OBDRR028.</w:t>
            </w:r>
          </w:p>
          <w:p w14:paraId="3009BB0E" w14:textId="77777777" w:rsidR="00A374C1" w:rsidRPr="007F1A85" w:rsidRDefault="00A374C1" w:rsidP="00690580">
            <w:pPr>
              <w:ind w:left="360"/>
              <w:rPr>
                <w:rFonts w:ascii="Arial" w:hAnsi="Arial" w:cs="Arial"/>
              </w:rPr>
            </w:pPr>
          </w:p>
          <w:p w14:paraId="4EF91F7C" w14:textId="39ABAAEF" w:rsidR="009C6BA6" w:rsidRPr="00F47DEE" w:rsidRDefault="009C6BA6" w:rsidP="007D4A9E">
            <w:pPr>
              <w:jc w:val="both"/>
              <w:rPr>
                <w:rFonts w:ascii="Arial" w:hAnsi="Arial" w:cs="Arial"/>
                <w:bCs/>
              </w:rPr>
            </w:pPr>
            <w:r w:rsidRPr="00F47DEE">
              <w:rPr>
                <w:rFonts w:ascii="Arial" w:hAnsi="Arial" w:cs="Arial"/>
                <w:bCs/>
              </w:rPr>
              <w:t xml:space="preserve">The TAC Reports and Impact Analyses for these Revision Requests are included in the </w:t>
            </w:r>
            <w:hyperlink r:id="rId12" w:history="1">
              <w:r w:rsidRPr="0042169B">
                <w:rPr>
                  <w:rStyle w:val="Hyperlink"/>
                  <w:rFonts w:ascii="Arial" w:hAnsi="Arial" w:cs="Arial"/>
                  <w:bCs/>
                </w:rPr>
                <w:t>ERCOT Board meeting materials</w:t>
              </w:r>
            </w:hyperlink>
            <w:r w:rsidR="0042169B">
              <w:rPr>
                <w:rFonts w:ascii="Arial" w:hAnsi="Arial" w:cs="Arial"/>
                <w:bCs/>
              </w:rPr>
              <w:t>.</w:t>
            </w:r>
          </w:p>
          <w:p w14:paraId="4639C5BE" w14:textId="74675491" w:rsidR="00250349" w:rsidRDefault="00250349" w:rsidP="007D4A9E">
            <w:pPr>
              <w:jc w:val="both"/>
              <w:rPr>
                <w:rFonts w:ascii="Arial" w:hAnsi="Arial" w:cs="Arial"/>
              </w:rPr>
            </w:pPr>
          </w:p>
          <w:p w14:paraId="3163E0DE" w14:textId="4E65004D" w:rsidR="0042169B" w:rsidRPr="009B26B1" w:rsidRDefault="009C6BA6" w:rsidP="007D4A9E">
            <w:pPr>
              <w:jc w:val="both"/>
              <w:rPr>
                <w:rFonts w:ascii="Arial" w:hAnsi="Arial" w:cs="Arial"/>
                <w:bCs/>
                <w:color w:val="0000FF"/>
                <w:u w:val="single"/>
              </w:rPr>
            </w:pPr>
            <w:r w:rsidRPr="00F47DEE">
              <w:rPr>
                <w:rFonts w:ascii="Arial" w:hAnsi="Arial" w:cs="Arial"/>
                <w:bCs/>
              </w:rPr>
              <w:t>In addition, these Revision Requests</w:t>
            </w:r>
            <w:r w:rsidR="0042169B">
              <w:rPr>
                <w:rFonts w:ascii="Arial" w:hAnsi="Arial" w:cs="Arial"/>
                <w:bCs/>
              </w:rPr>
              <w:t xml:space="preserve"> (</w:t>
            </w:r>
            <w:hyperlink r:id="rId13" w:history="1">
              <w:r w:rsidR="0042169B" w:rsidRPr="0042169B">
                <w:rPr>
                  <w:rStyle w:val="Hyperlink"/>
                  <w:rFonts w:ascii="Arial" w:hAnsi="Arial" w:cs="Arial"/>
                  <w:bCs/>
                </w:rPr>
                <w:t>NPRRs</w:t>
              </w:r>
            </w:hyperlink>
            <w:r w:rsidR="00A1551B">
              <w:rPr>
                <w:rFonts w:ascii="Arial" w:hAnsi="Arial" w:cs="Arial"/>
                <w:bCs/>
              </w:rPr>
              <w:t xml:space="preserve">, </w:t>
            </w:r>
            <w:hyperlink r:id="rId14" w:history="1">
              <w:r w:rsidR="00D6011E" w:rsidRPr="00D6011E">
                <w:rPr>
                  <w:rStyle w:val="Hyperlink"/>
                  <w:rFonts w:ascii="Arial" w:hAnsi="Arial" w:cs="Arial"/>
                  <w:bCs/>
                </w:rPr>
                <w:t>NOGRR</w:t>
              </w:r>
            </w:hyperlink>
            <w:r w:rsidR="00A1551B">
              <w:rPr>
                <w:rFonts w:ascii="Arial" w:hAnsi="Arial" w:cs="Arial"/>
                <w:bCs/>
              </w:rPr>
              <w:t xml:space="preserve">, </w:t>
            </w:r>
            <w:r w:rsidR="00A1551B" w:rsidRPr="00DB547B">
              <w:rPr>
                <w:rFonts w:ascii="Arial" w:hAnsi="Arial" w:cs="Arial"/>
              </w:rPr>
              <w:t xml:space="preserve">and </w:t>
            </w:r>
            <w:hyperlink r:id="rId15" w:history="1">
              <w:r w:rsidR="00D6011E">
                <w:rPr>
                  <w:rStyle w:val="Hyperlink"/>
                  <w:rFonts w:ascii="Arial" w:hAnsi="Arial" w:cs="Arial"/>
                </w:rPr>
                <w:t>OBDRR</w:t>
              </w:r>
            </w:hyperlink>
            <w:r w:rsidR="00E7251C" w:rsidRPr="00DB547B">
              <w:rPr>
                <w:rFonts w:ascii="Arial" w:hAnsi="Arial" w:cs="Arial"/>
                <w:bCs/>
              </w:rPr>
              <w:t>)</w:t>
            </w:r>
            <w:r w:rsidR="0042169B">
              <w:rPr>
                <w:rFonts w:ascii="Arial" w:hAnsi="Arial" w:cs="Arial"/>
                <w:bCs/>
              </w:rPr>
              <w:t xml:space="preserve"> </w:t>
            </w:r>
            <w:r w:rsidRPr="00F47DEE">
              <w:rPr>
                <w:rFonts w:ascii="Arial" w:hAnsi="Arial" w:cs="Arial"/>
                <w:bCs/>
              </w:rPr>
              <w:t>and supporting materials are posted on the ERCOT website</w:t>
            </w:r>
            <w:r w:rsidR="0042169B">
              <w:rPr>
                <w:rFonts w:ascii="Arial" w:hAnsi="Arial" w:cs="Arial"/>
                <w:bCs/>
              </w:rPr>
              <w:t>.</w:t>
            </w:r>
          </w:p>
          <w:p w14:paraId="3C8D9A5D" w14:textId="2EFF0FEA" w:rsidR="0042169B" w:rsidRPr="009B26B1" w:rsidRDefault="0042169B" w:rsidP="00250349">
            <w:pPr>
              <w:spacing w:after="120"/>
              <w:jc w:val="center"/>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32FFE9AE" w:rsidR="00DA79E3" w:rsidRPr="00F47DEE"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0F0627">
              <w:rPr>
                <w:rFonts w:ascii="Arial" w:hAnsi="Arial" w:cs="Arial"/>
                <w:bCs/>
              </w:rPr>
              <w:t>,</w:t>
            </w:r>
            <w:r w:rsidRPr="00F47DEE">
              <w:rPr>
                <w:rFonts w:ascii="Arial" w:hAnsi="Arial" w:cs="Arial"/>
                <w:bCs/>
              </w:rPr>
              <w:t xml:space="preserve"> </w:t>
            </w:r>
            <w:r w:rsidR="000F0627">
              <w:rPr>
                <w:rFonts w:ascii="Arial" w:hAnsi="Arial" w:cs="Arial"/>
                <w:bCs/>
              </w:rPr>
              <w:t>via Webex</w:t>
            </w:r>
            <w:r w:rsidRPr="00F47DEE">
              <w:rPr>
                <w:rFonts w:ascii="Arial" w:hAnsi="Arial" w:cs="Arial"/>
                <w:bCs/>
              </w:rPr>
              <w:t xml:space="preserve">, discussed the issues, and submitted reports to TAC regarding </w:t>
            </w:r>
            <w:r w:rsidR="000154BD" w:rsidRPr="00F47DEE">
              <w:rPr>
                <w:rFonts w:ascii="Arial" w:hAnsi="Arial" w:cs="Arial"/>
                <w:bCs/>
              </w:rPr>
              <w:t xml:space="preserve">NPRRs </w:t>
            </w:r>
            <w:r w:rsidR="003A67BC">
              <w:rPr>
                <w:rFonts w:ascii="Arial" w:hAnsi="Arial" w:cs="Arial"/>
                <w:bCs/>
              </w:rPr>
              <w:t>1023, 1045, 1057, 1059, 1065, 1066 and 1069.</w:t>
            </w:r>
          </w:p>
          <w:p w14:paraId="75BCF2B3" w14:textId="77777777" w:rsidR="00C56883" w:rsidRPr="00F47DEE" w:rsidRDefault="00C56883" w:rsidP="00DA79E3">
            <w:pPr>
              <w:jc w:val="both"/>
              <w:rPr>
                <w:rFonts w:ascii="Arial" w:hAnsi="Arial" w:cs="Arial"/>
                <w:bCs/>
              </w:rPr>
            </w:pPr>
          </w:p>
          <w:p w14:paraId="59D84C00" w14:textId="750AE9DF" w:rsidR="002E7BC5" w:rsidRDefault="00C56883" w:rsidP="00265ECC">
            <w:pPr>
              <w:jc w:val="both"/>
              <w:rPr>
                <w:rFonts w:ascii="Arial" w:hAnsi="Arial" w:cs="Arial"/>
                <w:bCs/>
              </w:rPr>
            </w:pPr>
            <w:r w:rsidRPr="00F47DEE">
              <w:rPr>
                <w:rFonts w:ascii="Arial" w:hAnsi="Arial" w:cs="Arial"/>
                <w:bCs/>
              </w:rPr>
              <w:t xml:space="preserve">The </w:t>
            </w:r>
            <w:r w:rsidR="00F4250E" w:rsidRPr="00F47DEE">
              <w:rPr>
                <w:rFonts w:ascii="Arial" w:hAnsi="Arial" w:cs="Arial"/>
                <w:bCs/>
              </w:rPr>
              <w:t xml:space="preserve">ROS met, </w:t>
            </w:r>
            <w:r w:rsidR="00265ECC">
              <w:rPr>
                <w:rFonts w:ascii="Arial" w:hAnsi="Arial" w:cs="Arial"/>
                <w:bCs/>
              </w:rPr>
              <w:t xml:space="preserve">via Webex, </w:t>
            </w:r>
            <w:r w:rsidR="00F4250E" w:rsidRPr="00F47DEE">
              <w:rPr>
                <w:rFonts w:ascii="Arial" w:hAnsi="Arial" w:cs="Arial"/>
                <w:bCs/>
              </w:rPr>
              <w:t>discussed</w:t>
            </w:r>
            <w:r w:rsidRPr="00F47DEE">
              <w:rPr>
                <w:rFonts w:ascii="Arial" w:hAnsi="Arial" w:cs="Arial"/>
                <w:bCs/>
              </w:rPr>
              <w:t xml:space="preserve"> the issues, and submitted </w:t>
            </w:r>
            <w:r w:rsidR="003A67BC">
              <w:rPr>
                <w:rFonts w:ascii="Arial" w:hAnsi="Arial" w:cs="Arial"/>
                <w:bCs/>
              </w:rPr>
              <w:t>a report</w:t>
            </w:r>
            <w:r w:rsidRPr="00F47DEE">
              <w:rPr>
                <w:rFonts w:ascii="Arial" w:hAnsi="Arial" w:cs="Arial"/>
                <w:bCs/>
              </w:rPr>
              <w:t xml:space="preserve"> to TAC regarding</w:t>
            </w:r>
            <w:r w:rsidR="000D0DC4">
              <w:rPr>
                <w:rFonts w:ascii="Arial" w:hAnsi="Arial" w:cs="Arial"/>
                <w:bCs/>
              </w:rPr>
              <w:t xml:space="preserve"> </w:t>
            </w:r>
            <w:r w:rsidR="003A67BC">
              <w:rPr>
                <w:rFonts w:ascii="Arial" w:hAnsi="Arial" w:cs="Arial"/>
                <w:bCs/>
              </w:rPr>
              <w:t>NOGRR219</w:t>
            </w:r>
            <w:r w:rsidR="000D0DC4">
              <w:rPr>
                <w:rFonts w:ascii="Arial" w:hAnsi="Arial" w:cs="Arial"/>
                <w:bCs/>
              </w:rPr>
              <w:t>.</w:t>
            </w:r>
          </w:p>
          <w:p w14:paraId="0F3AFDB2" w14:textId="77777777" w:rsidR="00265ECC" w:rsidRDefault="00265ECC" w:rsidP="00D6614D">
            <w:pPr>
              <w:jc w:val="both"/>
              <w:rPr>
                <w:rFonts w:ascii="Arial" w:hAnsi="Arial" w:cs="Arial"/>
                <w:bCs/>
              </w:rPr>
            </w:pPr>
          </w:p>
          <w:p w14:paraId="65234E28" w14:textId="590C0048" w:rsidR="000D0DC4" w:rsidRDefault="000D0DC4" w:rsidP="000D0DC4">
            <w:pPr>
              <w:jc w:val="both"/>
              <w:rPr>
                <w:rFonts w:ascii="Arial" w:hAnsi="Arial" w:cs="Arial"/>
                <w:bCs/>
              </w:rPr>
            </w:pPr>
            <w:r w:rsidRPr="00F47DEE">
              <w:rPr>
                <w:rFonts w:ascii="Arial" w:hAnsi="Arial" w:cs="Arial"/>
                <w:bCs/>
              </w:rPr>
              <w:t xml:space="preserve">The </w:t>
            </w:r>
            <w:r>
              <w:rPr>
                <w:rFonts w:ascii="Arial" w:hAnsi="Arial" w:cs="Arial"/>
                <w:bCs/>
              </w:rPr>
              <w:t>WMS</w:t>
            </w:r>
            <w:r w:rsidRPr="00F47DEE">
              <w:rPr>
                <w:rFonts w:ascii="Arial" w:hAnsi="Arial" w:cs="Arial"/>
                <w:bCs/>
              </w:rPr>
              <w:t xml:space="preserve"> met, </w:t>
            </w:r>
            <w:r>
              <w:rPr>
                <w:rFonts w:ascii="Arial" w:hAnsi="Arial" w:cs="Arial"/>
                <w:bCs/>
              </w:rPr>
              <w:t xml:space="preserve">via Webex, </w:t>
            </w:r>
            <w:r w:rsidRPr="00F47DEE">
              <w:rPr>
                <w:rFonts w:ascii="Arial" w:hAnsi="Arial" w:cs="Arial"/>
                <w:bCs/>
              </w:rPr>
              <w:t xml:space="preserve">discussed the issues, and submitted </w:t>
            </w:r>
            <w:r>
              <w:rPr>
                <w:rFonts w:ascii="Arial" w:hAnsi="Arial" w:cs="Arial"/>
                <w:bCs/>
              </w:rPr>
              <w:t>reports</w:t>
            </w:r>
            <w:r w:rsidRPr="00F47DEE">
              <w:rPr>
                <w:rFonts w:ascii="Arial" w:hAnsi="Arial" w:cs="Arial"/>
                <w:bCs/>
              </w:rPr>
              <w:t xml:space="preserve"> to TAC regarding</w:t>
            </w:r>
            <w:r>
              <w:rPr>
                <w:rFonts w:ascii="Arial" w:hAnsi="Arial" w:cs="Arial"/>
                <w:bCs/>
              </w:rPr>
              <w:t xml:space="preserve"> </w:t>
            </w:r>
            <w:r w:rsidR="00255C29">
              <w:rPr>
                <w:rFonts w:ascii="Arial" w:hAnsi="Arial" w:cs="Arial"/>
                <w:bCs/>
              </w:rPr>
              <w:t>SMOGRR024</w:t>
            </w:r>
            <w:r>
              <w:rPr>
                <w:rFonts w:ascii="Arial" w:hAnsi="Arial" w:cs="Arial"/>
                <w:bCs/>
              </w:rPr>
              <w:t>.</w:t>
            </w:r>
          </w:p>
          <w:p w14:paraId="6E79F515" w14:textId="77777777" w:rsidR="007B0EEC" w:rsidRDefault="007B0EEC" w:rsidP="000D0DC4">
            <w:pPr>
              <w:jc w:val="both"/>
              <w:rPr>
                <w:rFonts w:ascii="Arial" w:hAnsi="Arial" w:cs="Arial"/>
                <w:bCs/>
              </w:rPr>
            </w:pPr>
          </w:p>
          <w:p w14:paraId="57BC15BF" w14:textId="4DBC35AA" w:rsidR="007B0EEC" w:rsidRDefault="007B0EEC" w:rsidP="000D0DC4">
            <w:pPr>
              <w:jc w:val="both"/>
              <w:rPr>
                <w:rFonts w:ascii="Arial" w:hAnsi="Arial" w:cs="Arial"/>
                <w:bCs/>
              </w:rPr>
            </w:pPr>
            <w:r>
              <w:rPr>
                <w:rFonts w:ascii="Arial" w:hAnsi="Arial" w:cs="Arial"/>
                <w:bCs/>
              </w:rPr>
              <w:t>The TAC discussed the issues and recommended approval of OBDRR028.</w:t>
            </w:r>
          </w:p>
          <w:p w14:paraId="6CB7B3F0" w14:textId="3C739ED3" w:rsidR="000D0DC4" w:rsidRPr="00F47DEE" w:rsidRDefault="000D0DC4" w:rsidP="00D6614D">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1EB490EE"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783C94" w:rsidRPr="00F47DEE">
              <w:rPr>
                <w:rFonts w:ascii="Arial" w:hAnsi="Arial" w:cs="Arial"/>
                <w:bCs/>
              </w:rPr>
              <w:t xml:space="preserve">approve </w:t>
            </w:r>
            <w:r w:rsidR="00255C29" w:rsidRPr="00F47DEE">
              <w:rPr>
                <w:rFonts w:ascii="Arial" w:hAnsi="Arial" w:cs="Arial"/>
                <w:bCs/>
              </w:rPr>
              <w:t xml:space="preserve">NPRRs </w:t>
            </w:r>
            <w:r w:rsidR="007B0EEC">
              <w:rPr>
                <w:rFonts w:ascii="Arial" w:hAnsi="Arial" w:cs="Arial"/>
                <w:bCs/>
              </w:rPr>
              <w:t>1023, 1045, 1057, 1059, 1065, 1066 and 1069; NOGRR219; and OBDRR028</w:t>
            </w:r>
            <w:r w:rsidR="003E3D6E">
              <w:rPr>
                <w:rFonts w:ascii="Arial" w:hAnsi="Arial" w:cs="Arial"/>
                <w:bCs/>
              </w:rPr>
              <w:t>.</w:t>
            </w:r>
          </w:p>
          <w:p w14:paraId="5802F134" w14:textId="77777777" w:rsidR="001A2306" w:rsidRPr="00F47DEE" w:rsidRDefault="001A2306" w:rsidP="00FA19B6">
            <w:pPr>
              <w:jc w:val="both"/>
              <w:rPr>
                <w:rFonts w:ascii="Arial" w:hAnsi="Arial" w:cs="Arial"/>
              </w:rPr>
            </w:pPr>
          </w:p>
        </w:tc>
      </w:tr>
    </w:tbl>
    <w:p w14:paraId="70CB28D7" w14:textId="0BB3C7B6" w:rsidR="00307699" w:rsidRPr="00F47DEE" w:rsidRDefault="00307699" w:rsidP="00A62562">
      <w:pPr>
        <w:jc w:val="center"/>
        <w:rPr>
          <w:rFonts w:ascii="Arial" w:hAnsi="Arial" w:cs="Arial"/>
          <w:b/>
          <w:u w:val="single"/>
        </w:rPr>
      </w:pPr>
      <w:r w:rsidRPr="00F47DEE">
        <w:rPr>
          <w:rFonts w:ascii="Arial" w:hAnsi="Arial" w:cs="Arial"/>
          <w:b/>
          <w:u w:val="single"/>
        </w:rPr>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58EA0BB8" w:rsidR="00307699" w:rsidRPr="00F47DEE" w:rsidRDefault="00307699" w:rsidP="00A62562">
      <w:pPr>
        <w:jc w:val="both"/>
        <w:rPr>
          <w:rFonts w:ascii="Arial" w:hAnsi="Arial" w:cs="Arial"/>
        </w:rPr>
      </w:pPr>
      <w:r w:rsidRPr="00F47DEE">
        <w:rPr>
          <w:rFonts w:ascii="Arial" w:hAnsi="Arial" w:cs="Arial"/>
        </w:rPr>
        <w:lastRenderedPageBreak/>
        <w:t xml:space="preserve">WHEREAS, after due consideration of the alternatives, the Board of Directors (Board) of Electric Reliability Council of Texas, Inc. (ERCOT) deems it desirable and in the best interest of ERCOT to </w:t>
      </w:r>
      <w:r w:rsidR="00167741" w:rsidRPr="00F47DEE">
        <w:rPr>
          <w:rFonts w:ascii="Arial" w:hAnsi="Arial" w:cs="Arial"/>
        </w:rPr>
        <w:t xml:space="preserve">approve the </w:t>
      </w:r>
      <w:r w:rsidR="002E7BC5" w:rsidRPr="00F47DEE">
        <w:rPr>
          <w:rFonts w:ascii="Arial" w:hAnsi="Arial" w:cs="Arial"/>
        </w:rPr>
        <w:t xml:space="preserve">following </w:t>
      </w:r>
      <w:r w:rsidR="003E3D6E" w:rsidRPr="00F47DEE">
        <w:rPr>
          <w:rFonts w:ascii="Arial" w:hAnsi="Arial" w:cs="Arial"/>
        </w:rPr>
        <w:t>Nodal Protocol Revision Requests (NPRRs)</w:t>
      </w:r>
      <w:r w:rsidR="003E3D6E">
        <w:rPr>
          <w:rFonts w:ascii="Arial" w:hAnsi="Arial" w:cs="Arial"/>
        </w:rPr>
        <w:t xml:space="preserve">, </w:t>
      </w:r>
      <w:r w:rsidR="003E2E29">
        <w:rPr>
          <w:rFonts w:ascii="Arial" w:hAnsi="Arial" w:cs="Arial"/>
        </w:rPr>
        <w:t>Nodal Operating Guide Revision Request (NOGRR), and Other Binding Document Revision Request (OBDRR)</w:t>
      </w:r>
      <w:r w:rsidR="003E3D6E">
        <w:rPr>
          <w:rFonts w:ascii="Arial" w:hAnsi="Arial" w:cs="Arial"/>
        </w:rPr>
        <w:t xml:space="preserve"> </w:t>
      </w:r>
      <w:r w:rsidR="008046F2">
        <w:rPr>
          <w:rFonts w:ascii="Arial" w:hAnsi="Arial" w:cs="Arial"/>
          <w:bCs/>
        </w:rPr>
        <w:t>recommended for approval by TAC:</w:t>
      </w:r>
    </w:p>
    <w:p w14:paraId="304A09E9" w14:textId="77777777" w:rsidR="002E235F" w:rsidRPr="00F47DEE" w:rsidRDefault="002E235F" w:rsidP="00A62562">
      <w:pPr>
        <w:jc w:val="both"/>
        <w:rPr>
          <w:rFonts w:ascii="Arial" w:hAnsi="Arial" w:cs="Arial"/>
        </w:rPr>
      </w:pPr>
    </w:p>
    <w:p w14:paraId="54F4332C" w14:textId="3B32068C" w:rsidR="007B0EEC" w:rsidRPr="007F1A85" w:rsidRDefault="007B0EEC" w:rsidP="007B0EEC">
      <w:pPr>
        <w:numPr>
          <w:ilvl w:val="0"/>
          <w:numId w:val="31"/>
        </w:numPr>
        <w:rPr>
          <w:rFonts w:ascii="Arial" w:hAnsi="Arial" w:cs="Arial"/>
        </w:rPr>
      </w:pPr>
      <w:r w:rsidRPr="007F1A85">
        <w:rPr>
          <w:rFonts w:ascii="Arial" w:hAnsi="Arial" w:cs="Arial"/>
        </w:rPr>
        <w:t>NPRR1023, Cha</w:t>
      </w:r>
      <w:r>
        <w:rPr>
          <w:rFonts w:ascii="Arial" w:hAnsi="Arial" w:cs="Arial"/>
        </w:rPr>
        <w:t>nge to CRR Repossession Process;</w:t>
      </w:r>
    </w:p>
    <w:p w14:paraId="375BF454" w14:textId="093208EC" w:rsidR="007B0EEC" w:rsidRPr="007F1A85" w:rsidRDefault="007B0EEC" w:rsidP="007B0EEC">
      <w:pPr>
        <w:numPr>
          <w:ilvl w:val="0"/>
          <w:numId w:val="31"/>
        </w:numPr>
        <w:rPr>
          <w:rFonts w:ascii="Arial" w:hAnsi="Arial" w:cs="Arial"/>
        </w:rPr>
      </w:pPr>
      <w:r w:rsidRPr="007F1A85">
        <w:rPr>
          <w:rFonts w:ascii="Arial" w:hAnsi="Arial" w:cs="Arial"/>
        </w:rPr>
        <w:t>NPRR1045, Transmission Operator Definition and Designation</w:t>
      </w:r>
      <w:r>
        <w:rPr>
          <w:rFonts w:ascii="Arial" w:hAnsi="Arial" w:cs="Arial"/>
        </w:rPr>
        <w:t>;</w:t>
      </w:r>
      <w:r w:rsidRPr="007F1A85">
        <w:rPr>
          <w:rFonts w:ascii="Arial" w:hAnsi="Arial" w:cs="Arial"/>
        </w:rPr>
        <w:t xml:space="preserve"> </w:t>
      </w:r>
    </w:p>
    <w:p w14:paraId="5DB91015" w14:textId="5F8CF3F7" w:rsidR="007B0EEC" w:rsidRPr="007F1A85" w:rsidRDefault="007B0EEC" w:rsidP="007B0EEC">
      <w:pPr>
        <w:numPr>
          <w:ilvl w:val="0"/>
          <w:numId w:val="31"/>
        </w:numPr>
        <w:rPr>
          <w:rFonts w:ascii="Arial" w:hAnsi="Arial" w:cs="Arial"/>
        </w:rPr>
      </w:pPr>
      <w:r w:rsidRPr="007F1A85">
        <w:rPr>
          <w:rFonts w:ascii="Arial" w:hAnsi="Arial" w:cs="Arial"/>
        </w:rPr>
        <w:t>NPRR1057, Modification to Real-Time Hub Price Formulas for Fully De-Energized Hubs</w:t>
      </w:r>
      <w:r>
        <w:rPr>
          <w:rFonts w:ascii="Arial" w:hAnsi="Arial" w:cs="Arial"/>
        </w:rPr>
        <w:t>;</w:t>
      </w:r>
      <w:r w:rsidRPr="007F1A85">
        <w:rPr>
          <w:rFonts w:ascii="Arial" w:hAnsi="Arial" w:cs="Arial"/>
        </w:rPr>
        <w:t xml:space="preserve"> </w:t>
      </w:r>
    </w:p>
    <w:p w14:paraId="1FAAE01B" w14:textId="3D782758" w:rsidR="007B0EEC" w:rsidRPr="007F1A85" w:rsidRDefault="007B0EEC" w:rsidP="007B0EEC">
      <w:pPr>
        <w:numPr>
          <w:ilvl w:val="0"/>
          <w:numId w:val="31"/>
        </w:numPr>
        <w:rPr>
          <w:rFonts w:ascii="Arial" w:hAnsi="Arial" w:cs="Arial"/>
        </w:rPr>
      </w:pPr>
      <w:r w:rsidRPr="007F1A85">
        <w:rPr>
          <w:rFonts w:ascii="Arial" w:hAnsi="Arial" w:cs="Arial"/>
        </w:rPr>
        <w:t>NPRR1059, Ability for MOUs and ECs to Send Non-BUSIDRRQ Interval Data</w:t>
      </w:r>
      <w:r>
        <w:rPr>
          <w:rFonts w:ascii="Arial" w:hAnsi="Arial" w:cs="Arial"/>
        </w:rPr>
        <w:t>;</w:t>
      </w:r>
      <w:r w:rsidRPr="007F1A85">
        <w:rPr>
          <w:rFonts w:ascii="Arial" w:hAnsi="Arial" w:cs="Arial"/>
        </w:rPr>
        <w:t xml:space="preserve"> </w:t>
      </w:r>
    </w:p>
    <w:p w14:paraId="7964238D" w14:textId="458A21ED" w:rsidR="007B0EEC" w:rsidRPr="007F1A85" w:rsidRDefault="007B0EEC" w:rsidP="007B0EEC">
      <w:pPr>
        <w:numPr>
          <w:ilvl w:val="0"/>
          <w:numId w:val="31"/>
        </w:numPr>
        <w:rPr>
          <w:rFonts w:ascii="Arial" w:hAnsi="Arial" w:cs="Arial"/>
        </w:rPr>
      </w:pPr>
      <w:r w:rsidRPr="007F1A85">
        <w:rPr>
          <w:rFonts w:ascii="Arial" w:hAnsi="Arial" w:cs="Arial"/>
        </w:rPr>
        <w:t>NPRR1065, Implementation Adjustment for NPRR917</w:t>
      </w:r>
      <w:r>
        <w:rPr>
          <w:rFonts w:ascii="Arial" w:hAnsi="Arial" w:cs="Arial"/>
        </w:rPr>
        <w:t>;</w:t>
      </w:r>
      <w:r w:rsidRPr="007F1A85">
        <w:rPr>
          <w:rFonts w:ascii="Arial" w:hAnsi="Arial" w:cs="Arial"/>
        </w:rPr>
        <w:t xml:space="preserve"> </w:t>
      </w:r>
    </w:p>
    <w:p w14:paraId="11B4DDD3" w14:textId="5F445B76" w:rsidR="007B0EEC" w:rsidRPr="007F1A85" w:rsidRDefault="007B0EEC" w:rsidP="007B0EEC">
      <w:pPr>
        <w:numPr>
          <w:ilvl w:val="0"/>
          <w:numId w:val="31"/>
        </w:numPr>
        <w:rPr>
          <w:rFonts w:ascii="Arial" w:hAnsi="Arial" w:cs="Arial"/>
        </w:rPr>
      </w:pPr>
      <w:r w:rsidRPr="007F1A85">
        <w:rPr>
          <w:rFonts w:ascii="Arial" w:hAnsi="Arial" w:cs="Arial"/>
        </w:rPr>
        <w:t>NPRR1066, Interconnection of Existing Generation Owned by a Municipally Owned Utility (MOU) or Electric Cooperative (EC) Transferring Load into the ERCOT System</w:t>
      </w:r>
      <w:r>
        <w:rPr>
          <w:rFonts w:ascii="Arial" w:hAnsi="Arial" w:cs="Arial"/>
        </w:rPr>
        <w:t>;</w:t>
      </w:r>
      <w:r w:rsidRPr="007F1A85">
        <w:rPr>
          <w:rFonts w:ascii="Arial" w:hAnsi="Arial" w:cs="Arial"/>
        </w:rPr>
        <w:t xml:space="preserve"> </w:t>
      </w:r>
    </w:p>
    <w:p w14:paraId="62AE9608" w14:textId="5C7599F4" w:rsidR="007B0EEC" w:rsidRDefault="007B0EEC" w:rsidP="007B0EEC">
      <w:pPr>
        <w:numPr>
          <w:ilvl w:val="0"/>
          <w:numId w:val="31"/>
        </w:numPr>
        <w:rPr>
          <w:rFonts w:ascii="Arial" w:hAnsi="Arial" w:cs="Arial"/>
        </w:rPr>
      </w:pPr>
      <w:r w:rsidRPr="007F1A85">
        <w:rPr>
          <w:rFonts w:ascii="Arial" w:hAnsi="Arial" w:cs="Arial"/>
        </w:rPr>
        <w:t>NPRR1069, Align Ancillary Service Responsibility for ESRs with NPRR987 – URGENT</w:t>
      </w:r>
      <w:r>
        <w:rPr>
          <w:rFonts w:ascii="Arial" w:hAnsi="Arial" w:cs="Arial"/>
        </w:rPr>
        <w:t>;</w:t>
      </w:r>
      <w:r w:rsidRPr="007F1A85">
        <w:rPr>
          <w:rFonts w:ascii="Arial" w:hAnsi="Arial" w:cs="Arial"/>
        </w:rPr>
        <w:t xml:space="preserve"> </w:t>
      </w:r>
    </w:p>
    <w:p w14:paraId="5EBE9B74" w14:textId="26A0088C" w:rsidR="007B0EEC" w:rsidRDefault="007B0EEC" w:rsidP="007B0EEC">
      <w:pPr>
        <w:numPr>
          <w:ilvl w:val="0"/>
          <w:numId w:val="31"/>
        </w:numPr>
        <w:rPr>
          <w:rFonts w:ascii="Arial" w:hAnsi="Arial" w:cs="Arial"/>
        </w:rPr>
      </w:pPr>
      <w:r>
        <w:rPr>
          <w:rFonts w:ascii="Arial" w:hAnsi="Arial" w:cs="Arial"/>
        </w:rPr>
        <w:t xml:space="preserve">NOGRR219, </w:t>
      </w:r>
      <w:r w:rsidRPr="007F1A85">
        <w:rPr>
          <w:rFonts w:ascii="Arial" w:hAnsi="Arial" w:cs="Arial"/>
        </w:rPr>
        <w:t>Related to NPRR1045, Transmission Operator Definition and Designation</w:t>
      </w:r>
      <w:r>
        <w:rPr>
          <w:rFonts w:ascii="Arial" w:hAnsi="Arial" w:cs="Arial"/>
        </w:rPr>
        <w:t>; and</w:t>
      </w:r>
    </w:p>
    <w:p w14:paraId="30A051CC" w14:textId="515E9638" w:rsidR="00255C29" w:rsidRPr="00255C29" w:rsidRDefault="007B0EEC" w:rsidP="007B0EEC">
      <w:pPr>
        <w:numPr>
          <w:ilvl w:val="0"/>
          <w:numId w:val="31"/>
        </w:numPr>
        <w:rPr>
          <w:rFonts w:ascii="Arial" w:hAnsi="Arial" w:cs="Arial"/>
        </w:rPr>
      </w:pPr>
      <w:r>
        <w:rPr>
          <w:rFonts w:ascii="Arial" w:hAnsi="Arial" w:cs="Arial"/>
        </w:rPr>
        <w:t xml:space="preserve">OBDRR028, </w:t>
      </w:r>
      <w:r w:rsidRPr="007F1A85">
        <w:rPr>
          <w:rFonts w:ascii="Arial" w:hAnsi="Arial" w:cs="Arial"/>
        </w:rPr>
        <w:t>Related to NPRR1069, Align Ancillary Service Respon</w:t>
      </w:r>
      <w:r>
        <w:rPr>
          <w:rFonts w:ascii="Arial" w:hAnsi="Arial" w:cs="Arial"/>
        </w:rPr>
        <w:t>sibility for ESRs with NPRR987</w:t>
      </w:r>
      <w:r w:rsidR="00F665E8">
        <w:rPr>
          <w:rFonts w:ascii="Arial" w:hAnsi="Arial" w:cs="Arial"/>
        </w:rPr>
        <w:t>.</w:t>
      </w:r>
    </w:p>
    <w:p w14:paraId="5221759D" w14:textId="77777777" w:rsidR="00D6614D" w:rsidRPr="00A750E5" w:rsidRDefault="00D6614D" w:rsidP="00D6614D">
      <w:pPr>
        <w:pStyle w:val="ListParagraph"/>
        <w:jc w:val="both"/>
        <w:rPr>
          <w:rFonts w:ascii="Arial" w:hAnsi="Arial" w:cs="Arial"/>
        </w:rPr>
      </w:pPr>
    </w:p>
    <w:p w14:paraId="5CB818DC" w14:textId="1028B056"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 xml:space="preserve">the </w:t>
      </w:r>
      <w:r w:rsidRPr="00F47DEE">
        <w:rPr>
          <w:rFonts w:ascii="Arial" w:hAnsi="Arial" w:cs="Arial"/>
        </w:rPr>
        <w:t>ERCOT</w:t>
      </w:r>
      <w:r w:rsidR="00867192" w:rsidRPr="00F47DEE">
        <w:rPr>
          <w:rFonts w:ascii="Arial" w:hAnsi="Arial" w:cs="Arial"/>
        </w:rPr>
        <w:t xml:space="preserve"> Board</w:t>
      </w:r>
      <w:r w:rsidRPr="00F47DEE">
        <w:rPr>
          <w:rFonts w:ascii="Arial" w:hAnsi="Arial" w:cs="Arial"/>
        </w:rPr>
        <w:t xml:space="preserve"> hereby </w:t>
      </w:r>
      <w:r w:rsidR="00783C94" w:rsidRPr="00F47DEE">
        <w:rPr>
          <w:rFonts w:ascii="Arial" w:hAnsi="Arial" w:cs="Arial"/>
        </w:rPr>
        <w:t xml:space="preserve">approves </w:t>
      </w:r>
      <w:r w:rsidR="003E2E29" w:rsidRPr="00F47DEE">
        <w:rPr>
          <w:rFonts w:ascii="Arial" w:hAnsi="Arial" w:cs="Arial"/>
          <w:bCs/>
        </w:rPr>
        <w:t xml:space="preserve">NPRRs </w:t>
      </w:r>
      <w:r w:rsidR="003E2E29">
        <w:rPr>
          <w:rFonts w:ascii="Arial" w:hAnsi="Arial" w:cs="Arial"/>
          <w:bCs/>
        </w:rPr>
        <w:t>1023, 1045, 1057, 1059, 1065, 1066</w:t>
      </w:r>
      <w:bookmarkStart w:id="0" w:name="_GoBack"/>
      <w:bookmarkEnd w:id="0"/>
      <w:r w:rsidR="003E2E29">
        <w:rPr>
          <w:rFonts w:ascii="Arial" w:hAnsi="Arial" w:cs="Arial"/>
          <w:bCs/>
        </w:rPr>
        <w:t xml:space="preserve"> and 1069; NOGRR219; and OBDRR028</w:t>
      </w:r>
      <w:r w:rsidR="003E3D6E">
        <w:rPr>
          <w:rFonts w:ascii="Arial" w:hAnsi="Arial" w:cs="Arial"/>
          <w:bCs/>
        </w:rPr>
        <w:t>.</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41628D49" w:rsidR="00307699" w:rsidRPr="00F47DEE" w:rsidRDefault="00307699" w:rsidP="00A62562">
      <w:pPr>
        <w:jc w:val="both"/>
        <w:rPr>
          <w:rFonts w:ascii="Arial" w:hAnsi="Arial" w:cs="Arial"/>
        </w:rPr>
      </w:pPr>
      <w:r w:rsidRPr="00F47DEE">
        <w:rPr>
          <w:rFonts w:ascii="Arial" w:hAnsi="Arial" w:cs="Arial"/>
        </w:rPr>
        <w:t xml:space="preserve">I, </w:t>
      </w:r>
      <w:r w:rsidR="00A62562" w:rsidRPr="00F47DEE">
        <w:rPr>
          <w:rFonts w:ascii="Arial" w:hAnsi="Arial" w:cs="Arial"/>
        </w:rPr>
        <w:t>Vickie G. Leady</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7B0EEC">
        <w:rPr>
          <w:rFonts w:ascii="Arial" w:hAnsi="Arial" w:cs="Arial"/>
        </w:rPr>
        <w:t>April 13, 2021</w:t>
      </w:r>
      <w:r w:rsidR="00783C94" w:rsidRPr="00F47DEE">
        <w:rPr>
          <w:rFonts w:ascii="Arial" w:hAnsi="Arial" w:cs="Arial"/>
        </w:rPr>
        <w:t xml:space="preserve"> </w:t>
      </w:r>
      <w:r w:rsidR="00026241">
        <w:rPr>
          <w:rFonts w:ascii="Arial" w:hAnsi="Arial" w:cs="Arial"/>
        </w:rPr>
        <w:t xml:space="preserve">urgent </w:t>
      </w:r>
      <w:r w:rsidRPr="00F47DEE">
        <w:rPr>
          <w:rFonts w:ascii="Arial" w:hAnsi="Arial" w:cs="Arial"/>
        </w:rPr>
        <w:t>meeting</w:t>
      </w:r>
      <w:r w:rsidR="00026241">
        <w:rPr>
          <w:rFonts w:ascii="Arial" w:hAnsi="Arial" w:cs="Arial"/>
        </w:rPr>
        <w:t xml:space="preserve"> by teleconference</w:t>
      </w:r>
      <w:r w:rsidRPr="00F47DEE">
        <w:rPr>
          <w:rFonts w:ascii="Arial" w:hAnsi="Arial" w:cs="Arial"/>
        </w:rPr>
        <w:t>, the ERCOT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7C8CEA29"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AC4A2B" w:rsidRPr="00F47DEE">
        <w:rPr>
          <w:rFonts w:ascii="Arial" w:hAnsi="Arial" w:cs="Arial"/>
        </w:rPr>
        <w:t xml:space="preserve"> </w:t>
      </w:r>
      <w:r w:rsidR="007B0EEC">
        <w:rPr>
          <w:rFonts w:ascii="Arial" w:hAnsi="Arial" w:cs="Arial"/>
        </w:rPr>
        <w:t>April</w:t>
      </w:r>
      <w:r w:rsidR="00255C29">
        <w:rPr>
          <w:rFonts w:ascii="Arial" w:hAnsi="Arial" w:cs="Arial"/>
        </w:rPr>
        <w:t xml:space="preserve"> 2021</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77777777" w:rsidR="00307699" w:rsidRPr="00F47DEE" w:rsidRDefault="00A62562" w:rsidP="00A62562">
      <w:pPr>
        <w:jc w:val="both"/>
        <w:rPr>
          <w:rFonts w:ascii="Arial" w:hAnsi="Arial" w:cs="Arial"/>
        </w:rPr>
      </w:pPr>
      <w:r w:rsidRPr="00F47DEE">
        <w:rPr>
          <w:rFonts w:ascii="Arial" w:hAnsi="Arial" w:cs="Arial"/>
        </w:rPr>
        <w:t>Vickie G. Leady</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p>
    <w:sectPr w:rsidR="00A00C66" w:rsidRPr="00F47DEE" w:rsidSect="00A02B92">
      <w:headerReference w:type="default" r:id="rId16"/>
      <w:footerReference w:type="default" r:id="rId17"/>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42125" w14:textId="18AC2973"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7C4726">
      <w:rPr>
        <w:rFonts w:ascii="Arial" w:hAnsi="Arial" w:cs="Arial"/>
        <w:sz w:val="20"/>
        <w:szCs w:val="20"/>
      </w:rPr>
      <w:t>2</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0A10DB">
      <w:rPr>
        <w:rStyle w:val="PageNumber"/>
        <w:rFonts w:ascii="Arial" w:hAnsi="Arial" w:cs="Arial"/>
        <w:noProof/>
        <w:sz w:val="20"/>
        <w:szCs w:val="20"/>
      </w:rPr>
      <w:t>7</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1"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355BD4"/>
    <w:multiLevelType w:val="hybridMultilevel"/>
    <w:tmpl w:val="498C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7"/>
  </w:num>
  <w:num w:numId="3">
    <w:abstractNumId w:val="11"/>
  </w:num>
  <w:num w:numId="4">
    <w:abstractNumId w:val="20"/>
  </w:num>
  <w:num w:numId="5">
    <w:abstractNumId w:val="39"/>
  </w:num>
  <w:num w:numId="6">
    <w:abstractNumId w:val="28"/>
  </w:num>
  <w:num w:numId="7">
    <w:abstractNumId w:val="35"/>
  </w:num>
  <w:num w:numId="8">
    <w:abstractNumId w:val="13"/>
  </w:num>
  <w:num w:numId="9">
    <w:abstractNumId w:val="14"/>
  </w:num>
  <w:num w:numId="10">
    <w:abstractNumId w:val="34"/>
  </w:num>
  <w:num w:numId="11">
    <w:abstractNumId w:val="0"/>
  </w:num>
  <w:num w:numId="12">
    <w:abstractNumId w:val="23"/>
  </w:num>
  <w:num w:numId="13">
    <w:abstractNumId w:val="6"/>
  </w:num>
  <w:num w:numId="14">
    <w:abstractNumId w:val="10"/>
  </w:num>
  <w:num w:numId="15">
    <w:abstractNumId w:val="32"/>
  </w:num>
  <w:num w:numId="16">
    <w:abstractNumId w:val="9"/>
  </w:num>
  <w:num w:numId="17">
    <w:abstractNumId w:val="1"/>
  </w:num>
  <w:num w:numId="18">
    <w:abstractNumId w:val="17"/>
  </w:num>
  <w:num w:numId="19">
    <w:abstractNumId w:val="40"/>
  </w:num>
  <w:num w:numId="20">
    <w:abstractNumId w:val="19"/>
  </w:num>
  <w:num w:numId="21">
    <w:abstractNumId w:val="5"/>
  </w:num>
  <w:num w:numId="22">
    <w:abstractNumId w:val="7"/>
  </w:num>
  <w:num w:numId="23">
    <w:abstractNumId w:val="2"/>
  </w:num>
  <w:num w:numId="24">
    <w:abstractNumId w:val="22"/>
  </w:num>
  <w:num w:numId="25">
    <w:abstractNumId w:val="18"/>
  </w:num>
  <w:num w:numId="26">
    <w:abstractNumId w:val="26"/>
  </w:num>
  <w:num w:numId="27">
    <w:abstractNumId w:val="3"/>
  </w:num>
  <w:num w:numId="28">
    <w:abstractNumId w:val="26"/>
  </w:num>
  <w:num w:numId="29">
    <w:abstractNumId w:val="21"/>
  </w:num>
  <w:num w:numId="30">
    <w:abstractNumId w:val="37"/>
  </w:num>
  <w:num w:numId="31">
    <w:abstractNumId w:val="24"/>
  </w:num>
  <w:num w:numId="32">
    <w:abstractNumId w:val="16"/>
  </w:num>
  <w:num w:numId="33">
    <w:abstractNumId w:val="12"/>
  </w:num>
  <w:num w:numId="34">
    <w:abstractNumId w:val="31"/>
  </w:num>
  <w:num w:numId="35">
    <w:abstractNumId w:val="4"/>
  </w:num>
  <w:num w:numId="36">
    <w:abstractNumId w:val="36"/>
  </w:num>
  <w:num w:numId="37">
    <w:abstractNumId w:val="29"/>
  </w:num>
  <w:num w:numId="38">
    <w:abstractNumId w:val="8"/>
  </w:num>
  <w:num w:numId="39">
    <w:abstractNumId w:val="25"/>
  </w:num>
  <w:num w:numId="40">
    <w:abstractNumId w:val="38"/>
  </w:num>
  <w:num w:numId="41">
    <w:abstractNumId w:val="33"/>
  </w:num>
  <w:num w:numId="42">
    <w:abstractNumId w:val="15"/>
  </w:num>
  <w:num w:numId="43">
    <w:abstractNumId w:val="18"/>
  </w:num>
  <w:num w:numId="44">
    <w:abstractNumId w:val="18"/>
  </w:num>
  <w:num w:numId="45">
    <w:abstractNumId w:val="18"/>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B72"/>
    <w:rsid w:val="000007BA"/>
    <w:rsid w:val="00001E21"/>
    <w:rsid w:val="000036BB"/>
    <w:rsid w:val="00004487"/>
    <w:rsid w:val="000051FF"/>
    <w:rsid w:val="00011386"/>
    <w:rsid w:val="000154BD"/>
    <w:rsid w:val="00017A28"/>
    <w:rsid w:val="00026241"/>
    <w:rsid w:val="00026FB9"/>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75EE"/>
    <w:rsid w:val="0007563D"/>
    <w:rsid w:val="00075B7E"/>
    <w:rsid w:val="00077EA4"/>
    <w:rsid w:val="00082104"/>
    <w:rsid w:val="00082927"/>
    <w:rsid w:val="000855B6"/>
    <w:rsid w:val="00087484"/>
    <w:rsid w:val="0009016F"/>
    <w:rsid w:val="000A10DB"/>
    <w:rsid w:val="000A19DA"/>
    <w:rsid w:val="000A48DE"/>
    <w:rsid w:val="000B2034"/>
    <w:rsid w:val="000B4B47"/>
    <w:rsid w:val="000B4BAF"/>
    <w:rsid w:val="000C032F"/>
    <w:rsid w:val="000C33F5"/>
    <w:rsid w:val="000C58FD"/>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116AC"/>
    <w:rsid w:val="001126E9"/>
    <w:rsid w:val="00115A4B"/>
    <w:rsid w:val="00115CD3"/>
    <w:rsid w:val="00120276"/>
    <w:rsid w:val="00121443"/>
    <w:rsid w:val="001237B5"/>
    <w:rsid w:val="00124066"/>
    <w:rsid w:val="00125C47"/>
    <w:rsid w:val="00135295"/>
    <w:rsid w:val="00137034"/>
    <w:rsid w:val="00144931"/>
    <w:rsid w:val="00144D0D"/>
    <w:rsid w:val="00145967"/>
    <w:rsid w:val="00153255"/>
    <w:rsid w:val="00160B04"/>
    <w:rsid w:val="0016137C"/>
    <w:rsid w:val="0016208F"/>
    <w:rsid w:val="00162B9A"/>
    <w:rsid w:val="00162D68"/>
    <w:rsid w:val="00164F07"/>
    <w:rsid w:val="00167741"/>
    <w:rsid w:val="00170611"/>
    <w:rsid w:val="00176B43"/>
    <w:rsid w:val="00177EE8"/>
    <w:rsid w:val="001817EA"/>
    <w:rsid w:val="00181AD3"/>
    <w:rsid w:val="00194488"/>
    <w:rsid w:val="00197003"/>
    <w:rsid w:val="001A0DEC"/>
    <w:rsid w:val="001A2306"/>
    <w:rsid w:val="001A42C2"/>
    <w:rsid w:val="001A5A75"/>
    <w:rsid w:val="001C70A7"/>
    <w:rsid w:val="001D0147"/>
    <w:rsid w:val="001D02D5"/>
    <w:rsid w:val="001D2591"/>
    <w:rsid w:val="001D4A77"/>
    <w:rsid w:val="001D7379"/>
    <w:rsid w:val="001D7428"/>
    <w:rsid w:val="001D7C47"/>
    <w:rsid w:val="001E3085"/>
    <w:rsid w:val="001E458C"/>
    <w:rsid w:val="001E5BA4"/>
    <w:rsid w:val="001E5E53"/>
    <w:rsid w:val="001E75DD"/>
    <w:rsid w:val="001F28A1"/>
    <w:rsid w:val="001F5C4F"/>
    <w:rsid w:val="00201CE4"/>
    <w:rsid w:val="00201CFC"/>
    <w:rsid w:val="002038F8"/>
    <w:rsid w:val="00206775"/>
    <w:rsid w:val="002109D5"/>
    <w:rsid w:val="00211467"/>
    <w:rsid w:val="0021181A"/>
    <w:rsid w:val="00212ABB"/>
    <w:rsid w:val="002146AC"/>
    <w:rsid w:val="00221028"/>
    <w:rsid w:val="0022125A"/>
    <w:rsid w:val="00226D1A"/>
    <w:rsid w:val="0022719A"/>
    <w:rsid w:val="00232BDA"/>
    <w:rsid w:val="00233B14"/>
    <w:rsid w:val="0023477A"/>
    <w:rsid w:val="00236ACC"/>
    <w:rsid w:val="00236C57"/>
    <w:rsid w:val="00241738"/>
    <w:rsid w:val="002417B0"/>
    <w:rsid w:val="002462CB"/>
    <w:rsid w:val="00250349"/>
    <w:rsid w:val="00254440"/>
    <w:rsid w:val="00255C29"/>
    <w:rsid w:val="00261280"/>
    <w:rsid w:val="00262FD5"/>
    <w:rsid w:val="00264652"/>
    <w:rsid w:val="00264B42"/>
    <w:rsid w:val="00265CDA"/>
    <w:rsid w:val="00265ECC"/>
    <w:rsid w:val="00275505"/>
    <w:rsid w:val="00277002"/>
    <w:rsid w:val="00287414"/>
    <w:rsid w:val="00287971"/>
    <w:rsid w:val="00291E00"/>
    <w:rsid w:val="002958F7"/>
    <w:rsid w:val="00297177"/>
    <w:rsid w:val="002A14E8"/>
    <w:rsid w:val="002A2206"/>
    <w:rsid w:val="002A3F2C"/>
    <w:rsid w:val="002B20CB"/>
    <w:rsid w:val="002B32D7"/>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4A9E"/>
    <w:rsid w:val="002F5F0E"/>
    <w:rsid w:val="003013E3"/>
    <w:rsid w:val="00303052"/>
    <w:rsid w:val="003037A7"/>
    <w:rsid w:val="00303FF7"/>
    <w:rsid w:val="003048DB"/>
    <w:rsid w:val="00307699"/>
    <w:rsid w:val="00312202"/>
    <w:rsid w:val="00312315"/>
    <w:rsid w:val="00314547"/>
    <w:rsid w:val="003206AA"/>
    <w:rsid w:val="0032485A"/>
    <w:rsid w:val="00326572"/>
    <w:rsid w:val="00326D54"/>
    <w:rsid w:val="003421BD"/>
    <w:rsid w:val="00346245"/>
    <w:rsid w:val="003632D1"/>
    <w:rsid w:val="00364431"/>
    <w:rsid w:val="00364918"/>
    <w:rsid w:val="00365D45"/>
    <w:rsid w:val="00370469"/>
    <w:rsid w:val="003712F8"/>
    <w:rsid w:val="00382736"/>
    <w:rsid w:val="003840DB"/>
    <w:rsid w:val="00391D8B"/>
    <w:rsid w:val="00393759"/>
    <w:rsid w:val="0039433B"/>
    <w:rsid w:val="00394B60"/>
    <w:rsid w:val="003A2348"/>
    <w:rsid w:val="003A3CF8"/>
    <w:rsid w:val="003A67BC"/>
    <w:rsid w:val="003B03D6"/>
    <w:rsid w:val="003B143C"/>
    <w:rsid w:val="003B15B4"/>
    <w:rsid w:val="003B4603"/>
    <w:rsid w:val="003B4C72"/>
    <w:rsid w:val="003C1AA9"/>
    <w:rsid w:val="003C3608"/>
    <w:rsid w:val="003C44F3"/>
    <w:rsid w:val="003C7C4F"/>
    <w:rsid w:val="003C7FE2"/>
    <w:rsid w:val="003D1338"/>
    <w:rsid w:val="003D1AE4"/>
    <w:rsid w:val="003D35EA"/>
    <w:rsid w:val="003D4154"/>
    <w:rsid w:val="003E12A1"/>
    <w:rsid w:val="003E1528"/>
    <w:rsid w:val="003E2E29"/>
    <w:rsid w:val="003E3D6E"/>
    <w:rsid w:val="003E4DBF"/>
    <w:rsid w:val="003E702F"/>
    <w:rsid w:val="003E7FD1"/>
    <w:rsid w:val="003F1402"/>
    <w:rsid w:val="003F78A5"/>
    <w:rsid w:val="00400D65"/>
    <w:rsid w:val="004048E8"/>
    <w:rsid w:val="00405C5B"/>
    <w:rsid w:val="00407C3B"/>
    <w:rsid w:val="00410414"/>
    <w:rsid w:val="00412A91"/>
    <w:rsid w:val="00414AD8"/>
    <w:rsid w:val="0042169B"/>
    <w:rsid w:val="0042263F"/>
    <w:rsid w:val="00424F11"/>
    <w:rsid w:val="004255CC"/>
    <w:rsid w:val="00433CA3"/>
    <w:rsid w:val="00435163"/>
    <w:rsid w:val="00436554"/>
    <w:rsid w:val="0043756F"/>
    <w:rsid w:val="00441C2E"/>
    <w:rsid w:val="00441DF5"/>
    <w:rsid w:val="00442FCF"/>
    <w:rsid w:val="00444D83"/>
    <w:rsid w:val="00451E19"/>
    <w:rsid w:val="00453452"/>
    <w:rsid w:val="004553F9"/>
    <w:rsid w:val="00470150"/>
    <w:rsid w:val="004718C1"/>
    <w:rsid w:val="00471C8B"/>
    <w:rsid w:val="00473610"/>
    <w:rsid w:val="0047489E"/>
    <w:rsid w:val="00484EEE"/>
    <w:rsid w:val="00485E37"/>
    <w:rsid w:val="004869EE"/>
    <w:rsid w:val="004900B1"/>
    <w:rsid w:val="00492AA9"/>
    <w:rsid w:val="00495B27"/>
    <w:rsid w:val="00495F5C"/>
    <w:rsid w:val="004A6820"/>
    <w:rsid w:val="004B2CBF"/>
    <w:rsid w:val="004B3702"/>
    <w:rsid w:val="004B5682"/>
    <w:rsid w:val="004B644D"/>
    <w:rsid w:val="004C021D"/>
    <w:rsid w:val="004C2693"/>
    <w:rsid w:val="004C363E"/>
    <w:rsid w:val="004C4AC4"/>
    <w:rsid w:val="004C63A8"/>
    <w:rsid w:val="004C647E"/>
    <w:rsid w:val="004D27AC"/>
    <w:rsid w:val="004D3437"/>
    <w:rsid w:val="004D346B"/>
    <w:rsid w:val="004D42F0"/>
    <w:rsid w:val="004E141D"/>
    <w:rsid w:val="004E1C39"/>
    <w:rsid w:val="004E41B1"/>
    <w:rsid w:val="004E531D"/>
    <w:rsid w:val="004E5DE5"/>
    <w:rsid w:val="004E625A"/>
    <w:rsid w:val="004F3BDD"/>
    <w:rsid w:val="004F41FA"/>
    <w:rsid w:val="004F5858"/>
    <w:rsid w:val="004F73E7"/>
    <w:rsid w:val="0050578C"/>
    <w:rsid w:val="0050631D"/>
    <w:rsid w:val="00511781"/>
    <w:rsid w:val="0051232E"/>
    <w:rsid w:val="00514008"/>
    <w:rsid w:val="005147DC"/>
    <w:rsid w:val="00515AD0"/>
    <w:rsid w:val="00522224"/>
    <w:rsid w:val="005261F4"/>
    <w:rsid w:val="0053018B"/>
    <w:rsid w:val="005311A2"/>
    <w:rsid w:val="005312C0"/>
    <w:rsid w:val="0053421B"/>
    <w:rsid w:val="0053428E"/>
    <w:rsid w:val="00534BDE"/>
    <w:rsid w:val="00534F43"/>
    <w:rsid w:val="0053631F"/>
    <w:rsid w:val="00536CC1"/>
    <w:rsid w:val="00537FA7"/>
    <w:rsid w:val="00544A02"/>
    <w:rsid w:val="00545E89"/>
    <w:rsid w:val="00547899"/>
    <w:rsid w:val="00554C63"/>
    <w:rsid w:val="005564FD"/>
    <w:rsid w:val="0056073D"/>
    <w:rsid w:val="005619DD"/>
    <w:rsid w:val="005723C2"/>
    <w:rsid w:val="00572C31"/>
    <w:rsid w:val="00573F65"/>
    <w:rsid w:val="005805BF"/>
    <w:rsid w:val="00582F79"/>
    <w:rsid w:val="00586619"/>
    <w:rsid w:val="00591509"/>
    <w:rsid w:val="00592093"/>
    <w:rsid w:val="00595F7A"/>
    <w:rsid w:val="00596006"/>
    <w:rsid w:val="00597B80"/>
    <w:rsid w:val="005A3B48"/>
    <w:rsid w:val="005A3D04"/>
    <w:rsid w:val="005A47B1"/>
    <w:rsid w:val="005B2158"/>
    <w:rsid w:val="005B21AF"/>
    <w:rsid w:val="005B4C9C"/>
    <w:rsid w:val="005B5DD6"/>
    <w:rsid w:val="005C248B"/>
    <w:rsid w:val="005C3A30"/>
    <w:rsid w:val="005C3CFD"/>
    <w:rsid w:val="005C7463"/>
    <w:rsid w:val="005D4DB9"/>
    <w:rsid w:val="005E06AF"/>
    <w:rsid w:val="005E20D3"/>
    <w:rsid w:val="005E38E7"/>
    <w:rsid w:val="005F118F"/>
    <w:rsid w:val="005F300A"/>
    <w:rsid w:val="005F3826"/>
    <w:rsid w:val="006026B1"/>
    <w:rsid w:val="00607072"/>
    <w:rsid w:val="00610884"/>
    <w:rsid w:val="00610910"/>
    <w:rsid w:val="00611C34"/>
    <w:rsid w:val="00616D18"/>
    <w:rsid w:val="00617527"/>
    <w:rsid w:val="0062500B"/>
    <w:rsid w:val="00625D7C"/>
    <w:rsid w:val="006312BD"/>
    <w:rsid w:val="006374CC"/>
    <w:rsid w:val="00640FB9"/>
    <w:rsid w:val="00641D7B"/>
    <w:rsid w:val="00642A38"/>
    <w:rsid w:val="006445C9"/>
    <w:rsid w:val="00645088"/>
    <w:rsid w:val="00645F53"/>
    <w:rsid w:val="00655224"/>
    <w:rsid w:val="0065648B"/>
    <w:rsid w:val="00656E86"/>
    <w:rsid w:val="00657B06"/>
    <w:rsid w:val="00661699"/>
    <w:rsid w:val="00661876"/>
    <w:rsid w:val="006713AD"/>
    <w:rsid w:val="00671BA7"/>
    <w:rsid w:val="006720B6"/>
    <w:rsid w:val="0067293D"/>
    <w:rsid w:val="00682B10"/>
    <w:rsid w:val="00685AA9"/>
    <w:rsid w:val="00690580"/>
    <w:rsid w:val="00693C09"/>
    <w:rsid w:val="00694D85"/>
    <w:rsid w:val="00695C40"/>
    <w:rsid w:val="006A553E"/>
    <w:rsid w:val="006A5DDC"/>
    <w:rsid w:val="006A7E26"/>
    <w:rsid w:val="006B1C04"/>
    <w:rsid w:val="006B2E86"/>
    <w:rsid w:val="006C39F4"/>
    <w:rsid w:val="006D19FE"/>
    <w:rsid w:val="006D5B83"/>
    <w:rsid w:val="006E50CD"/>
    <w:rsid w:val="006E5382"/>
    <w:rsid w:val="006E6909"/>
    <w:rsid w:val="006E756E"/>
    <w:rsid w:val="006F41BF"/>
    <w:rsid w:val="00701E08"/>
    <w:rsid w:val="00703034"/>
    <w:rsid w:val="00703614"/>
    <w:rsid w:val="00704730"/>
    <w:rsid w:val="007168AA"/>
    <w:rsid w:val="007173B3"/>
    <w:rsid w:val="00717F50"/>
    <w:rsid w:val="00726143"/>
    <w:rsid w:val="0072773B"/>
    <w:rsid w:val="00731C50"/>
    <w:rsid w:val="00734115"/>
    <w:rsid w:val="0074272D"/>
    <w:rsid w:val="007429FB"/>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844FD"/>
    <w:rsid w:val="0079021A"/>
    <w:rsid w:val="007A7A32"/>
    <w:rsid w:val="007B0EEC"/>
    <w:rsid w:val="007B1EED"/>
    <w:rsid w:val="007B523A"/>
    <w:rsid w:val="007B61C9"/>
    <w:rsid w:val="007B6B72"/>
    <w:rsid w:val="007C4726"/>
    <w:rsid w:val="007C72A8"/>
    <w:rsid w:val="007C7DB4"/>
    <w:rsid w:val="007D28EF"/>
    <w:rsid w:val="007D4A9E"/>
    <w:rsid w:val="007D620B"/>
    <w:rsid w:val="007D667F"/>
    <w:rsid w:val="007E3960"/>
    <w:rsid w:val="007E5B6E"/>
    <w:rsid w:val="007F1A85"/>
    <w:rsid w:val="007F2DB5"/>
    <w:rsid w:val="007F39EF"/>
    <w:rsid w:val="00802088"/>
    <w:rsid w:val="00803A7E"/>
    <w:rsid w:val="00804084"/>
    <w:rsid w:val="008046F2"/>
    <w:rsid w:val="00806FC0"/>
    <w:rsid w:val="0081574E"/>
    <w:rsid w:val="00815EC1"/>
    <w:rsid w:val="00820380"/>
    <w:rsid w:val="00820F55"/>
    <w:rsid w:val="00824615"/>
    <w:rsid w:val="00836146"/>
    <w:rsid w:val="00840278"/>
    <w:rsid w:val="00842CEA"/>
    <w:rsid w:val="0084535E"/>
    <w:rsid w:val="00847896"/>
    <w:rsid w:val="00850549"/>
    <w:rsid w:val="00850585"/>
    <w:rsid w:val="008534F5"/>
    <w:rsid w:val="00854723"/>
    <w:rsid w:val="00854CB9"/>
    <w:rsid w:val="008625CF"/>
    <w:rsid w:val="008632E4"/>
    <w:rsid w:val="00863D26"/>
    <w:rsid w:val="0086616F"/>
    <w:rsid w:val="00867192"/>
    <w:rsid w:val="00867AD2"/>
    <w:rsid w:val="0088605A"/>
    <w:rsid w:val="008869CC"/>
    <w:rsid w:val="00890A4C"/>
    <w:rsid w:val="00897180"/>
    <w:rsid w:val="00897457"/>
    <w:rsid w:val="0089767C"/>
    <w:rsid w:val="008A0160"/>
    <w:rsid w:val="008A0966"/>
    <w:rsid w:val="008A3829"/>
    <w:rsid w:val="008A6452"/>
    <w:rsid w:val="008A6ED0"/>
    <w:rsid w:val="008B2188"/>
    <w:rsid w:val="008B2F24"/>
    <w:rsid w:val="008B49DB"/>
    <w:rsid w:val="008B4B04"/>
    <w:rsid w:val="008B4FA9"/>
    <w:rsid w:val="008B6955"/>
    <w:rsid w:val="008C1DC7"/>
    <w:rsid w:val="008C2737"/>
    <w:rsid w:val="008C4916"/>
    <w:rsid w:val="008D02DC"/>
    <w:rsid w:val="008D29B8"/>
    <w:rsid w:val="008D35B2"/>
    <w:rsid w:val="008D433B"/>
    <w:rsid w:val="008D4D4C"/>
    <w:rsid w:val="008D5CF0"/>
    <w:rsid w:val="008E5D56"/>
    <w:rsid w:val="008E5E28"/>
    <w:rsid w:val="008F1E8B"/>
    <w:rsid w:val="008F1FF5"/>
    <w:rsid w:val="008F76AC"/>
    <w:rsid w:val="00900C14"/>
    <w:rsid w:val="00901398"/>
    <w:rsid w:val="00907CCE"/>
    <w:rsid w:val="0091600C"/>
    <w:rsid w:val="0091705A"/>
    <w:rsid w:val="009226BD"/>
    <w:rsid w:val="00923A30"/>
    <w:rsid w:val="009306EA"/>
    <w:rsid w:val="00934478"/>
    <w:rsid w:val="00935A1C"/>
    <w:rsid w:val="00936B32"/>
    <w:rsid w:val="00941446"/>
    <w:rsid w:val="00946B26"/>
    <w:rsid w:val="00953A5D"/>
    <w:rsid w:val="00960048"/>
    <w:rsid w:val="00962DE5"/>
    <w:rsid w:val="00963E88"/>
    <w:rsid w:val="0096474A"/>
    <w:rsid w:val="0096654B"/>
    <w:rsid w:val="00966638"/>
    <w:rsid w:val="00972FF3"/>
    <w:rsid w:val="00975FC8"/>
    <w:rsid w:val="009769D4"/>
    <w:rsid w:val="0098319E"/>
    <w:rsid w:val="009838E8"/>
    <w:rsid w:val="00984E63"/>
    <w:rsid w:val="009866C9"/>
    <w:rsid w:val="009900E4"/>
    <w:rsid w:val="00991C7E"/>
    <w:rsid w:val="00991CD6"/>
    <w:rsid w:val="0099314A"/>
    <w:rsid w:val="009933C1"/>
    <w:rsid w:val="00996BB7"/>
    <w:rsid w:val="009A2FA4"/>
    <w:rsid w:val="009A6FEE"/>
    <w:rsid w:val="009B26B1"/>
    <w:rsid w:val="009B2757"/>
    <w:rsid w:val="009B326F"/>
    <w:rsid w:val="009B380C"/>
    <w:rsid w:val="009B6044"/>
    <w:rsid w:val="009B62F9"/>
    <w:rsid w:val="009C1FD6"/>
    <w:rsid w:val="009C206E"/>
    <w:rsid w:val="009C5DA7"/>
    <w:rsid w:val="009C6BA6"/>
    <w:rsid w:val="009D43A1"/>
    <w:rsid w:val="009E0823"/>
    <w:rsid w:val="009E2140"/>
    <w:rsid w:val="009E21AA"/>
    <w:rsid w:val="009E430B"/>
    <w:rsid w:val="009E494D"/>
    <w:rsid w:val="009F0214"/>
    <w:rsid w:val="009F05D8"/>
    <w:rsid w:val="009F6CBF"/>
    <w:rsid w:val="009F7789"/>
    <w:rsid w:val="00A00016"/>
    <w:rsid w:val="00A007C5"/>
    <w:rsid w:val="00A00C66"/>
    <w:rsid w:val="00A02B92"/>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60A56"/>
    <w:rsid w:val="00A62562"/>
    <w:rsid w:val="00A62825"/>
    <w:rsid w:val="00A6460F"/>
    <w:rsid w:val="00A66FBF"/>
    <w:rsid w:val="00A71843"/>
    <w:rsid w:val="00A7269D"/>
    <w:rsid w:val="00A72FE7"/>
    <w:rsid w:val="00A74D12"/>
    <w:rsid w:val="00A750E5"/>
    <w:rsid w:val="00A7557C"/>
    <w:rsid w:val="00A75971"/>
    <w:rsid w:val="00A833B4"/>
    <w:rsid w:val="00A9011D"/>
    <w:rsid w:val="00A9079A"/>
    <w:rsid w:val="00A93254"/>
    <w:rsid w:val="00A97F2B"/>
    <w:rsid w:val="00AA18CC"/>
    <w:rsid w:val="00AA298E"/>
    <w:rsid w:val="00AA46F0"/>
    <w:rsid w:val="00AA48D5"/>
    <w:rsid w:val="00AB10D1"/>
    <w:rsid w:val="00AB2686"/>
    <w:rsid w:val="00AB51C1"/>
    <w:rsid w:val="00AB520C"/>
    <w:rsid w:val="00AB5806"/>
    <w:rsid w:val="00AB5E94"/>
    <w:rsid w:val="00AB7895"/>
    <w:rsid w:val="00AC4A2B"/>
    <w:rsid w:val="00AC4C23"/>
    <w:rsid w:val="00AC54B9"/>
    <w:rsid w:val="00AC6170"/>
    <w:rsid w:val="00AD2D24"/>
    <w:rsid w:val="00AE096D"/>
    <w:rsid w:val="00AE0AFD"/>
    <w:rsid w:val="00AE1706"/>
    <w:rsid w:val="00AE3AC0"/>
    <w:rsid w:val="00AE5D9C"/>
    <w:rsid w:val="00AE6903"/>
    <w:rsid w:val="00AF4CDB"/>
    <w:rsid w:val="00B00F8E"/>
    <w:rsid w:val="00B01D71"/>
    <w:rsid w:val="00B07572"/>
    <w:rsid w:val="00B134D0"/>
    <w:rsid w:val="00B201C7"/>
    <w:rsid w:val="00B30972"/>
    <w:rsid w:val="00B31D86"/>
    <w:rsid w:val="00B32F13"/>
    <w:rsid w:val="00B34326"/>
    <w:rsid w:val="00B4229C"/>
    <w:rsid w:val="00B45A70"/>
    <w:rsid w:val="00B4619A"/>
    <w:rsid w:val="00B52D60"/>
    <w:rsid w:val="00B60454"/>
    <w:rsid w:val="00B618E3"/>
    <w:rsid w:val="00B622E6"/>
    <w:rsid w:val="00B6361B"/>
    <w:rsid w:val="00B71FF5"/>
    <w:rsid w:val="00B72652"/>
    <w:rsid w:val="00B73EA1"/>
    <w:rsid w:val="00B75F93"/>
    <w:rsid w:val="00B769F7"/>
    <w:rsid w:val="00B76FFE"/>
    <w:rsid w:val="00B82721"/>
    <w:rsid w:val="00B855F2"/>
    <w:rsid w:val="00B92E20"/>
    <w:rsid w:val="00B931AD"/>
    <w:rsid w:val="00B93C04"/>
    <w:rsid w:val="00B95080"/>
    <w:rsid w:val="00B9563B"/>
    <w:rsid w:val="00B978C9"/>
    <w:rsid w:val="00BA16FB"/>
    <w:rsid w:val="00BA1DDA"/>
    <w:rsid w:val="00BA33F7"/>
    <w:rsid w:val="00BA45FE"/>
    <w:rsid w:val="00BB2224"/>
    <w:rsid w:val="00BB5371"/>
    <w:rsid w:val="00BB5952"/>
    <w:rsid w:val="00BB75C5"/>
    <w:rsid w:val="00BC14D2"/>
    <w:rsid w:val="00BC250F"/>
    <w:rsid w:val="00BC54DD"/>
    <w:rsid w:val="00BD0185"/>
    <w:rsid w:val="00BD06AA"/>
    <w:rsid w:val="00BD3851"/>
    <w:rsid w:val="00BD3956"/>
    <w:rsid w:val="00BD6BFA"/>
    <w:rsid w:val="00BE6D56"/>
    <w:rsid w:val="00BE6E3C"/>
    <w:rsid w:val="00BF3B1A"/>
    <w:rsid w:val="00C008D1"/>
    <w:rsid w:val="00C12B4B"/>
    <w:rsid w:val="00C158CD"/>
    <w:rsid w:val="00C17F58"/>
    <w:rsid w:val="00C214AA"/>
    <w:rsid w:val="00C266A0"/>
    <w:rsid w:val="00C27134"/>
    <w:rsid w:val="00C31078"/>
    <w:rsid w:val="00C31A12"/>
    <w:rsid w:val="00C4140F"/>
    <w:rsid w:val="00C42C1F"/>
    <w:rsid w:val="00C47024"/>
    <w:rsid w:val="00C47890"/>
    <w:rsid w:val="00C47DDA"/>
    <w:rsid w:val="00C50307"/>
    <w:rsid w:val="00C5292E"/>
    <w:rsid w:val="00C5363B"/>
    <w:rsid w:val="00C56883"/>
    <w:rsid w:val="00C62366"/>
    <w:rsid w:val="00C62BFF"/>
    <w:rsid w:val="00C66654"/>
    <w:rsid w:val="00C67D76"/>
    <w:rsid w:val="00C70C20"/>
    <w:rsid w:val="00C71CBA"/>
    <w:rsid w:val="00C761A1"/>
    <w:rsid w:val="00C76705"/>
    <w:rsid w:val="00C80646"/>
    <w:rsid w:val="00C80D39"/>
    <w:rsid w:val="00C824A2"/>
    <w:rsid w:val="00C85E55"/>
    <w:rsid w:val="00C87614"/>
    <w:rsid w:val="00C914B1"/>
    <w:rsid w:val="00C93276"/>
    <w:rsid w:val="00C94F56"/>
    <w:rsid w:val="00C97E7A"/>
    <w:rsid w:val="00CA1665"/>
    <w:rsid w:val="00CA355F"/>
    <w:rsid w:val="00CA4FBA"/>
    <w:rsid w:val="00CA6EF5"/>
    <w:rsid w:val="00CA79A8"/>
    <w:rsid w:val="00CB4094"/>
    <w:rsid w:val="00CB74E7"/>
    <w:rsid w:val="00CB78BB"/>
    <w:rsid w:val="00CC286E"/>
    <w:rsid w:val="00CC3B56"/>
    <w:rsid w:val="00CD0283"/>
    <w:rsid w:val="00CD08C7"/>
    <w:rsid w:val="00CD724F"/>
    <w:rsid w:val="00CF092B"/>
    <w:rsid w:val="00CF3582"/>
    <w:rsid w:val="00CF4409"/>
    <w:rsid w:val="00CF4DAF"/>
    <w:rsid w:val="00D11920"/>
    <w:rsid w:val="00D2141C"/>
    <w:rsid w:val="00D2434E"/>
    <w:rsid w:val="00D2724F"/>
    <w:rsid w:val="00D30019"/>
    <w:rsid w:val="00D32187"/>
    <w:rsid w:val="00D3507A"/>
    <w:rsid w:val="00D35B8F"/>
    <w:rsid w:val="00D35F23"/>
    <w:rsid w:val="00D545BA"/>
    <w:rsid w:val="00D56788"/>
    <w:rsid w:val="00D6011E"/>
    <w:rsid w:val="00D6149E"/>
    <w:rsid w:val="00D64401"/>
    <w:rsid w:val="00D6614D"/>
    <w:rsid w:val="00D67656"/>
    <w:rsid w:val="00D754D4"/>
    <w:rsid w:val="00D76832"/>
    <w:rsid w:val="00D77758"/>
    <w:rsid w:val="00D84EFE"/>
    <w:rsid w:val="00D85234"/>
    <w:rsid w:val="00D87ADB"/>
    <w:rsid w:val="00D942D2"/>
    <w:rsid w:val="00D958DF"/>
    <w:rsid w:val="00D97F6B"/>
    <w:rsid w:val="00DA1FB4"/>
    <w:rsid w:val="00DA480C"/>
    <w:rsid w:val="00DA5996"/>
    <w:rsid w:val="00DA79E3"/>
    <w:rsid w:val="00DB42B2"/>
    <w:rsid w:val="00DB547B"/>
    <w:rsid w:val="00DC227F"/>
    <w:rsid w:val="00DC49CA"/>
    <w:rsid w:val="00DC5B58"/>
    <w:rsid w:val="00DD0AB7"/>
    <w:rsid w:val="00DD7747"/>
    <w:rsid w:val="00DE3580"/>
    <w:rsid w:val="00DE7306"/>
    <w:rsid w:val="00DE78BA"/>
    <w:rsid w:val="00DF74A0"/>
    <w:rsid w:val="00E07501"/>
    <w:rsid w:val="00E0751E"/>
    <w:rsid w:val="00E11E9B"/>
    <w:rsid w:val="00E13AC5"/>
    <w:rsid w:val="00E22AC8"/>
    <w:rsid w:val="00E343CB"/>
    <w:rsid w:val="00E348DD"/>
    <w:rsid w:val="00E35440"/>
    <w:rsid w:val="00E364FB"/>
    <w:rsid w:val="00E37209"/>
    <w:rsid w:val="00E40D2A"/>
    <w:rsid w:val="00E4142D"/>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70C0"/>
    <w:rsid w:val="00E90238"/>
    <w:rsid w:val="00E90CEB"/>
    <w:rsid w:val="00E92712"/>
    <w:rsid w:val="00EA1C78"/>
    <w:rsid w:val="00EA3496"/>
    <w:rsid w:val="00EB2A05"/>
    <w:rsid w:val="00EB2CE7"/>
    <w:rsid w:val="00EB6DE4"/>
    <w:rsid w:val="00EB7F85"/>
    <w:rsid w:val="00EC1145"/>
    <w:rsid w:val="00EC2DDD"/>
    <w:rsid w:val="00EC3800"/>
    <w:rsid w:val="00EC425C"/>
    <w:rsid w:val="00EC46AC"/>
    <w:rsid w:val="00EC6AC3"/>
    <w:rsid w:val="00EC6D01"/>
    <w:rsid w:val="00EC7E57"/>
    <w:rsid w:val="00ED0EBD"/>
    <w:rsid w:val="00ED1822"/>
    <w:rsid w:val="00ED1E51"/>
    <w:rsid w:val="00ED5B34"/>
    <w:rsid w:val="00EE3F3A"/>
    <w:rsid w:val="00EF3998"/>
    <w:rsid w:val="00EF4F26"/>
    <w:rsid w:val="00EF52F0"/>
    <w:rsid w:val="00F01802"/>
    <w:rsid w:val="00F01C81"/>
    <w:rsid w:val="00F03A20"/>
    <w:rsid w:val="00F07757"/>
    <w:rsid w:val="00F1294C"/>
    <w:rsid w:val="00F213D6"/>
    <w:rsid w:val="00F2258B"/>
    <w:rsid w:val="00F22909"/>
    <w:rsid w:val="00F255E6"/>
    <w:rsid w:val="00F32734"/>
    <w:rsid w:val="00F354F4"/>
    <w:rsid w:val="00F35924"/>
    <w:rsid w:val="00F40105"/>
    <w:rsid w:val="00F4250E"/>
    <w:rsid w:val="00F4313E"/>
    <w:rsid w:val="00F4452A"/>
    <w:rsid w:val="00F47DEE"/>
    <w:rsid w:val="00F64D7D"/>
    <w:rsid w:val="00F6564C"/>
    <w:rsid w:val="00F665E8"/>
    <w:rsid w:val="00F6710D"/>
    <w:rsid w:val="00F67207"/>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D1CE8"/>
    <w:rsid w:val="00FD7108"/>
    <w:rsid w:val="00FD72D3"/>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14D"/>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rcot.com/mktrules/issues/npr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rcot.com/calendar/2021/4/13/214058-BOAR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rcot.com/mktrules/issues/obdrr"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rcot.com/mktrules/issues/nog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97500-9472-4C36-99B5-7068030F4C31}">
  <ds:schemaRefs>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c34af464-7aa1-4edd-9be4-83dffc1cb926"/>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9E7B8F-0FE3-4498-9AF8-8C33DA33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7</Pages>
  <Words>2089</Words>
  <Characters>12345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14406</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14</cp:revision>
  <cp:lastPrinted>2019-09-26T13:16:00Z</cp:lastPrinted>
  <dcterms:created xsi:type="dcterms:W3CDTF">2021-03-29T18:02:00Z</dcterms:created>
  <dcterms:modified xsi:type="dcterms:W3CDTF">2021-04-05T13:28:00Z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