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FC3ED8" w:rsidP="00512CD4">
      <w:pPr>
        <w:outlineLvl w:val="0"/>
        <w:rPr>
          <w:rFonts w:ascii="Arial" w:hAnsi="Arial" w:cs="Arial"/>
          <w:b/>
        </w:rPr>
      </w:pPr>
      <w:r>
        <w:rPr>
          <w:rFonts w:ascii="Arial" w:hAnsi="Arial" w:cs="Arial"/>
          <w:b/>
        </w:rPr>
        <w:t>January 20</w:t>
      </w:r>
      <w:r w:rsidR="003D68EC">
        <w:rPr>
          <w:rFonts w:ascii="Arial" w:hAnsi="Arial" w:cs="Arial"/>
          <w:b/>
        </w:rPr>
        <w:t>, 20</w:t>
      </w:r>
      <w:r w:rsidR="00157FCE">
        <w:rPr>
          <w:rFonts w:ascii="Arial" w:hAnsi="Arial" w:cs="Arial"/>
          <w:b/>
        </w:rPr>
        <w:t>2</w:t>
      </w:r>
      <w:r>
        <w:rPr>
          <w:rFonts w:ascii="Arial" w:hAnsi="Arial" w:cs="Arial"/>
          <w:b/>
        </w:rPr>
        <w:t>1</w:t>
      </w:r>
      <w:r w:rsidR="007940E8">
        <w:rPr>
          <w:rFonts w:ascii="Arial" w:hAnsi="Arial" w:cs="Arial"/>
          <w:b/>
        </w:rPr>
        <w:t xml:space="preserve"> </w:t>
      </w:r>
      <w:r w:rsidR="00D2451F">
        <w:rPr>
          <w:rFonts w:ascii="Arial" w:hAnsi="Arial" w:cs="Arial"/>
          <w:b/>
        </w:rPr>
        <w:t>(</w:t>
      </w:r>
      <w:r w:rsidR="00497ED9">
        <w:rPr>
          <w:rFonts w:ascii="Arial" w:hAnsi="Arial" w:cs="Arial"/>
          <w:b/>
        </w:rPr>
        <w:t>Webex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r w:rsidRPr="00B66532">
              <w:rPr>
                <w:sz w:val="22"/>
                <w:szCs w:val="22"/>
              </w:rPr>
              <w:t>Loretto Martin</w:t>
            </w:r>
            <w:r w:rsidR="005F570B">
              <w:rPr>
                <w:sz w:val="22"/>
                <w:szCs w:val="22"/>
              </w:rPr>
              <w:t xml:space="preserve"> </w:t>
            </w:r>
            <w:r w:rsidR="006B1CCC">
              <w:rPr>
                <w:sz w:val="22"/>
                <w:szCs w:val="22"/>
              </w:rPr>
              <w:t>–</w:t>
            </w:r>
            <w:r w:rsidR="005F570B">
              <w:rPr>
                <w:sz w:val="22"/>
                <w:szCs w:val="22"/>
              </w:rPr>
              <w:t xml:space="preserve"> </w:t>
            </w:r>
            <w:r w:rsidR="006B1CCC">
              <w:rPr>
                <w:sz w:val="22"/>
                <w:szCs w:val="22"/>
              </w:rPr>
              <w:t>NRG/</w:t>
            </w:r>
            <w:r w:rsidRPr="00B66532">
              <w:rPr>
                <w:sz w:val="22"/>
                <w:szCs w:val="22"/>
              </w:rPr>
              <w:t>Direct Energy</w:t>
            </w:r>
          </w:p>
          <w:p w:rsidR="007443AB" w:rsidRPr="00A450B5" w:rsidRDefault="006B1CCC" w:rsidP="005F570B">
            <w:pPr>
              <w:rPr>
                <w:sz w:val="22"/>
                <w:szCs w:val="22"/>
              </w:rPr>
            </w:pPr>
            <w:r>
              <w:rPr>
                <w:sz w:val="22"/>
                <w:szCs w:val="22"/>
              </w:rPr>
              <w:t xml:space="preserve"> </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2214AC" w:rsidRPr="00394AAC" w:rsidTr="00406A84">
        <w:tc>
          <w:tcPr>
            <w:tcW w:w="2448" w:type="dxa"/>
          </w:tcPr>
          <w:p w:rsidR="002214AC" w:rsidRDefault="002214AC" w:rsidP="0050187E">
            <w:pPr>
              <w:jc w:val="center"/>
              <w:rPr>
                <w:sz w:val="22"/>
                <w:szCs w:val="22"/>
              </w:rPr>
            </w:pPr>
            <w:r w:rsidRPr="002214AC">
              <w:rPr>
                <w:sz w:val="22"/>
                <w:szCs w:val="22"/>
              </w:rPr>
              <w:t>Independent Generators</w:t>
            </w:r>
          </w:p>
          <w:p w:rsidR="002214AC" w:rsidRPr="00153FFC" w:rsidRDefault="002214AC" w:rsidP="0050187E">
            <w:pPr>
              <w:jc w:val="center"/>
              <w:rPr>
                <w:sz w:val="22"/>
                <w:szCs w:val="22"/>
              </w:rPr>
            </w:pPr>
          </w:p>
        </w:tc>
        <w:tc>
          <w:tcPr>
            <w:tcW w:w="7020" w:type="dxa"/>
            <w:gridSpan w:val="3"/>
          </w:tcPr>
          <w:p w:rsidR="002214AC" w:rsidRDefault="002214AC" w:rsidP="0050187E">
            <w:pPr>
              <w:rPr>
                <w:sz w:val="22"/>
                <w:szCs w:val="22"/>
              </w:rPr>
            </w:pPr>
            <w:r w:rsidRPr="002214AC">
              <w:rPr>
                <w:sz w:val="22"/>
                <w:szCs w:val="22"/>
              </w:rPr>
              <w:t>Ian Haley</w:t>
            </w:r>
            <w:r>
              <w:rPr>
                <w:sz w:val="22"/>
                <w:szCs w:val="22"/>
              </w:rPr>
              <w:t xml:space="preserve"> - </w:t>
            </w:r>
            <w:r w:rsidRPr="002214AC">
              <w:rPr>
                <w:sz w:val="22"/>
                <w:szCs w:val="22"/>
              </w:rPr>
              <w:t>Luminant Generation</w:t>
            </w:r>
          </w:p>
          <w:p w:rsidR="006B1CCC" w:rsidRDefault="006B1CCC" w:rsidP="0050187E">
            <w:pPr>
              <w:rPr>
                <w:sz w:val="22"/>
                <w:szCs w:val="22"/>
              </w:rPr>
            </w:pPr>
            <w:r w:rsidRPr="006B1CCC">
              <w:rPr>
                <w:sz w:val="22"/>
                <w:szCs w:val="22"/>
              </w:rPr>
              <w:t>James Spaulding</w:t>
            </w:r>
            <w:r>
              <w:rPr>
                <w:sz w:val="22"/>
                <w:szCs w:val="22"/>
              </w:rPr>
              <w:t xml:space="preserve"> – </w:t>
            </w:r>
            <w:r w:rsidRPr="006B1CCC">
              <w:rPr>
                <w:sz w:val="22"/>
                <w:szCs w:val="22"/>
              </w:rPr>
              <w:t>Calpine</w:t>
            </w:r>
          </w:p>
          <w:p w:rsidR="006B1CCC" w:rsidRPr="00153FFC" w:rsidRDefault="006B1CCC" w:rsidP="0050187E">
            <w:pPr>
              <w:rPr>
                <w:sz w:val="22"/>
                <w:szCs w:val="22"/>
              </w:rPr>
            </w:pP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Oncor</w:t>
            </w:r>
          </w:p>
          <w:p w:rsidR="00E14B66" w:rsidRPr="00394AAC" w:rsidRDefault="00E14B66" w:rsidP="00A5483C">
            <w:pPr>
              <w:rPr>
                <w:sz w:val="22"/>
                <w:szCs w:val="22"/>
              </w:rPr>
            </w:pPr>
          </w:p>
        </w:tc>
      </w:tr>
      <w:tr w:rsidR="006B1CCC" w:rsidRPr="00394AAC" w:rsidTr="00406A84">
        <w:tc>
          <w:tcPr>
            <w:tcW w:w="2448" w:type="dxa"/>
          </w:tcPr>
          <w:p w:rsidR="006B1CCC" w:rsidRPr="006B1CCC" w:rsidRDefault="006B1CCC" w:rsidP="0050187E">
            <w:pPr>
              <w:jc w:val="center"/>
              <w:rPr>
                <w:sz w:val="22"/>
                <w:szCs w:val="22"/>
              </w:rPr>
            </w:pPr>
            <w:r w:rsidRPr="006B1CCC">
              <w:rPr>
                <w:sz w:val="22"/>
                <w:szCs w:val="22"/>
              </w:rPr>
              <w:t>Municipals</w:t>
            </w:r>
          </w:p>
        </w:tc>
        <w:tc>
          <w:tcPr>
            <w:tcW w:w="7020" w:type="dxa"/>
            <w:gridSpan w:val="3"/>
          </w:tcPr>
          <w:p w:rsidR="006B1CCC" w:rsidRDefault="006B1CCC" w:rsidP="00A5483C">
            <w:pPr>
              <w:rPr>
                <w:sz w:val="22"/>
                <w:szCs w:val="22"/>
              </w:rPr>
            </w:pPr>
            <w:r w:rsidRPr="006B1CCC">
              <w:rPr>
                <w:sz w:val="22"/>
                <w:szCs w:val="22"/>
              </w:rPr>
              <w:t>Josephine Wan</w:t>
            </w:r>
            <w:r>
              <w:rPr>
                <w:sz w:val="22"/>
                <w:szCs w:val="22"/>
              </w:rPr>
              <w:t xml:space="preserve"> - </w:t>
            </w:r>
            <w:r w:rsidRPr="006B1CCC">
              <w:rPr>
                <w:sz w:val="22"/>
                <w:szCs w:val="22"/>
              </w:rPr>
              <w:t>Austin Energy</w:t>
            </w:r>
          </w:p>
          <w:p w:rsidR="006B1CCC" w:rsidRPr="006B1CCC" w:rsidRDefault="006B1CCC" w:rsidP="00A5483C">
            <w:pPr>
              <w:rPr>
                <w:sz w:val="22"/>
                <w:szCs w:val="22"/>
              </w:rPr>
            </w:pPr>
          </w:p>
        </w:tc>
      </w:tr>
      <w:tr w:rsidR="006B1CCC" w:rsidRPr="00394AAC" w:rsidTr="00406A84">
        <w:tc>
          <w:tcPr>
            <w:tcW w:w="2448" w:type="dxa"/>
          </w:tcPr>
          <w:p w:rsidR="006B1CCC" w:rsidRPr="00E14B66" w:rsidRDefault="006B1CCC" w:rsidP="0050187E">
            <w:pPr>
              <w:jc w:val="center"/>
              <w:rPr>
                <w:sz w:val="22"/>
                <w:szCs w:val="22"/>
              </w:rPr>
            </w:pPr>
            <w:r w:rsidRPr="006B1CCC">
              <w:rPr>
                <w:sz w:val="22"/>
                <w:szCs w:val="22"/>
              </w:rPr>
              <w:t>Cooperatives</w:t>
            </w:r>
          </w:p>
        </w:tc>
        <w:tc>
          <w:tcPr>
            <w:tcW w:w="7020" w:type="dxa"/>
            <w:gridSpan w:val="3"/>
          </w:tcPr>
          <w:p w:rsidR="006B1CCC" w:rsidRDefault="006B1CCC" w:rsidP="00A5483C">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rsidR="006B1CCC" w:rsidRPr="00E14B66" w:rsidRDefault="006B1CCC"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6B1CCC" w:rsidRDefault="006B1CCC" w:rsidP="00E14B66">
            <w:pPr>
              <w:rPr>
                <w:sz w:val="22"/>
                <w:szCs w:val="22"/>
              </w:rPr>
            </w:pPr>
            <w:r>
              <w:rPr>
                <w:sz w:val="22"/>
                <w:szCs w:val="22"/>
              </w:rPr>
              <w:t>Bill Barnes</w:t>
            </w:r>
          </w:p>
          <w:p w:rsidR="00E14B66" w:rsidRDefault="00E14B66" w:rsidP="00E14B66">
            <w:pPr>
              <w:rPr>
                <w:sz w:val="22"/>
                <w:szCs w:val="22"/>
              </w:rPr>
            </w:pPr>
            <w:r>
              <w:rPr>
                <w:sz w:val="22"/>
                <w:szCs w:val="22"/>
              </w:rPr>
              <w:t>Bob Wittmeyer</w:t>
            </w:r>
          </w:p>
          <w:p w:rsidR="00E14B66" w:rsidRDefault="00E14B66" w:rsidP="00E14B66">
            <w:pPr>
              <w:rPr>
                <w:sz w:val="22"/>
                <w:szCs w:val="22"/>
              </w:rPr>
            </w:pPr>
            <w:r>
              <w:rPr>
                <w:sz w:val="22"/>
                <w:szCs w:val="22"/>
              </w:rPr>
              <w:t>Brenden Sager</w:t>
            </w:r>
          </w:p>
          <w:p w:rsidR="006B1CCC" w:rsidRDefault="006B1CCC" w:rsidP="00D30C03">
            <w:pPr>
              <w:rPr>
                <w:sz w:val="22"/>
                <w:szCs w:val="22"/>
              </w:rPr>
            </w:pPr>
            <w:r>
              <w:rPr>
                <w:sz w:val="22"/>
                <w:szCs w:val="22"/>
              </w:rPr>
              <w:t>Seth Cochran</w:t>
            </w:r>
          </w:p>
          <w:p w:rsidR="00D30C03" w:rsidRDefault="00D30C03" w:rsidP="00D30C03">
            <w:pPr>
              <w:rPr>
                <w:sz w:val="22"/>
                <w:szCs w:val="22"/>
              </w:rPr>
            </w:pPr>
            <w:r>
              <w:rPr>
                <w:sz w:val="22"/>
                <w:szCs w:val="22"/>
              </w:rPr>
              <w:t>Kristy Ashley</w:t>
            </w:r>
          </w:p>
          <w:p w:rsidR="006B1CCC" w:rsidRDefault="006B1CCC" w:rsidP="00D30C03">
            <w:pPr>
              <w:rPr>
                <w:sz w:val="22"/>
                <w:szCs w:val="22"/>
              </w:rPr>
            </w:pPr>
            <w:r>
              <w:rPr>
                <w:sz w:val="22"/>
                <w:szCs w:val="22"/>
              </w:rPr>
              <w:t>Matt Robson</w:t>
            </w:r>
          </w:p>
          <w:p w:rsidR="006B1CCC" w:rsidRDefault="006B1CCC" w:rsidP="00D30C03">
            <w:pPr>
              <w:rPr>
                <w:sz w:val="22"/>
                <w:szCs w:val="22"/>
              </w:rPr>
            </w:pPr>
            <w:r>
              <w:rPr>
                <w:sz w:val="22"/>
                <w:szCs w:val="22"/>
              </w:rPr>
              <w:t>Lucas Turner</w:t>
            </w:r>
          </w:p>
          <w:p w:rsidR="006B1CCC" w:rsidRDefault="006B1CCC" w:rsidP="00D30C03">
            <w:pPr>
              <w:rPr>
                <w:sz w:val="22"/>
                <w:szCs w:val="22"/>
              </w:rPr>
            </w:pPr>
            <w:r>
              <w:rPr>
                <w:sz w:val="22"/>
                <w:szCs w:val="22"/>
              </w:rPr>
              <w:t>Cliff Lange</w:t>
            </w:r>
          </w:p>
          <w:p w:rsidR="006B1CCC" w:rsidRDefault="006B1CCC" w:rsidP="00D30C03">
            <w:pPr>
              <w:rPr>
                <w:sz w:val="22"/>
                <w:szCs w:val="22"/>
              </w:rPr>
            </w:pPr>
            <w:r>
              <w:rPr>
                <w:sz w:val="22"/>
                <w:szCs w:val="22"/>
              </w:rPr>
              <w:t>Jimmy Kuo</w:t>
            </w:r>
          </w:p>
          <w:p w:rsidR="00D30C03" w:rsidRDefault="00D30C03" w:rsidP="00D30C03">
            <w:pPr>
              <w:rPr>
                <w:sz w:val="22"/>
                <w:szCs w:val="22"/>
              </w:rPr>
            </w:pPr>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AB6523" w:rsidRDefault="00AB6523" w:rsidP="00507A82">
            <w:pPr>
              <w:rPr>
                <w:sz w:val="22"/>
                <w:szCs w:val="22"/>
              </w:rPr>
            </w:pPr>
            <w:r>
              <w:rPr>
                <w:sz w:val="22"/>
                <w:szCs w:val="22"/>
              </w:rPr>
              <w:t>Tony Marsh</w:t>
            </w:r>
          </w:p>
          <w:p w:rsidR="00826648" w:rsidRDefault="00826648" w:rsidP="00507A82">
            <w:pPr>
              <w:rPr>
                <w:sz w:val="22"/>
                <w:szCs w:val="22"/>
              </w:rPr>
            </w:pPr>
            <w:r>
              <w:rPr>
                <w:sz w:val="22"/>
                <w:szCs w:val="22"/>
              </w:rPr>
              <w:t>Kim Rainwater</w:t>
            </w:r>
          </w:p>
          <w:p w:rsidR="006B1CCC" w:rsidRDefault="006B1CCC" w:rsidP="00507A82">
            <w:pPr>
              <w:rPr>
                <w:sz w:val="22"/>
                <w:szCs w:val="22"/>
              </w:rPr>
            </w:pPr>
            <w:r>
              <w:rPr>
                <w:sz w:val="22"/>
                <w:szCs w:val="22"/>
              </w:rPr>
              <w:t>Lori Williams</w:t>
            </w:r>
          </w:p>
          <w:p w:rsidR="00AB6523" w:rsidRDefault="00AB6523" w:rsidP="00507A82">
            <w:pPr>
              <w:rPr>
                <w:sz w:val="22"/>
                <w:szCs w:val="22"/>
              </w:rPr>
            </w:pPr>
            <w:r>
              <w:rPr>
                <w:sz w:val="22"/>
                <w:szCs w:val="22"/>
              </w:rPr>
              <w:t>Bryan Sams</w:t>
            </w:r>
          </w:p>
          <w:p w:rsidR="006B1CCC" w:rsidRDefault="006B1CCC" w:rsidP="00507A82">
            <w:pPr>
              <w:rPr>
                <w:sz w:val="22"/>
                <w:szCs w:val="22"/>
              </w:rPr>
            </w:pPr>
            <w:r>
              <w:rPr>
                <w:sz w:val="22"/>
                <w:szCs w:val="22"/>
              </w:rPr>
              <w:t>Kevin Bunch</w:t>
            </w:r>
          </w:p>
          <w:p w:rsidR="00826648" w:rsidRDefault="006B1CCC" w:rsidP="00507A82">
            <w:pPr>
              <w:rPr>
                <w:sz w:val="22"/>
                <w:szCs w:val="22"/>
              </w:rPr>
            </w:pPr>
            <w:r>
              <w:rPr>
                <w:sz w:val="22"/>
                <w:szCs w:val="22"/>
              </w:rPr>
              <w:t>Christopher Smith</w:t>
            </w:r>
          </w:p>
          <w:p w:rsidR="006B1CCC" w:rsidRDefault="006B1CCC" w:rsidP="00507A82">
            <w:pPr>
              <w:rPr>
                <w:sz w:val="22"/>
                <w:szCs w:val="22"/>
              </w:rPr>
            </w:pPr>
            <w:r>
              <w:rPr>
                <w:sz w:val="22"/>
                <w:szCs w:val="22"/>
              </w:rPr>
              <w:t>Shawnee Claiborn-Pinto</w:t>
            </w:r>
          </w:p>
          <w:p w:rsidR="006B1CCC" w:rsidRPr="00217EF2" w:rsidRDefault="006B1CCC" w:rsidP="00507A82">
            <w:pPr>
              <w:rPr>
                <w:sz w:val="22"/>
                <w:szCs w:val="22"/>
              </w:rPr>
            </w:pPr>
            <w:r>
              <w:rPr>
                <w:sz w:val="22"/>
                <w:szCs w:val="22"/>
              </w:rPr>
              <w:t>Tom Burke</w:t>
            </w: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Mark Ruane</w:t>
            </w:r>
          </w:p>
          <w:p w:rsidR="00E14B66" w:rsidRDefault="00E14B66" w:rsidP="00E14B66">
            <w:pPr>
              <w:rPr>
                <w:sz w:val="22"/>
                <w:szCs w:val="22"/>
              </w:rPr>
            </w:pPr>
            <w:r>
              <w:rPr>
                <w:sz w:val="22"/>
                <w:szCs w:val="22"/>
              </w:rPr>
              <w:t>Vanessa Spells</w:t>
            </w:r>
          </w:p>
          <w:p w:rsidR="00E14B66" w:rsidRDefault="00E14B66" w:rsidP="00E14B66">
            <w:pPr>
              <w:rPr>
                <w:sz w:val="22"/>
                <w:szCs w:val="22"/>
              </w:rPr>
            </w:pPr>
            <w:r>
              <w:rPr>
                <w:sz w:val="22"/>
                <w:szCs w:val="22"/>
              </w:rPr>
              <w:t>Spoorthy Papudesi</w:t>
            </w:r>
          </w:p>
          <w:p w:rsidR="00BA5723" w:rsidRDefault="00BA5723" w:rsidP="00E14B66">
            <w:pPr>
              <w:rPr>
                <w:sz w:val="22"/>
                <w:szCs w:val="22"/>
              </w:rPr>
            </w:pPr>
            <w:r>
              <w:rPr>
                <w:sz w:val="22"/>
                <w:szCs w:val="22"/>
              </w:rPr>
              <w:t>Julio Dovalina</w:t>
            </w:r>
          </w:p>
          <w:p w:rsidR="00E14B66" w:rsidRDefault="00E14B66" w:rsidP="00E14B66">
            <w:pPr>
              <w:rPr>
                <w:sz w:val="22"/>
                <w:szCs w:val="22"/>
              </w:rPr>
            </w:pPr>
            <w:r>
              <w:rPr>
                <w:sz w:val="22"/>
                <w:szCs w:val="22"/>
              </w:rPr>
              <w:t>Rizaldy Zapan</w:t>
            </w:r>
            <w:r w:rsidR="00BA5723">
              <w:rPr>
                <w:sz w:val="22"/>
                <w:szCs w:val="22"/>
              </w:rPr>
              <w:t>t</w:t>
            </w:r>
            <w:r>
              <w:rPr>
                <w:sz w:val="22"/>
                <w:szCs w:val="22"/>
              </w:rPr>
              <w:t>a</w:t>
            </w:r>
          </w:p>
          <w:p w:rsidR="00BA5723" w:rsidRDefault="00BA5723" w:rsidP="00E14B66">
            <w:pPr>
              <w:rPr>
                <w:sz w:val="22"/>
                <w:szCs w:val="22"/>
              </w:rPr>
            </w:pPr>
            <w:r>
              <w:rPr>
                <w:sz w:val="22"/>
                <w:szCs w:val="22"/>
              </w:rPr>
              <w:t>Maruthi Gaddam</w:t>
            </w:r>
          </w:p>
          <w:p w:rsidR="00AB6523" w:rsidRDefault="00AB6523" w:rsidP="00AB6523">
            <w:pPr>
              <w:rPr>
                <w:sz w:val="22"/>
                <w:szCs w:val="22"/>
              </w:rPr>
            </w:pPr>
            <w:r>
              <w:rPr>
                <w:sz w:val="22"/>
                <w:szCs w:val="22"/>
              </w:rPr>
              <w:t>Cory Phillips</w:t>
            </w:r>
          </w:p>
          <w:p w:rsidR="00E14B66" w:rsidRDefault="00E14B66" w:rsidP="00AB6523">
            <w:pPr>
              <w:rPr>
                <w:sz w:val="22"/>
                <w:szCs w:val="22"/>
              </w:rPr>
            </w:pPr>
          </w:p>
        </w:tc>
        <w:tc>
          <w:tcPr>
            <w:tcW w:w="3600" w:type="dxa"/>
            <w:tcBorders>
              <w:left w:val="nil"/>
            </w:tcBorders>
          </w:tcPr>
          <w:p w:rsidR="00826648" w:rsidRDefault="00826648" w:rsidP="00E14B66">
            <w:pPr>
              <w:rPr>
                <w:sz w:val="22"/>
                <w:szCs w:val="22"/>
              </w:rPr>
            </w:pPr>
            <w:r>
              <w:rPr>
                <w:sz w:val="22"/>
                <w:szCs w:val="22"/>
              </w:rPr>
              <w:t>Ino Gonzalez</w:t>
            </w:r>
          </w:p>
          <w:p w:rsidR="00BA5723" w:rsidRDefault="00BA5723" w:rsidP="00E14B66">
            <w:pPr>
              <w:rPr>
                <w:sz w:val="22"/>
                <w:szCs w:val="22"/>
              </w:rPr>
            </w:pPr>
            <w:r>
              <w:rPr>
                <w:sz w:val="22"/>
                <w:szCs w:val="22"/>
              </w:rPr>
              <w:t>Donal House</w:t>
            </w:r>
          </w:p>
          <w:p w:rsidR="00BA5723" w:rsidRDefault="00BA5723" w:rsidP="00E14B66">
            <w:pPr>
              <w:rPr>
                <w:sz w:val="22"/>
                <w:szCs w:val="22"/>
              </w:rPr>
            </w:pPr>
            <w:r>
              <w:rPr>
                <w:sz w:val="22"/>
                <w:szCs w:val="22"/>
              </w:rPr>
              <w:t>Ohlen Dinopol</w:t>
            </w:r>
          </w:p>
          <w:p w:rsidR="0008039E" w:rsidRDefault="00BA5723" w:rsidP="00E14B66">
            <w:pPr>
              <w:rPr>
                <w:sz w:val="22"/>
                <w:szCs w:val="22"/>
              </w:rPr>
            </w:pPr>
            <w:r>
              <w:rPr>
                <w:sz w:val="22"/>
                <w:szCs w:val="22"/>
              </w:rPr>
              <w:t>Shalesh Ganjoo</w:t>
            </w:r>
          </w:p>
          <w:p w:rsidR="00BA5723" w:rsidRDefault="00BA5723" w:rsidP="00E14B66">
            <w:pPr>
              <w:rPr>
                <w:sz w:val="22"/>
                <w:szCs w:val="22"/>
              </w:rPr>
            </w:pPr>
            <w:r>
              <w:rPr>
                <w:sz w:val="22"/>
                <w:szCs w:val="22"/>
              </w:rPr>
              <w:t>Vicki Scott</w:t>
            </w:r>
          </w:p>
          <w:p w:rsidR="00BA5723" w:rsidRDefault="00BA5723" w:rsidP="00E14B66">
            <w:pPr>
              <w:rPr>
                <w:sz w:val="22"/>
                <w:szCs w:val="22"/>
              </w:rPr>
            </w:pPr>
            <w:r>
              <w:rPr>
                <w:sz w:val="22"/>
                <w:szCs w:val="22"/>
              </w:rPr>
              <w:t>Phil Bracy</w:t>
            </w:r>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491898">
        <w:rPr>
          <w:rFonts w:ascii="Arial" w:hAnsi="Arial" w:cs="Arial"/>
        </w:rPr>
        <w:t>9:30</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FC3ED8">
        <w:rPr>
          <w:rFonts w:ascii="Arial" w:hAnsi="Arial" w:cs="Arial"/>
          <w:b/>
          <w:u w:val="single"/>
        </w:rPr>
        <w:t>November 17</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rsidR="00E8139F" w:rsidRDefault="00565420" w:rsidP="009727DE">
      <w:pPr>
        <w:jc w:val="both"/>
        <w:rPr>
          <w:rFonts w:ascii="Arial" w:hAnsi="Arial" w:cs="Arial"/>
        </w:rPr>
      </w:pPr>
      <w:r>
        <w:rPr>
          <w:rFonts w:ascii="Arial" w:hAnsi="Arial" w:cs="Arial"/>
        </w:rPr>
        <w:lastRenderedPageBreak/>
        <w:t>Brenden Sager</w:t>
      </w:r>
      <w:r w:rsidR="00474167">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FC3ED8">
        <w:rPr>
          <w:rFonts w:ascii="Arial" w:hAnsi="Arial" w:cs="Arial"/>
        </w:rPr>
        <w:t xml:space="preserve"> November 17</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sidR="008D6947">
        <w:rPr>
          <w:rFonts w:ascii="Arial" w:hAnsi="Arial" w:cs="Arial"/>
        </w:rPr>
        <w:t>Mark Holler</w:t>
      </w:r>
      <w:r w:rsidR="00917A50">
        <w:rPr>
          <w:rFonts w:ascii="Arial" w:hAnsi="Arial" w:cs="Arial"/>
        </w:rPr>
        <w:t xml:space="preserve">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450AD4">
            <w:pPr>
              <w:jc w:val="both"/>
              <w:rPr>
                <w:rFonts w:ascii="Arial" w:hAnsi="Arial" w:cs="Arial"/>
              </w:rPr>
            </w:pPr>
            <w:r>
              <w:rPr>
                <w:rFonts w:ascii="Arial" w:hAnsi="Arial" w:cs="Arial"/>
              </w:rPr>
              <w:t xml:space="preserve">NPRR </w:t>
            </w:r>
            <w:r w:rsidR="00B913BC">
              <w:rPr>
                <w:rFonts w:ascii="Arial" w:hAnsi="Arial" w:cs="Arial"/>
              </w:rPr>
              <w:t>1024</w:t>
            </w:r>
          </w:p>
        </w:tc>
        <w:tc>
          <w:tcPr>
            <w:tcW w:w="6835" w:type="dxa"/>
            <w:shd w:val="clear" w:color="auto" w:fill="auto"/>
          </w:tcPr>
          <w:p w:rsidR="008930D4" w:rsidRPr="00801CC8" w:rsidRDefault="00B913BC" w:rsidP="001C1FB0">
            <w:pPr>
              <w:jc w:val="both"/>
              <w:rPr>
                <w:rFonts w:ascii="Arial" w:hAnsi="Arial" w:cs="Arial"/>
              </w:rPr>
            </w:pPr>
            <w:r w:rsidRPr="00B913BC">
              <w:rPr>
                <w:rFonts w:ascii="Arial" w:hAnsi="Arial" w:cs="Arial"/>
              </w:rPr>
              <w:t>Determination of Significance with Respect to Price Corrections</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 xml:space="preserve">NPRR </w:t>
            </w:r>
            <w:r w:rsidR="00B913BC">
              <w:rPr>
                <w:rFonts w:ascii="Arial" w:hAnsi="Arial" w:cs="Arial"/>
              </w:rPr>
              <w:t>1040</w:t>
            </w:r>
          </w:p>
        </w:tc>
        <w:tc>
          <w:tcPr>
            <w:tcW w:w="6835" w:type="dxa"/>
            <w:shd w:val="clear" w:color="auto" w:fill="auto"/>
          </w:tcPr>
          <w:p w:rsidR="008930D4" w:rsidRPr="00F35115" w:rsidRDefault="00B913BC" w:rsidP="001C1FB0">
            <w:pPr>
              <w:jc w:val="both"/>
              <w:rPr>
                <w:rFonts w:ascii="Arial" w:hAnsi="Arial" w:cs="Arial"/>
              </w:rPr>
            </w:pPr>
            <w:r w:rsidRPr="00B913BC">
              <w:rPr>
                <w:rFonts w:ascii="Arial" w:hAnsi="Arial" w:cs="Arial"/>
              </w:rPr>
              <w:t>Compliance Metrics for Ancillary Service Supply Responsibility</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B913BC">
              <w:rPr>
                <w:rFonts w:ascii="Arial" w:hAnsi="Arial" w:cs="Arial"/>
              </w:rPr>
              <w:t>4</w:t>
            </w:r>
            <w:r w:rsidR="00450AD4">
              <w:rPr>
                <w:rFonts w:ascii="Arial" w:hAnsi="Arial" w:cs="Arial"/>
              </w:rPr>
              <w:t>4</w:t>
            </w:r>
          </w:p>
        </w:tc>
        <w:tc>
          <w:tcPr>
            <w:tcW w:w="6835" w:type="dxa"/>
            <w:shd w:val="clear" w:color="auto" w:fill="auto"/>
          </w:tcPr>
          <w:p w:rsidR="008930D4" w:rsidRPr="00EC2D3E" w:rsidRDefault="00B913BC" w:rsidP="001C1FB0">
            <w:pPr>
              <w:rPr>
                <w:rFonts w:ascii="Arial" w:hAnsi="Arial" w:cs="Arial"/>
              </w:rPr>
            </w:pPr>
            <w:r w:rsidRPr="00B913BC">
              <w:rPr>
                <w:rFonts w:ascii="Arial" w:hAnsi="Arial" w:cs="Arial"/>
              </w:rPr>
              <w:t>Enhancement of SSR Mitigation Requirement</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B913BC">
              <w:rPr>
                <w:rFonts w:ascii="Arial" w:hAnsi="Arial" w:cs="Arial"/>
              </w:rPr>
              <w:t>45</w:t>
            </w:r>
          </w:p>
        </w:tc>
        <w:tc>
          <w:tcPr>
            <w:tcW w:w="6835" w:type="dxa"/>
            <w:shd w:val="clear" w:color="auto" w:fill="auto"/>
          </w:tcPr>
          <w:p w:rsidR="008930D4" w:rsidRPr="00EC2D3E" w:rsidRDefault="00B913BC" w:rsidP="001C1FB0">
            <w:pPr>
              <w:jc w:val="both"/>
              <w:rPr>
                <w:rFonts w:ascii="Arial" w:hAnsi="Arial" w:cs="Arial"/>
              </w:rPr>
            </w:pPr>
            <w:r w:rsidRPr="00B913BC">
              <w:rPr>
                <w:rFonts w:ascii="Arial" w:hAnsi="Arial" w:cs="Arial"/>
              </w:rPr>
              <w:t>Transmission Operator Definition and Designation</w:t>
            </w:r>
          </w:p>
        </w:tc>
      </w:tr>
      <w:tr w:rsidR="008930D4" w:rsidRPr="00F35115" w:rsidTr="001C1FB0">
        <w:trPr>
          <w:trHeight w:val="70"/>
        </w:trPr>
        <w:tc>
          <w:tcPr>
            <w:tcW w:w="1687" w:type="dxa"/>
            <w:shd w:val="clear" w:color="auto" w:fill="auto"/>
          </w:tcPr>
          <w:p w:rsidR="008930D4" w:rsidRDefault="004A17B2" w:rsidP="00B913BC">
            <w:pPr>
              <w:jc w:val="both"/>
              <w:rPr>
                <w:rFonts w:ascii="Arial" w:hAnsi="Arial" w:cs="Arial"/>
              </w:rPr>
            </w:pPr>
            <w:r>
              <w:rPr>
                <w:rFonts w:ascii="Arial" w:hAnsi="Arial" w:cs="Arial"/>
              </w:rPr>
              <w:t>NPRR 10</w:t>
            </w:r>
            <w:r w:rsidR="00B913BC">
              <w:rPr>
                <w:rFonts w:ascii="Arial" w:hAnsi="Arial" w:cs="Arial"/>
              </w:rPr>
              <w:t>53</w:t>
            </w:r>
          </w:p>
        </w:tc>
        <w:tc>
          <w:tcPr>
            <w:tcW w:w="6835" w:type="dxa"/>
            <w:shd w:val="clear" w:color="auto" w:fill="auto"/>
          </w:tcPr>
          <w:p w:rsidR="008930D4" w:rsidRPr="00F24E10" w:rsidRDefault="00B913BC" w:rsidP="001C1FB0">
            <w:pPr>
              <w:jc w:val="both"/>
              <w:rPr>
                <w:rFonts w:ascii="Arial" w:hAnsi="Arial" w:cs="Arial"/>
              </w:rPr>
            </w:pPr>
            <w:r w:rsidRPr="00B913BC">
              <w:rPr>
                <w:rFonts w:ascii="Arial" w:hAnsi="Arial" w:cs="Arial"/>
              </w:rPr>
              <w:t>BESTF-9 Exemption from Ancillary Service Supply Compliance Requirements for Energy Storage Resources Affected by EEA Level 3 Charging Suspensions</w:t>
            </w:r>
          </w:p>
        </w:tc>
      </w:tr>
      <w:tr w:rsidR="008930D4" w:rsidRPr="00F35115" w:rsidTr="001C1FB0">
        <w:trPr>
          <w:trHeight w:val="70"/>
        </w:trPr>
        <w:tc>
          <w:tcPr>
            <w:tcW w:w="1687" w:type="dxa"/>
            <w:shd w:val="clear" w:color="auto" w:fill="auto"/>
          </w:tcPr>
          <w:p w:rsidR="008930D4" w:rsidRDefault="00707530" w:rsidP="00B913BC">
            <w:pPr>
              <w:jc w:val="both"/>
              <w:rPr>
                <w:rFonts w:ascii="Arial" w:hAnsi="Arial" w:cs="Arial"/>
              </w:rPr>
            </w:pPr>
            <w:r>
              <w:rPr>
                <w:rFonts w:ascii="Arial" w:hAnsi="Arial" w:cs="Arial"/>
              </w:rPr>
              <w:t>NPRR 10</w:t>
            </w:r>
            <w:r w:rsidR="00B913BC">
              <w:rPr>
                <w:rFonts w:ascii="Arial" w:hAnsi="Arial" w:cs="Arial"/>
              </w:rPr>
              <w:t>54</w:t>
            </w:r>
          </w:p>
        </w:tc>
        <w:tc>
          <w:tcPr>
            <w:tcW w:w="6835" w:type="dxa"/>
            <w:shd w:val="clear" w:color="auto" w:fill="auto"/>
          </w:tcPr>
          <w:p w:rsidR="008930D4" w:rsidRPr="00F24E10" w:rsidRDefault="00B913BC" w:rsidP="001C1FB0">
            <w:pPr>
              <w:jc w:val="both"/>
              <w:rPr>
                <w:rFonts w:ascii="Arial" w:hAnsi="Arial" w:cs="Arial"/>
              </w:rPr>
            </w:pPr>
            <w:r w:rsidRPr="00B913BC">
              <w:rPr>
                <w:rFonts w:ascii="Arial" w:hAnsi="Arial" w:cs="Arial"/>
              </w:rPr>
              <w:t>Removal of Oklaunion Exemption Language</w:t>
            </w:r>
          </w:p>
        </w:tc>
      </w:tr>
      <w:tr w:rsidR="008930D4" w:rsidRPr="00F35115" w:rsidTr="001C1FB0">
        <w:trPr>
          <w:trHeight w:val="70"/>
        </w:trPr>
        <w:tc>
          <w:tcPr>
            <w:tcW w:w="1687" w:type="dxa"/>
            <w:shd w:val="clear" w:color="auto" w:fill="auto"/>
          </w:tcPr>
          <w:p w:rsidR="008930D4" w:rsidRDefault="008930D4" w:rsidP="00B913BC">
            <w:pPr>
              <w:jc w:val="both"/>
              <w:rPr>
                <w:rFonts w:ascii="Arial" w:hAnsi="Arial" w:cs="Arial"/>
              </w:rPr>
            </w:pPr>
            <w:r>
              <w:rPr>
                <w:rFonts w:ascii="Arial" w:hAnsi="Arial" w:cs="Arial"/>
              </w:rPr>
              <w:t>NPRR 10</w:t>
            </w:r>
            <w:r w:rsidR="00B913BC">
              <w:rPr>
                <w:rFonts w:ascii="Arial" w:hAnsi="Arial" w:cs="Arial"/>
              </w:rPr>
              <w:t>57</w:t>
            </w:r>
          </w:p>
        </w:tc>
        <w:tc>
          <w:tcPr>
            <w:tcW w:w="6835" w:type="dxa"/>
            <w:shd w:val="clear" w:color="auto" w:fill="auto"/>
          </w:tcPr>
          <w:p w:rsidR="00707530" w:rsidRPr="00F24E10" w:rsidRDefault="00B913BC" w:rsidP="001C1FB0">
            <w:pPr>
              <w:jc w:val="both"/>
              <w:rPr>
                <w:rFonts w:ascii="Arial" w:hAnsi="Arial" w:cs="Arial"/>
              </w:rPr>
            </w:pPr>
            <w:r w:rsidRPr="00B913BC">
              <w:rPr>
                <w:rFonts w:ascii="Arial" w:hAnsi="Arial" w:cs="Arial"/>
              </w:rPr>
              <w:t>Modification to Real-Time Hub Price Formulas for Fully De-Energized Hubs</w:t>
            </w:r>
          </w:p>
        </w:tc>
      </w:tr>
      <w:tr w:rsidR="003B0422" w:rsidRPr="00F35115" w:rsidTr="001C1FB0">
        <w:trPr>
          <w:trHeight w:val="70"/>
        </w:trPr>
        <w:tc>
          <w:tcPr>
            <w:tcW w:w="1687" w:type="dxa"/>
            <w:shd w:val="clear" w:color="auto" w:fill="auto"/>
          </w:tcPr>
          <w:p w:rsidR="003B0422" w:rsidRDefault="003B0422" w:rsidP="00B913BC">
            <w:pPr>
              <w:jc w:val="both"/>
              <w:rPr>
                <w:rFonts w:ascii="Arial" w:hAnsi="Arial" w:cs="Arial"/>
              </w:rPr>
            </w:pPr>
            <w:r>
              <w:rPr>
                <w:rFonts w:ascii="Arial" w:hAnsi="Arial" w:cs="Arial"/>
              </w:rPr>
              <w:t>NPRR 105</w:t>
            </w:r>
            <w:r w:rsidR="00B913BC">
              <w:rPr>
                <w:rFonts w:ascii="Arial" w:hAnsi="Arial" w:cs="Arial"/>
              </w:rPr>
              <w:t>9</w:t>
            </w:r>
          </w:p>
        </w:tc>
        <w:tc>
          <w:tcPr>
            <w:tcW w:w="6835" w:type="dxa"/>
            <w:shd w:val="clear" w:color="auto" w:fill="auto"/>
          </w:tcPr>
          <w:p w:rsidR="003B0422" w:rsidRPr="003B0422" w:rsidRDefault="00B913BC" w:rsidP="001C1FB0">
            <w:pPr>
              <w:jc w:val="both"/>
              <w:rPr>
                <w:rFonts w:ascii="Arial" w:hAnsi="Arial" w:cs="Arial"/>
              </w:rPr>
            </w:pPr>
            <w:r w:rsidRPr="00B913BC">
              <w:rPr>
                <w:rFonts w:ascii="Arial" w:hAnsi="Arial" w:cs="Arial"/>
              </w:rPr>
              <w:t>Ability for MOUs and ECs to Send Non-BUSIDRRQ Interval Data</w:t>
            </w:r>
          </w:p>
        </w:tc>
      </w:tr>
    </w:tbl>
    <w:p w:rsidR="008930D4" w:rsidRDefault="008930D4" w:rsidP="008930D4">
      <w:pPr>
        <w:jc w:val="both"/>
        <w:rPr>
          <w:rFonts w:ascii="Arial" w:hAnsi="Arial" w:cs="Arial"/>
        </w:rPr>
      </w:pPr>
    </w:p>
    <w:p w:rsidR="008930D4" w:rsidRDefault="008D6947" w:rsidP="008930D4">
      <w:pPr>
        <w:jc w:val="both"/>
        <w:rPr>
          <w:rFonts w:ascii="Arial" w:hAnsi="Arial" w:cs="Arial"/>
        </w:rPr>
      </w:pPr>
      <w:r>
        <w:rPr>
          <w:rFonts w:ascii="Arial" w:hAnsi="Arial" w:cs="Arial"/>
        </w:rPr>
        <w:t xml:space="preserve">Mr. </w:t>
      </w:r>
      <w:r w:rsidR="00565420">
        <w:rPr>
          <w:rFonts w:ascii="Arial" w:hAnsi="Arial" w:cs="Arial"/>
        </w:rPr>
        <w:t>Sager</w:t>
      </w:r>
      <w:r w:rsidR="00917A50">
        <w:rPr>
          <w:rFonts w:ascii="Arial" w:hAnsi="Arial" w:cs="Arial"/>
        </w:rPr>
        <w:t xml:space="preserve"> </w:t>
      </w:r>
      <w:r w:rsidR="008930D4">
        <w:rPr>
          <w:rFonts w:ascii="Arial" w:hAnsi="Arial" w:cs="Arial"/>
        </w:rPr>
        <w:t xml:space="preserve">submitted a motion that </w:t>
      </w:r>
      <w:r w:rsidR="00036141">
        <w:rPr>
          <w:rFonts w:ascii="Arial" w:hAnsi="Arial" w:cs="Arial"/>
        </w:rPr>
        <w:t xml:space="preserve">the above </w:t>
      </w:r>
      <w:r w:rsidR="008930D4">
        <w:rPr>
          <w:rFonts w:ascii="Arial" w:hAnsi="Arial" w:cs="Arial"/>
        </w:rPr>
        <w:t>NPRRs</w:t>
      </w:r>
      <w:r w:rsidR="00253DDB">
        <w:rPr>
          <w:rFonts w:ascii="Arial" w:hAnsi="Arial" w:cs="Arial"/>
        </w:rPr>
        <w:t xml:space="preserve">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r>
        <w:rPr>
          <w:rFonts w:ascii="Arial" w:hAnsi="Arial" w:cs="Arial"/>
        </w:rPr>
        <w:t>Mr. Holler</w:t>
      </w:r>
      <w:r w:rsidR="00AF3A57">
        <w:rPr>
          <w:rFonts w:ascii="Arial" w:hAnsi="Arial" w:cs="Arial"/>
        </w:rPr>
        <w:t xml:space="preserve"> </w:t>
      </w:r>
      <w:r w:rsidR="008930D4">
        <w:rPr>
          <w:rFonts w:ascii="Arial" w:hAnsi="Arial" w:cs="Arial"/>
        </w:rPr>
        <w:t>seconded the motion.  Motion passed.</w:t>
      </w:r>
    </w:p>
    <w:p w:rsidR="008930D4" w:rsidRDefault="008930D4" w:rsidP="008930D4">
      <w:pPr>
        <w:jc w:val="both"/>
        <w:rPr>
          <w:rFonts w:ascii="Arial" w:hAnsi="Arial" w:cs="Arial"/>
        </w:rPr>
      </w:pPr>
    </w:p>
    <w:p w:rsidR="008930D4" w:rsidRDefault="008930D4" w:rsidP="00860ABF">
      <w:pPr>
        <w:jc w:val="both"/>
        <w:rPr>
          <w:rFonts w:ascii="Arial" w:hAnsi="Arial" w:cs="Arial"/>
          <w:b/>
          <w:u w:val="single"/>
        </w:rPr>
      </w:pPr>
    </w:p>
    <w:p w:rsidR="008930D4" w:rsidRDefault="00FC3ED8" w:rsidP="00860ABF">
      <w:pPr>
        <w:jc w:val="both"/>
        <w:rPr>
          <w:rFonts w:ascii="Arial" w:hAnsi="Arial" w:cs="Arial"/>
          <w:b/>
          <w:u w:val="single"/>
        </w:rPr>
      </w:pPr>
      <w:r>
        <w:rPr>
          <w:rFonts w:ascii="Arial" w:hAnsi="Arial" w:cs="Arial"/>
          <w:b/>
          <w:u w:val="single"/>
        </w:rPr>
        <w:t>2021 CWG/MCWG Leadership</w:t>
      </w:r>
    </w:p>
    <w:p w:rsidR="000C48DC" w:rsidRPr="00FE0DCB" w:rsidRDefault="002418A7" w:rsidP="000C48DC">
      <w:pPr>
        <w:jc w:val="both"/>
        <w:rPr>
          <w:rFonts w:ascii="Arial" w:hAnsi="Arial" w:cs="Arial"/>
        </w:rPr>
      </w:pPr>
      <w:r>
        <w:rPr>
          <w:rFonts w:ascii="Arial" w:hAnsi="Arial" w:cs="Arial"/>
        </w:rPr>
        <w:t xml:space="preserve">Vanessa Spells thanked the outgoing </w:t>
      </w:r>
      <w:r w:rsidR="007A28CC">
        <w:rPr>
          <w:rFonts w:ascii="Arial" w:hAnsi="Arial" w:cs="Arial"/>
        </w:rPr>
        <w:t xml:space="preserve">officers for their service in 2020 and informed the group that the </w:t>
      </w:r>
      <w:r w:rsidR="007A28CC" w:rsidRPr="007A28CC">
        <w:rPr>
          <w:rFonts w:ascii="Arial" w:hAnsi="Arial" w:cs="Arial"/>
        </w:rPr>
        <w:t>following were elected as CWG/MCWG officers:</w:t>
      </w:r>
    </w:p>
    <w:p w:rsidR="000C48DC" w:rsidRDefault="000C48DC" w:rsidP="00F03EF2">
      <w:pPr>
        <w:jc w:val="both"/>
        <w:rPr>
          <w:rFonts w:ascii="Arial" w:hAnsi="Arial" w:cs="Arial"/>
        </w:rPr>
      </w:pPr>
    </w:p>
    <w:p w:rsidR="007A28CC" w:rsidRDefault="007A28CC" w:rsidP="007A28CC">
      <w:pPr>
        <w:jc w:val="both"/>
        <w:rPr>
          <w:rFonts w:ascii="Arial" w:hAnsi="Arial" w:cs="Arial"/>
        </w:rPr>
      </w:pPr>
      <w:r>
        <w:rPr>
          <w:rFonts w:ascii="Arial" w:hAnsi="Arial" w:cs="Arial"/>
        </w:rPr>
        <w:t>CWG Chair</w:t>
      </w:r>
      <w:r>
        <w:rPr>
          <w:rFonts w:ascii="Arial" w:hAnsi="Arial" w:cs="Arial"/>
        </w:rPr>
        <w:tab/>
      </w:r>
      <w:r>
        <w:rPr>
          <w:rFonts w:ascii="Arial" w:hAnsi="Arial" w:cs="Arial"/>
        </w:rPr>
        <w:tab/>
      </w:r>
      <w:r w:rsidRPr="007A28CC">
        <w:rPr>
          <w:rFonts w:ascii="Arial" w:hAnsi="Arial" w:cs="Arial"/>
        </w:rPr>
        <w:t>Loretto Martin</w:t>
      </w:r>
    </w:p>
    <w:p w:rsidR="007A28CC" w:rsidRDefault="007A28CC" w:rsidP="007A28CC">
      <w:pPr>
        <w:jc w:val="both"/>
        <w:rPr>
          <w:rFonts w:ascii="Arial" w:hAnsi="Arial" w:cs="Arial"/>
        </w:rPr>
      </w:pPr>
      <w:r>
        <w:rPr>
          <w:rFonts w:ascii="Arial" w:hAnsi="Arial" w:cs="Arial"/>
        </w:rPr>
        <w:t>CWG Vice Chair</w:t>
      </w:r>
      <w:r>
        <w:rPr>
          <w:rFonts w:ascii="Arial" w:hAnsi="Arial" w:cs="Arial"/>
        </w:rPr>
        <w:tab/>
      </w:r>
      <w:r>
        <w:rPr>
          <w:rFonts w:ascii="Arial" w:hAnsi="Arial" w:cs="Arial"/>
        </w:rPr>
        <w:t>James Spaulding</w:t>
      </w:r>
    </w:p>
    <w:p w:rsidR="007A28CC" w:rsidRDefault="007A28CC" w:rsidP="007A28CC">
      <w:pPr>
        <w:jc w:val="both"/>
        <w:rPr>
          <w:rFonts w:ascii="Arial" w:hAnsi="Arial" w:cs="Arial"/>
        </w:rPr>
      </w:pPr>
      <w:r>
        <w:rPr>
          <w:rFonts w:ascii="Arial" w:hAnsi="Arial" w:cs="Arial"/>
        </w:rPr>
        <w:t>MCWG Chair</w:t>
      </w:r>
      <w:r>
        <w:rPr>
          <w:rFonts w:ascii="Arial" w:hAnsi="Arial" w:cs="Arial"/>
        </w:rPr>
        <w:tab/>
      </w:r>
      <w:r>
        <w:rPr>
          <w:rFonts w:ascii="Arial" w:hAnsi="Arial" w:cs="Arial"/>
        </w:rPr>
        <w:tab/>
        <w:t>Brenden Sager</w:t>
      </w:r>
    </w:p>
    <w:p w:rsidR="007A28CC" w:rsidRDefault="007A28CC" w:rsidP="007A28CC">
      <w:pPr>
        <w:jc w:val="both"/>
        <w:rPr>
          <w:rFonts w:ascii="Arial" w:hAnsi="Arial" w:cs="Arial"/>
        </w:rPr>
      </w:pPr>
      <w:r>
        <w:rPr>
          <w:rFonts w:ascii="Arial" w:hAnsi="Arial" w:cs="Arial"/>
        </w:rPr>
        <w:t>MCWG Vice Chair</w:t>
      </w:r>
      <w:r>
        <w:rPr>
          <w:rFonts w:ascii="Arial" w:hAnsi="Arial" w:cs="Arial"/>
        </w:rPr>
        <w:tab/>
      </w:r>
      <w:r>
        <w:rPr>
          <w:rFonts w:ascii="Arial" w:hAnsi="Arial" w:cs="Arial"/>
        </w:rPr>
        <w:t>Seth Cochran</w:t>
      </w:r>
    </w:p>
    <w:p w:rsidR="000C48DC" w:rsidRDefault="000C48DC" w:rsidP="00F03EF2">
      <w:pPr>
        <w:jc w:val="both"/>
        <w:rPr>
          <w:rFonts w:ascii="Arial" w:hAnsi="Arial" w:cs="Arial"/>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2020 Goals</w:t>
      </w:r>
    </w:p>
    <w:p w:rsidR="00A00A18" w:rsidRDefault="00A00A18" w:rsidP="000B7E94">
      <w:pPr>
        <w:jc w:val="both"/>
        <w:rPr>
          <w:rFonts w:ascii="Arial" w:hAnsi="Arial" w:cs="Arial"/>
        </w:rPr>
      </w:pPr>
      <w:r>
        <w:rPr>
          <w:rFonts w:ascii="Arial" w:hAnsi="Arial" w:cs="Arial"/>
        </w:rPr>
        <w:t>The group reviewed the proposed 2021 CWG goals and added the following goal:</w:t>
      </w:r>
    </w:p>
    <w:p w:rsidR="00A00A18" w:rsidRDefault="00A00A18" w:rsidP="000B7E94">
      <w:pPr>
        <w:jc w:val="both"/>
        <w:rPr>
          <w:rFonts w:ascii="Arial" w:hAnsi="Arial" w:cs="Arial"/>
        </w:rPr>
      </w:pPr>
    </w:p>
    <w:p w:rsidR="000B7E94" w:rsidRDefault="00A00A18" w:rsidP="000B7E94">
      <w:pPr>
        <w:jc w:val="both"/>
        <w:rPr>
          <w:rFonts w:ascii="Arial" w:hAnsi="Arial" w:cs="Arial"/>
        </w:rPr>
      </w:pPr>
      <w:r>
        <w:rPr>
          <w:rFonts w:ascii="Arial" w:hAnsi="Arial" w:cs="Arial"/>
        </w:rPr>
        <w:t xml:space="preserve">Review the proposed credit assessment methodology and provide guidance to ERCOT to ensure accuracy </w:t>
      </w:r>
      <w:r w:rsidR="00282749">
        <w:rPr>
          <w:rFonts w:ascii="Arial" w:hAnsi="Arial" w:cs="Arial"/>
        </w:rPr>
        <w:t>in assessing risk</w:t>
      </w:r>
    </w:p>
    <w:p w:rsidR="000551EF" w:rsidRDefault="000551EF" w:rsidP="00F03EF2">
      <w:pPr>
        <w:jc w:val="both"/>
        <w:rPr>
          <w:rFonts w:ascii="Arial" w:hAnsi="Arial" w:cs="Arial"/>
        </w:rPr>
      </w:pPr>
    </w:p>
    <w:p w:rsidR="00565420" w:rsidRDefault="00C3137B" w:rsidP="00F03EF2">
      <w:pPr>
        <w:jc w:val="both"/>
        <w:rPr>
          <w:rFonts w:ascii="Arial" w:hAnsi="Arial" w:cs="Arial"/>
        </w:rPr>
      </w:pPr>
      <w:r>
        <w:rPr>
          <w:rFonts w:ascii="Arial" w:hAnsi="Arial" w:cs="Arial"/>
        </w:rPr>
        <w:t>Mr.</w:t>
      </w:r>
      <w:r w:rsidR="00565420">
        <w:rPr>
          <w:rFonts w:ascii="Arial" w:hAnsi="Arial" w:cs="Arial"/>
        </w:rPr>
        <w:t xml:space="preserve"> Sager submitted a motion to approve the 2021 goals.  M</w:t>
      </w:r>
      <w:r>
        <w:rPr>
          <w:rFonts w:ascii="Arial" w:hAnsi="Arial" w:cs="Arial"/>
        </w:rPr>
        <w:t>r.</w:t>
      </w:r>
      <w:r w:rsidR="00565420">
        <w:rPr>
          <w:rFonts w:ascii="Arial" w:hAnsi="Arial" w:cs="Arial"/>
        </w:rPr>
        <w:t xml:space="preserve"> Holler seconded the motion.  Motion passed.</w:t>
      </w:r>
    </w:p>
    <w:p w:rsidR="00A00A18" w:rsidRDefault="00A00A18" w:rsidP="00F03EF2">
      <w:pPr>
        <w:jc w:val="both"/>
        <w:rPr>
          <w:rFonts w:ascii="Arial" w:hAnsi="Arial" w:cs="Arial"/>
        </w:rPr>
      </w:pPr>
    </w:p>
    <w:p w:rsidR="00A00A18" w:rsidRDefault="00A00A18" w:rsidP="00F03EF2">
      <w:pPr>
        <w:jc w:val="both"/>
        <w:rPr>
          <w:rFonts w:ascii="Arial" w:hAnsi="Arial" w:cs="Arial"/>
        </w:rPr>
      </w:pPr>
    </w:p>
    <w:p w:rsidR="00FC3ED8" w:rsidRDefault="00FC3ED8" w:rsidP="00F03EF2">
      <w:pPr>
        <w:jc w:val="both"/>
        <w:rPr>
          <w:rFonts w:ascii="Arial" w:hAnsi="Arial" w:cs="Arial"/>
        </w:rPr>
      </w:pPr>
    </w:p>
    <w:p w:rsidR="00FC3ED8" w:rsidRDefault="00FC3ED8" w:rsidP="00FC3ED8">
      <w:pPr>
        <w:jc w:val="both"/>
        <w:rPr>
          <w:rFonts w:ascii="Arial" w:hAnsi="Arial" w:cs="Arial"/>
          <w:b/>
          <w:u w:val="single"/>
        </w:rPr>
      </w:pPr>
      <w:r>
        <w:rPr>
          <w:rFonts w:ascii="Arial" w:hAnsi="Arial" w:cs="Arial"/>
          <w:b/>
          <w:u w:val="single"/>
        </w:rPr>
        <w:t>CWG Charter</w:t>
      </w:r>
    </w:p>
    <w:p w:rsidR="00FC3ED8" w:rsidRDefault="00AA741E" w:rsidP="00FC3ED8">
      <w:pPr>
        <w:jc w:val="both"/>
        <w:rPr>
          <w:rFonts w:ascii="Arial" w:hAnsi="Arial" w:cs="Arial"/>
        </w:rPr>
      </w:pPr>
      <w:r>
        <w:rPr>
          <w:rFonts w:ascii="Arial" w:hAnsi="Arial" w:cs="Arial"/>
        </w:rPr>
        <w:lastRenderedPageBreak/>
        <w:t>Mark Ruane presented to the group the proposed revisions in the CWG Charter that include references to the Other Binding Documents in which the credit scoring model parameters will be housed.</w:t>
      </w:r>
    </w:p>
    <w:p w:rsidR="000551EF" w:rsidRDefault="000551EF" w:rsidP="00F03EF2">
      <w:pPr>
        <w:jc w:val="both"/>
        <w:rPr>
          <w:rFonts w:ascii="Arial" w:hAnsi="Arial" w:cs="Arial"/>
        </w:rPr>
      </w:pPr>
    </w:p>
    <w:p w:rsidR="00491898" w:rsidRDefault="00491898" w:rsidP="00F03EF2">
      <w:pPr>
        <w:jc w:val="both"/>
        <w:rPr>
          <w:rFonts w:ascii="Arial" w:hAnsi="Arial" w:cs="Arial"/>
        </w:rPr>
      </w:pPr>
      <w:r>
        <w:rPr>
          <w:rFonts w:ascii="Arial" w:hAnsi="Arial" w:cs="Arial"/>
        </w:rPr>
        <w:t>Mr. Sager submitted a motion to approve the CWG Charter as proposed.  Loretto Martin seconded the motion.  Motion passed.</w:t>
      </w:r>
    </w:p>
    <w:p w:rsidR="00FC3ED8" w:rsidRDefault="00FC3ED8" w:rsidP="00F03EF2">
      <w:pPr>
        <w:jc w:val="both"/>
        <w:rPr>
          <w:rFonts w:ascii="Arial" w:hAnsi="Arial" w:cs="Arial"/>
        </w:rPr>
      </w:pPr>
    </w:p>
    <w:p w:rsidR="00FC3ED8" w:rsidRDefault="00FC3ED8" w:rsidP="00F03EF2">
      <w:pPr>
        <w:jc w:val="both"/>
        <w:rPr>
          <w:rFonts w:ascii="Arial" w:hAnsi="Arial" w:cs="Arial"/>
        </w:rPr>
      </w:pPr>
    </w:p>
    <w:p w:rsidR="000551EF" w:rsidRPr="00136C23" w:rsidRDefault="00FC3ED8" w:rsidP="000551EF">
      <w:pPr>
        <w:jc w:val="both"/>
        <w:rPr>
          <w:rFonts w:ascii="Arial" w:hAnsi="Arial" w:cs="Arial"/>
          <w:b/>
          <w:u w:val="single"/>
        </w:rPr>
      </w:pPr>
      <w:r>
        <w:rPr>
          <w:rFonts w:ascii="Arial" w:hAnsi="Arial" w:cs="Arial"/>
          <w:b/>
          <w:u w:val="single"/>
        </w:rPr>
        <w:t>DAM/CRR Credit Exposure</w:t>
      </w:r>
    </w:p>
    <w:p w:rsidR="00CB3B0D" w:rsidRDefault="00413555" w:rsidP="00F03EF2">
      <w:pPr>
        <w:jc w:val="both"/>
        <w:rPr>
          <w:rFonts w:ascii="Arial" w:hAnsi="Arial" w:cs="Arial"/>
        </w:rPr>
      </w:pPr>
      <w:r>
        <w:rPr>
          <w:rFonts w:ascii="Arial" w:hAnsi="Arial" w:cs="Arial"/>
        </w:rPr>
        <w:t>Lucas Turner presented to the group STEC’s proposal to include offsetting CRR position credits in the EAL and extrapolating these to offset charges on QSE positions resulting from congestion.  The proposal also includes reducing the corresponding period credits accounted for in the FCE to prevent double-dipping.</w:t>
      </w:r>
    </w:p>
    <w:p w:rsidR="00413555" w:rsidRDefault="00413555" w:rsidP="00F03EF2">
      <w:pPr>
        <w:jc w:val="both"/>
        <w:rPr>
          <w:rFonts w:ascii="Arial" w:hAnsi="Arial" w:cs="Arial"/>
        </w:rPr>
      </w:pPr>
    </w:p>
    <w:p w:rsidR="0024151C" w:rsidRDefault="005C66CF" w:rsidP="00F03EF2">
      <w:pPr>
        <w:jc w:val="both"/>
        <w:rPr>
          <w:rFonts w:ascii="Arial" w:hAnsi="Arial" w:cs="Arial"/>
        </w:rPr>
      </w:pPr>
      <w:r>
        <w:rPr>
          <w:rFonts w:ascii="Arial" w:hAnsi="Arial" w:cs="Arial"/>
        </w:rPr>
        <w:t>The group provided</w:t>
      </w:r>
      <w:r>
        <w:rPr>
          <w:rFonts w:ascii="Arial" w:hAnsi="Arial" w:cs="Arial"/>
        </w:rPr>
        <w:t xml:space="preserve"> their comments and </w:t>
      </w:r>
      <w:r>
        <w:rPr>
          <w:rFonts w:ascii="Arial" w:hAnsi="Arial" w:cs="Arial"/>
        </w:rPr>
        <w:t xml:space="preserve">requested ERCOT staff to provide </w:t>
      </w:r>
      <w:r>
        <w:rPr>
          <w:rFonts w:ascii="Arial" w:hAnsi="Arial" w:cs="Arial"/>
        </w:rPr>
        <w:t xml:space="preserve">further analysis and back-casting.  </w:t>
      </w:r>
      <w:r w:rsidR="00654700">
        <w:rPr>
          <w:rFonts w:ascii="Arial" w:hAnsi="Arial" w:cs="Arial"/>
        </w:rPr>
        <w:t xml:space="preserve">The group </w:t>
      </w:r>
      <w:r>
        <w:rPr>
          <w:rFonts w:ascii="Arial" w:hAnsi="Arial" w:cs="Arial"/>
        </w:rPr>
        <w:t xml:space="preserve">also </w:t>
      </w:r>
      <w:r w:rsidR="00654700">
        <w:rPr>
          <w:rFonts w:ascii="Arial" w:hAnsi="Arial" w:cs="Arial"/>
        </w:rPr>
        <w:t>commented that this proposal could potentially run in conflict with the provisions of the CFTC exemption</w:t>
      </w:r>
      <w:r>
        <w:rPr>
          <w:rFonts w:ascii="Arial" w:hAnsi="Arial" w:cs="Arial"/>
        </w:rPr>
        <w:t xml:space="preserve"> and therefore any conflicts would have to be resolved first before further analysis is conducted.</w:t>
      </w:r>
    </w:p>
    <w:p w:rsidR="005D1EA9" w:rsidRDefault="005D1EA9" w:rsidP="00F03EF2">
      <w:pPr>
        <w:jc w:val="both"/>
        <w:rPr>
          <w:rFonts w:ascii="Arial" w:hAnsi="Arial" w:cs="Arial"/>
        </w:rPr>
      </w:pPr>
    </w:p>
    <w:p w:rsidR="00FC3ED8" w:rsidRDefault="00FC3ED8" w:rsidP="00F03EF2">
      <w:pPr>
        <w:jc w:val="both"/>
        <w:rPr>
          <w:rFonts w:ascii="Arial" w:hAnsi="Arial" w:cs="Arial"/>
        </w:rPr>
      </w:pPr>
    </w:p>
    <w:p w:rsidR="00FC3ED8" w:rsidRPr="00136C23" w:rsidRDefault="00FC3ED8" w:rsidP="00FC3ED8">
      <w:pPr>
        <w:jc w:val="both"/>
        <w:rPr>
          <w:rFonts w:ascii="Arial" w:hAnsi="Arial" w:cs="Arial"/>
          <w:b/>
          <w:u w:val="single"/>
        </w:rPr>
      </w:pPr>
      <w:r>
        <w:rPr>
          <w:rFonts w:ascii="Arial" w:hAnsi="Arial" w:cs="Arial"/>
          <w:b/>
          <w:u w:val="single"/>
        </w:rPr>
        <w:t>Credit Scoring Model</w:t>
      </w:r>
    </w:p>
    <w:p w:rsidR="00171C18" w:rsidRDefault="00510175" w:rsidP="00FC3ED8">
      <w:pPr>
        <w:jc w:val="both"/>
        <w:rPr>
          <w:rFonts w:ascii="Arial" w:hAnsi="Arial" w:cs="Arial"/>
        </w:rPr>
      </w:pPr>
      <w:r>
        <w:rPr>
          <w:rFonts w:ascii="Arial" w:hAnsi="Arial" w:cs="Arial"/>
        </w:rPr>
        <w:t>M</w:t>
      </w:r>
      <w:r w:rsidR="000C6C11">
        <w:rPr>
          <w:rFonts w:ascii="Arial" w:hAnsi="Arial" w:cs="Arial"/>
        </w:rPr>
        <w:t>r.</w:t>
      </w:r>
      <w:r>
        <w:rPr>
          <w:rFonts w:ascii="Arial" w:hAnsi="Arial" w:cs="Arial"/>
        </w:rPr>
        <w:t xml:space="preserve"> Ruane provided a summary of discussions on the credit scoring model and asked the group to review.</w:t>
      </w:r>
      <w:r w:rsidR="00F17EAA">
        <w:rPr>
          <w:rFonts w:ascii="Arial" w:hAnsi="Arial" w:cs="Arial"/>
        </w:rPr>
        <w:t xml:space="preserve">  He informed the group that the final version of the NPRR that was presented in November 2020 will be circulated next week.</w:t>
      </w:r>
      <w:r w:rsidR="000C6C11">
        <w:rPr>
          <w:rFonts w:ascii="Arial" w:hAnsi="Arial" w:cs="Arial"/>
        </w:rPr>
        <w:t xml:space="preserve">  </w:t>
      </w:r>
      <w:r w:rsidR="005F198F">
        <w:rPr>
          <w:rFonts w:ascii="Arial" w:hAnsi="Arial" w:cs="Arial"/>
        </w:rPr>
        <w:t xml:space="preserve">Mr. Ruane said that he will present updated statistics </w:t>
      </w:r>
      <w:r w:rsidR="000C6C11">
        <w:rPr>
          <w:rFonts w:ascii="Arial" w:hAnsi="Arial" w:cs="Arial"/>
        </w:rPr>
        <w:t xml:space="preserve">of the scoring model </w:t>
      </w:r>
      <w:r w:rsidR="005F198F">
        <w:rPr>
          <w:rFonts w:ascii="Arial" w:hAnsi="Arial" w:cs="Arial"/>
        </w:rPr>
        <w:t>next month.</w:t>
      </w:r>
    </w:p>
    <w:p w:rsidR="003A7911" w:rsidRDefault="003A7911" w:rsidP="00FC3ED8">
      <w:pPr>
        <w:jc w:val="both"/>
        <w:rPr>
          <w:rFonts w:ascii="Arial" w:hAnsi="Arial" w:cs="Arial"/>
        </w:rPr>
      </w:pPr>
    </w:p>
    <w:p w:rsidR="00AE66A6" w:rsidRDefault="00E63824" w:rsidP="00F03EF2">
      <w:pPr>
        <w:jc w:val="both"/>
        <w:rPr>
          <w:rFonts w:ascii="Arial" w:hAnsi="Arial" w:cs="Arial"/>
        </w:rPr>
      </w:pPr>
      <w:r>
        <w:rPr>
          <w:rFonts w:ascii="Arial" w:hAnsi="Arial" w:cs="Arial"/>
        </w:rPr>
        <w:t xml:space="preserve"> </w:t>
      </w: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711A67" w:rsidRDefault="00711A67" w:rsidP="00711A67">
      <w:pPr>
        <w:jc w:val="both"/>
        <w:rPr>
          <w:rFonts w:ascii="Arial" w:hAnsi="Arial" w:cs="Arial"/>
        </w:rPr>
      </w:pPr>
    </w:p>
    <w:p w:rsidR="00852D73" w:rsidRDefault="00852D73" w:rsidP="00711A67">
      <w:pPr>
        <w:jc w:val="both"/>
        <w:rPr>
          <w:rFonts w:ascii="Arial" w:hAnsi="Arial" w:cs="Arial"/>
        </w:rPr>
      </w:pPr>
    </w:p>
    <w:p w:rsidR="00852D73" w:rsidRDefault="003B0422" w:rsidP="00852D73">
      <w:pPr>
        <w:jc w:val="both"/>
        <w:rPr>
          <w:rFonts w:ascii="Arial" w:hAnsi="Arial" w:cs="Arial"/>
        </w:rPr>
      </w:pPr>
      <w:r>
        <w:rPr>
          <w:rFonts w:ascii="Arial" w:hAnsi="Arial" w:cs="Arial"/>
          <w:b/>
          <w:u w:val="single"/>
        </w:rPr>
        <w:t>Other Business</w:t>
      </w:r>
    </w:p>
    <w:p w:rsidR="003B0422" w:rsidRDefault="002418A7" w:rsidP="003B0422">
      <w:pPr>
        <w:jc w:val="both"/>
        <w:rPr>
          <w:rFonts w:ascii="Arial" w:hAnsi="Arial" w:cs="Arial"/>
        </w:rPr>
      </w:pPr>
      <w:r>
        <w:rPr>
          <w:rFonts w:ascii="Arial" w:hAnsi="Arial" w:cs="Arial"/>
        </w:rPr>
        <w:t>Ms. Spells asked the group to review the current CWG roster and asked feedback for any changes.</w:t>
      </w:r>
    </w:p>
    <w:p w:rsidR="002418A7" w:rsidRDefault="002418A7" w:rsidP="003B0422">
      <w:pPr>
        <w:jc w:val="both"/>
        <w:rPr>
          <w:rFonts w:ascii="Arial" w:hAnsi="Arial" w:cs="Arial"/>
        </w:rPr>
      </w:pPr>
    </w:p>
    <w:p w:rsidR="002418A7" w:rsidRDefault="00731F6D" w:rsidP="003B0422">
      <w:pPr>
        <w:jc w:val="both"/>
        <w:rPr>
          <w:rFonts w:ascii="Arial" w:hAnsi="Arial" w:cs="Arial"/>
        </w:rPr>
      </w:pPr>
      <w:r>
        <w:rPr>
          <w:rFonts w:ascii="Arial" w:hAnsi="Arial" w:cs="Arial"/>
        </w:rPr>
        <w:t>Mr. R</w:t>
      </w:r>
      <w:r w:rsidR="00FF7E2A">
        <w:rPr>
          <w:rFonts w:ascii="Arial" w:hAnsi="Arial" w:cs="Arial"/>
        </w:rPr>
        <w:t>uane informed the group that a</w:t>
      </w:r>
      <w:r>
        <w:rPr>
          <w:rFonts w:ascii="Arial" w:hAnsi="Arial" w:cs="Arial"/>
        </w:rPr>
        <w:t xml:space="preserve"> FERC Technical Conference </w:t>
      </w:r>
      <w:r w:rsidR="00FF7E2A">
        <w:rPr>
          <w:rFonts w:ascii="Arial" w:hAnsi="Arial" w:cs="Arial"/>
        </w:rPr>
        <w:t xml:space="preserve">will be held </w:t>
      </w:r>
      <w:r>
        <w:rPr>
          <w:rFonts w:ascii="Arial" w:hAnsi="Arial" w:cs="Arial"/>
        </w:rPr>
        <w:t xml:space="preserve">to discuss if Credit processes across </w:t>
      </w:r>
      <w:r w:rsidR="000C6C11">
        <w:rPr>
          <w:rFonts w:ascii="Arial" w:hAnsi="Arial" w:cs="Arial"/>
        </w:rPr>
        <w:t xml:space="preserve">the different </w:t>
      </w:r>
      <w:r>
        <w:rPr>
          <w:rFonts w:ascii="Arial" w:hAnsi="Arial" w:cs="Arial"/>
        </w:rPr>
        <w:t>ISO</w:t>
      </w:r>
      <w:r w:rsidR="000C6C11">
        <w:rPr>
          <w:rFonts w:ascii="Arial" w:hAnsi="Arial" w:cs="Arial"/>
        </w:rPr>
        <w:t>s</w:t>
      </w:r>
      <w:r>
        <w:rPr>
          <w:rFonts w:ascii="Arial" w:hAnsi="Arial" w:cs="Arial"/>
        </w:rPr>
        <w:t xml:space="preserve"> need to be standardized.</w:t>
      </w:r>
      <w:r w:rsidR="000C6C11">
        <w:rPr>
          <w:rFonts w:ascii="Arial" w:hAnsi="Arial" w:cs="Arial"/>
        </w:rPr>
        <w:t xml:space="preserve">  ERCOT staff will be monitoring the discussions</w:t>
      </w:r>
    </w:p>
    <w:p w:rsidR="00F9248F" w:rsidRDefault="00F9248F" w:rsidP="00F03EF2">
      <w:pPr>
        <w:jc w:val="both"/>
        <w:rPr>
          <w:rFonts w:ascii="Arial" w:hAnsi="Arial" w:cs="Arial"/>
        </w:rPr>
      </w:pPr>
    </w:p>
    <w:p w:rsidR="00FF7E2A" w:rsidRDefault="00FF7E2A" w:rsidP="00F03EF2">
      <w:pPr>
        <w:jc w:val="both"/>
        <w:rPr>
          <w:rFonts w:ascii="Arial" w:hAnsi="Arial" w:cs="Arial"/>
        </w:rPr>
      </w:pPr>
      <w:r>
        <w:rPr>
          <w:rFonts w:ascii="Arial" w:hAnsi="Arial" w:cs="Arial"/>
        </w:rPr>
        <w:t>Ms. Spells reported that NPRR 867 will go live on June 11 and will be reflected in the Credit reports on June 12.  A market notice will be sent out on May 12.</w:t>
      </w:r>
    </w:p>
    <w:p w:rsidR="003B0422" w:rsidRDefault="003B0422" w:rsidP="00F03EF2">
      <w:pPr>
        <w:jc w:val="both"/>
        <w:rPr>
          <w:rFonts w:ascii="Arial" w:hAnsi="Arial" w:cs="Arial"/>
        </w:rPr>
      </w:pPr>
    </w:p>
    <w:p w:rsidR="000C6C11" w:rsidRDefault="000C6C11" w:rsidP="00F03EF2">
      <w:pPr>
        <w:jc w:val="both"/>
        <w:rPr>
          <w:rFonts w:ascii="Arial" w:hAnsi="Arial" w:cs="Arial"/>
        </w:rPr>
      </w:pPr>
      <w:bookmarkStart w:id="0" w:name="_GoBack"/>
      <w:bookmarkEnd w:id="0"/>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0779F1">
        <w:rPr>
          <w:rFonts w:ascii="Arial" w:hAnsi="Arial" w:cs="Arial"/>
        </w:rPr>
        <w:t>11:18</w:t>
      </w:r>
      <w:r w:rsidR="009E0EB2">
        <w:rPr>
          <w:rFonts w:ascii="Arial" w:hAnsi="Arial" w:cs="Arial"/>
        </w:rPr>
        <w:t xml:space="preserve"> </w:t>
      </w:r>
      <w:r w:rsidR="0078175D">
        <w:rPr>
          <w:rFonts w:ascii="Arial" w:hAnsi="Arial" w:cs="Arial"/>
        </w:rPr>
        <w:t>a</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4C" w:rsidRDefault="00FC434C" w:rsidP="00EC412A">
      <w:r>
        <w:separator/>
      </w:r>
    </w:p>
  </w:endnote>
  <w:endnote w:type="continuationSeparator" w:id="0">
    <w:p w:rsidR="00FC434C" w:rsidRDefault="00FC434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4C" w:rsidRDefault="00FC434C" w:rsidP="00EC412A">
      <w:r>
        <w:separator/>
      </w:r>
    </w:p>
  </w:footnote>
  <w:footnote w:type="continuationSeparator" w:id="0">
    <w:p w:rsidR="00FC434C" w:rsidRDefault="00FC434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E6D-D032-4783-912C-B706400C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Rizaldy Zapanta</cp:lastModifiedBy>
  <cp:revision>33</cp:revision>
  <cp:lastPrinted>2019-04-18T14:01:00Z</cp:lastPrinted>
  <dcterms:created xsi:type="dcterms:W3CDTF">2021-01-20T04:53:00Z</dcterms:created>
  <dcterms:modified xsi:type="dcterms:W3CDTF">2021-01-28T21:27:00Z</dcterms:modified>
</cp:coreProperties>
</file>