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161D" w14:textId="77777777" w:rsidR="00093647" w:rsidRDefault="00093647" w:rsidP="000640D0">
      <w:pPr>
        <w:jc w:val="center"/>
        <w:rPr>
          <w:rFonts w:asciiTheme="majorHAnsi" w:hAnsiTheme="majorHAnsi"/>
          <w:b/>
        </w:rPr>
      </w:pPr>
    </w:p>
    <w:p w14:paraId="28F006BA" w14:textId="059389FB" w:rsidR="000640D0" w:rsidRPr="00432050" w:rsidRDefault="000640D0" w:rsidP="000640D0">
      <w:pPr>
        <w:jc w:val="center"/>
        <w:rPr>
          <w:rFonts w:asciiTheme="majorHAnsi" w:hAnsiTheme="majorHAnsi"/>
          <w:b/>
          <w:sz w:val="24"/>
          <w:szCs w:val="24"/>
        </w:rPr>
      </w:pPr>
      <w:bookmarkStart w:id="0" w:name="_GoBack"/>
      <w:r w:rsidRPr="00432050">
        <w:rPr>
          <w:rFonts w:asciiTheme="majorHAnsi" w:hAnsiTheme="majorHAnsi"/>
          <w:b/>
          <w:sz w:val="24"/>
          <w:szCs w:val="24"/>
        </w:rPr>
        <w:t xml:space="preserve">TAC Request: List of WMS Related Items </w:t>
      </w:r>
      <w:r w:rsidR="00D5262B" w:rsidRPr="00432050">
        <w:rPr>
          <w:rFonts w:asciiTheme="majorHAnsi" w:hAnsiTheme="majorHAnsi"/>
          <w:b/>
          <w:sz w:val="24"/>
          <w:szCs w:val="24"/>
        </w:rPr>
        <w:t>f</w:t>
      </w:r>
      <w:r w:rsidRPr="00432050">
        <w:rPr>
          <w:rFonts w:asciiTheme="majorHAnsi" w:hAnsiTheme="majorHAnsi"/>
          <w:b/>
          <w:sz w:val="24"/>
          <w:szCs w:val="24"/>
        </w:rPr>
        <w:t>rom February 2021 Weather Event</w:t>
      </w:r>
    </w:p>
    <w:bookmarkEnd w:id="0"/>
    <w:p w14:paraId="1B3ED01C" w14:textId="77777777" w:rsidR="000640D0" w:rsidRPr="00DD2E13" w:rsidRDefault="000640D0" w:rsidP="000640D0">
      <w:pPr>
        <w:rPr>
          <w:rFonts w:asciiTheme="majorHAnsi" w:hAnsiTheme="majorHAnsi"/>
        </w:rPr>
      </w:pPr>
    </w:p>
    <w:p w14:paraId="5E9099FD" w14:textId="3DE09604" w:rsidR="00F157D4" w:rsidRDefault="00F157D4" w:rsidP="00F157D4">
      <w:pPr>
        <w:rPr>
          <w:rFonts w:asciiTheme="majorHAnsi" w:hAnsiTheme="majorHAnsi"/>
        </w:rPr>
      </w:pPr>
      <w:r>
        <w:rPr>
          <w:rFonts w:asciiTheme="majorHAnsi" w:hAnsiTheme="majorHAnsi"/>
        </w:rPr>
        <w:t>L</w:t>
      </w:r>
      <w:r w:rsidRPr="00DD2E13">
        <w:rPr>
          <w:rFonts w:asciiTheme="majorHAnsi" w:hAnsiTheme="majorHAnsi"/>
        </w:rPr>
        <w:t xml:space="preserve">ist of </w:t>
      </w:r>
      <w:r>
        <w:rPr>
          <w:rFonts w:asciiTheme="majorHAnsi" w:hAnsiTheme="majorHAnsi"/>
        </w:rPr>
        <w:t xml:space="preserve">winter storm related </w:t>
      </w:r>
      <w:r w:rsidRPr="00DD2E13">
        <w:rPr>
          <w:rFonts w:asciiTheme="majorHAnsi" w:hAnsiTheme="majorHAnsi"/>
        </w:rPr>
        <w:t xml:space="preserve">items </w:t>
      </w:r>
      <w:r>
        <w:rPr>
          <w:rFonts w:asciiTheme="majorHAnsi" w:hAnsiTheme="majorHAnsi"/>
        </w:rPr>
        <w:t>from</w:t>
      </w:r>
      <w:r w:rsidRPr="00DD2E13">
        <w:rPr>
          <w:rFonts w:asciiTheme="majorHAnsi" w:hAnsiTheme="majorHAnsi"/>
        </w:rPr>
        <w:t xml:space="preserve"> </w:t>
      </w:r>
      <w:r>
        <w:rPr>
          <w:rFonts w:asciiTheme="majorHAnsi" w:hAnsiTheme="majorHAnsi"/>
        </w:rPr>
        <w:t xml:space="preserve">WMS members that </w:t>
      </w:r>
      <w:r w:rsidRPr="00DD2E13">
        <w:rPr>
          <w:rFonts w:asciiTheme="majorHAnsi" w:hAnsiTheme="majorHAnsi"/>
        </w:rPr>
        <w:t>are under the purview of WMS and its subgroups</w:t>
      </w:r>
      <w:r>
        <w:rPr>
          <w:rFonts w:asciiTheme="majorHAnsi" w:hAnsiTheme="majorHAnsi"/>
        </w:rPr>
        <w:t xml:space="preserve"> for TAC to</w:t>
      </w:r>
      <w:r w:rsidRPr="00DD2E13">
        <w:rPr>
          <w:rFonts w:asciiTheme="majorHAnsi" w:hAnsiTheme="majorHAnsi"/>
        </w:rPr>
        <w:t xml:space="preserve"> provide guidance on priority/how/where/when to analyze/address the item. </w:t>
      </w:r>
    </w:p>
    <w:p w14:paraId="6BE7E633" w14:textId="77777777" w:rsidR="00432050" w:rsidRPr="00DD2E13" w:rsidRDefault="00432050" w:rsidP="00F157D4">
      <w:pPr>
        <w:rPr>
          <w:rFonts w:asciiTheme="majorHAnsi" w:hAnsiTheme="majorHAnsi"/>
        </w:rPr>
      </w:pPr>
    </w:p>
    <w:p w14:paraId="0A3C4B61"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Pricing</w:t>
      </w:r>
    </w:p>
    <w:p w14:paraId="59305D72" w14:textId="77777777" w:rsidR="00FE3674" w:rsidRPr="00DD2E13" w:rsidRDefault="000640D0" w:rsidP="00FE3674">
      <w:pPr>
        <w:numPr>
          <w:ilvl w:val="1"/>
          <w:numId w:val="4"/>
        </w:numPr>
        <w:contextualSpacing/>
        <w:rPr>
          <w:rFonts w:asciiTheme="majorHAnsi" w:hAnsiTheme="majorHAnsi" w:cs="Calibri Light"/>
        </w:rPr>
      </w:pPr>
      <w:bookmarkStart w:id="1" w:name="_Hlk65528898"/>
      <w:r w:rsidRPr="00DD2E13">
        <w:rPr>
          <w:rFonts w:asciiTheme="majorHAnsi" w:hAnsiTheme="majorHAnsi" w:cs="Calibri Light"/>
        </w:rPr>
        <w:t xml:space="preserve">Should there be a minimum market notice &amp; timeline for design changes that impact prices </w:t>
      </w:r>
      <w:proofErr w:type="gramStart"/>
      <w:r w:rsidRPr="00DD2E13">
        <w:rPr>
          <w:rFonts w:asciiTheme="majorHAnsi" w:hAnsiTheme="majorHAnsi" w:cs="Calibri Light"/>
        </w:rPr>
        <w:t>so as to</w:t>
      </w:r>
      <w:proofErr w:type="gramEnd"/>
      <w:r w:rsidRPr="00DD2E13">
        <w:rPr>
          <w:rFonts w:asciiTheme="majorHAnsi" w:hAnsiTheme="majorHAnsi" w:cs="Calibri Light"/>
        </w:rPr>
        <w:t xml:space="preserve"> allow MPs time for hedging?</w:t>
      </w:r>
      <w:bookmarkEnd w:id="1"/>
    </w:p>
    <w:p w14:paraId="5D072055" w14:textId="78D9DE41" w:rsidR="009633DB" w:rsidRPr="00DD2E13" w:rsidRDefault="000640D0" w:rsidP="00FE3674">
      <w:pPr>
        <w:numPr>
          <w:ilvl w:val="1"/>
          <w:numId w:val="4"/>
        </w:numPr>
        <w:contextualSpacing/>
        <w:rPr>
          <w:rFonts w:asciiTheme="majorHAnsi" w:hAnsiTheme="majorHAnsi" w:cs="Calibri Light"/>
        </w:rPr>
      </w:pPr>
      <w:bookmarkStart w:id="2" w:name="_Hlk65627219"/>
      <w:r w:rsidRPr="00DD2E13">
        <w:rPr>
          <w:rFonts w:asciiTheme="majorHAnsi" w:hAnsiTheme="majorHAnsi" w:cs="Calibri Light"/>
        </w:rPr>
        <w:t>Should DAM design for pricing AS be changed? Should ASDC be implemented in DAM. If not, should AS price be capped at $9,000/MW/</w:t>
      </w:r>
      <w:proofErr w:type="spellStart"/>
      <w:r w:rsidRPr="00DD2E13">
        <w:rPr>
          <w:rFonts w:asciiTheme="majorHAnsi" w:hAnsiTheme="majorHAnsi" w:cs="Calibri Light"/>
        </w:rPr>
        <w:t>hr</w:t>
      </w:r>
      <w:proofErr w:type="spellEnd"/>
      <w:r w:rsidRPr="00DD2E13">
        <w:rPr>
          <w:rFonts w:asciiTheme="majorHAnsi" w:hAnsiTheme="majorHAnsi" w:cs="Calibri Light"/>
        </w:rPr>
        <w:t xml:space="preserve">? </w:t>
      </w:r>
      <w:r w:rsidR="009633DB" w:rsidRPr="00DD2E13">
        <w:rPr>
          <w:rFonts w:asciiTheme="majorHAnsi" w:hAnsiTheme="majorHAnsi" w:cs="Calibri Light"/>
        </w:rPr>
        <w:t xml:space="preserve">If not, should there be </w:t>
      </w:r>
      <w:r w:rsidR="00FE3674" w:rsidRPr="00DD2E13">
        <w:rPr>
          <w:rFonts w:asciiTheme="majorHAnsi" w:hAnsiTheme="majorHAnsi" w:cs="Calibri Light"/>
        </w:rPr>
        <w:t xml:space="preserve">market participant training developed and notice sent explaining how </w:t>
      </w:r>
      <w:r w:rsidR="009633DB" w:rsidRPr="00DD2E13">
        <w:rPr>
          <w:rFonts w:asciiTheme="majorHAnsi" w:hAnsiTheme="majorHAnsi"/>
        </w:rPr>
        <w:t xml:space="preserve">maximum A/S MCPC </w:t>
      </w:r>
      <w:r w:rsidR="00FE3674" w:rsidRPr="00DD2E13">
        <w:rPr>
          <w:rFonts w:asciiTheme="majorHAnsi" w:hAnsiTheme="majorHAnsi"/>
        </w:rPr>
        <w:t>can be</w:t>
      </w:r>
      <w:r w:rsidR="009633DB" w:rsidRPr="00DD2E13">
        <w:rPr>
          <w:rFonts w:asciiTheme="majorHAnsi" w:hAnsiTheme="majorHAnsi"/>
        </w:rPr>
        <w:t xml:space="preserve"> $27k versus $9k.</w:t>
      </w:r>
    </w:p>
    <w:bookmarkEnd w:id="2"/>
    <w:p w14:paraId="6285F8F0" w14:textId="16FABF15" w:rsidR="001C2794" w:rsidRPr="00DD2E13" w:rsidRDefault="0091316E" w:rsidP="000640D0">
      <w:pPr>
        <w:numPr>
          <w:ilvl w:val="1"/>
          <w:numId w:val="4"/>
        </w:numPr>
        <w:contextualSpacing/>
        <w:rPr>
          <w:rFonts w:asciiTheme="majorHAnsi" w:hAnsiTheme="majorHAnsi" w:cs="Calibri Light"/>
        </w:rPr>
      </w:pPr>
      <w:r w:rsidRPr="00DD2E13">
        <w:rPr>
          <w:rFonts w:asciiTheme="majorHAnsi" w:hAnsiTheme="majorHAnsi" w:cs="Calibri Light"/>
        </w:rPr>
        <w:t>Are changes to the Peaker Net Margin methodology needed to protect ratepayers during extended scarcity events?</w:t>
      </w:r>
    </w:p>
    <w:p w14:paraId="48AC0426"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Should TCEQ exempt MWs be priced at a floor of $1500/MWh or higher? If ERCOT RUCs the resource, how is the resource compensated for lost opportunity of using the emissions limit during other scarcity time Vs the </w:t>
      </w:r>
      <w:proofErr w:type="spellStart"/>
      <w:r w:rsidRPr="00DD2E13">
        <w:rPr>
          <w:rFonts w:asciiTheme="majorHAnsi" w:hAnsiTheme="majorHAnsi" w:cs="Calibri Light"/>
        </w:rPr>
        <w:t>RUCed</w:t>
      </w:r>
      <w:proofErr w:type="spellEnd"/>
      <w:r w:rsidRPr="00DD2E13">
        <w:rPr>
          <w:rFonts w:asciiTheme="majorHAnsi" w:hAnsiTheme="majorHAnsi" w:cs="Calibri Light"/>
        </w:rPr>
        <w:t xml:space="preserve"> time?</w:t>
      </w:r>
    </w:p>
    <w:p w14:paraId="3EA36ACA" w14:textId="7B9838EF" w:rsidR="000640D0" w:rsidRPr="00DD2E13" w:rsidRDefault="00AC0F79" w:rsidP="000640D0">
      <w:pPr>
        <w:numPr>
          <w:ilvl w:val="1"/>
          <w:numId w:val="4"/>
        </w:numPr>
        <w:contextualSpacing/>
        <w:rPr>
          <w:rFonts w:asciiTheme="majorHAnsi" w:hAnsiTheme="majorHAnsi" w:cs="Calibri Light"/>
        </w:rPr>
      </w:pPr>
      <w:r w:rsidRPr="00DD2E13">
        <w:rPr>
          <w:rFonts w:asciiTheme="majorHAnsi" w:hAnsiTheme="majorHAnsi" w:cs="Calibri Light"/>
        </w:rPr>
        <w:t>Review</w:t>
      </w:r>
      <w:r w:rsidR="000640D0" w:rsidRPr="00DD2E13">
        <w:rPr>
          <w:rFonts w:asciiTheme="majorHAnsi" w:hAnsiTheme="majorHAnsi" w:cs="Calibri Light"/>
        </w:rPr>
        <w:t xml:space="preserve"> </w:t>
      </w:r>
      <w:r w:rsidRPr="00DD2E13">
        <w:rPr>
          <w:rFonts w:asciiTheme="majorHAnsi" w:hAnsiTheme="majorHAnsi" w:cs="Calibri Light"/>
        </w:rPr>
        <w:t xml:space="preserve">converge of </w:t>
      </w:r>
      <w:r w:rsidR="000640D0" w:rsidRPr="00DD2E13">
        <w:rPr>
          <w:rFonts w:asciiTheme="majorHAnsi" w:hAnsiTheme="majorHAnsi" w:cs="Calibri Light"/>
        </w:rPr>
        <w:t xml:space="preserve">ORDC </w:t>
      </w:r>
      <w:r w:rsidRPr="00DD2E13">
        <w:rPr>
          <w:rFonts w:asciiTheme="majorHAnsi" w:hAnsiTheme="majorHAnsi" w:cs="Calibri Light"/>
        </w:rPr>
        <w:t>&amp;</w:t>
      </w:r>
      <w:r w:rsidR="000640D0" w:rsidRPr="00DD2E13">
        <w:rPr>
          <w:rFonts w:asciiTheme="majorHAnsi" w:hAnsiTheme="majorHAnsi" w:cs="Calibri Light"/>
        </w:rPr>
        <w:t xml:space="preserve"> PRC </w:t>
      </w:r>
      <w:r w:rsidRPr="00DD2E13">
        <w:rPr>
          <w:rFonts w:asciiTheme="majorHAnsi" w:hAnsiTheme="majorHAnsi" w:cs="Calibri Light"/>
        </w:rPr>
        <w:t xml:space="preserve">during the event. </w:t>
      </w:r>
    </w:p>
    <w:p w14:paraId="1E44AA24" w14:textId="294D1BEB" w:rsidR="001C2794" w:rsidRPr="00DD2E13" w:rsidRDefault="000640D0" w:rsidP="001C2794">
      <w:pPr>
        <w:numPr>
          <w:ilvl w:val="1"/>
          <w:numId w:val="4"/>
        </w:numPr>
        <w:contextualSpacing/>
        <w:rPr>
          <w:rFonts w:asciiTheme="majorHAnsi" w:hAnsiTheme="majorHAnsi" w:cs="Calibri Light"/>
        </w:rPr>
      </w:pPr>
      <w:r w:rsidRPr="00DD2E13">
        <w:rPr>
          <w:rFonts w:asciiTheme="majorHAnsi" w:hAnsiTheme="majorHAnsi" w:cs="Calibri Light"/>
        </w:rPr>
        <w:t>How did exceptional fuel price process work?</w:t>
      </w:r>
    </w:p>
    <w:p w14:paraId="0E34D5CC" w14:textId="3575DB35" w:rsidR="00300D34" w:rsidRPr="00DD2E13" w:rsidRDefault="00300D34" w:rsidP="001C2794">
      <w:pPr>
        <w:numPr>
          <w:ilvl w:val="1"/>
          <w:numId w:val="4"/>
        </w:numPr>
        <w:contextualSpacing/>
        <w:rPr>
          <w:rFonts w:asciiTheme="majorHAnsi" w:hAnsiTheme="majorHAnsi" w:cs="Calibri Light"/>
        </w:rPr>
      </w:pPr>
      <w:r w:rsidRPr="00DD2E13">
        <w:rPr>
          <w:rFonts w:asciiTheme="majorHAnsi" w:hAnsiTheme="majorHAnsi" w:cstheme="minorBidi"/>
        </w:rPr>
        <w:t xml:space="preserve">Review constraint management process during EEA3: How much generation was curtailed for congestion </w:t>
      </w:r>
      <w:r w:rsidR="00432050">
        <w:rPr>
          <w:rFonts w:asciiTheme="majorHAnsi" w:hAnsiTheme="majorHAnsi" w:cstheme="minorBidi"/>
        </w:rPr>
        <w:t xml:space="preserve">including GTC </w:t>
      </w:r>
      <w:r w:rsidRPr="00DD2E13">
        <w:rPr>
          <w:rFonts w:asciiTheme="majorHAnsi" w:hAnsiTheme="majorHAnsi" w:cstheme="minorBidi"/>
        </w:rPr>
        <w:t>during EEA3?</w:t>
      </w:r>
    </w:p>
    <w:p w14:paraId="351DFBD1" w14:textId="779677CB" w:rsidR="009F0561" w:rsidRPr="00DD2E13" w:rsidRDefault="009F0561" w:rsidP="009F0561">
      <w:pPr>
        <w:numPr>
          <w:ilvl w:val="1"/>
          <w:numId w:val="4"/>
        </w:numPr>
        <w:contextualSpacing/>
        <w:rPr>
          <w:rFonts w:asciiTheme="majorHAnsi" w:hAnsiTheme="majorHAnsi" w:cs="Calibri Light"/>
        </w:rPr>
      </w:pPr>
      <w:r w:rsidRPr="00DD2E13">
        <w:rPr>
          <w:rFonts w:asciiTheme="majorHAnsi" w:hAnsiTheme="majorHAnsi" w:cs="Calibri Light"/>
        </w:rPr>
        <w:t xml:space="preserve">How did the resource adequacy incentives, including scarcity pricing mechanism, perform for promoting resource adequacy? Are alternative market design approaches necessary to promote/ensure resource adequacy? </w:t>
      </w:r>
    </w:p>
    <w:p w14:paraId="773047E2" w14:textId="77777777" w:rsidR="00093647" w:rsidRPr="00093647" w:rsidRDefault="00AC0F79" w:rsidP="00AC0F79">
      <w:pPr>
        <w:numPr>
          <w:ilvl w:val="1"/>
          <w:numId w:val="4"/>
        </w:numPr>
        <w:rPr>
          <w:rFonts w:asciiTheme="majorHAnsi" w:eastAsia="Times New Roman" w:hAnsiTheme="majorHAnsi" w:cs="Times New Roman"/>
        </w:rPr>
      </w:pPr>
      <w:r w:rsidRPr="00DD2E13">
        <w:rPr>
          <w:rFonts w:asciiTheme="majorHAnsi" w:eastAsia="Times New Roman" w:hAnsiTheme="majorHAnsi"/>
        </w:rPr>
        <w:t>What is the best way to ensure prices are consistent with market design during load shed?</w:t>
      </w:r>
      <w:r w:rsidR="00093647">
        <w:rPr>
          <w:rFonts w:asciiTheme="majorHAnsi" w:eastAsia="Times New Roman" w:hAnsiTheme="majorHAnsi"/>
        </w:rPr>
        <w:t xml:space="preserve"> </w:t>
      </w:r>
    </w:p>
    <w:p w14:paraId="514A9B27" w14:textId="7429806A" w:rsidR="00AC0F79" w:rsidRPr="00DD2E13" w:rsidRDefault="00093647" w:rsidP="00AC0F79">
      <w:pPr>
        <w:numPr>
          <w:ilvl w:val="1"/>
          <w:numId w:val="4"/>
        </w:numPr>
        <w:rPr>
          <w:rFonts w:asciiTheme="majorHAnsi" w:eastAsia="Times New Roman" w:hAnsiTheme="majorHAnsi" w:cs="Times New Roman"/>
        </w:rPr>
      </w:pPr>
      <w:r>
        <w:rPr>
          <w:rFonts w:asciiTheme="majorHAnsi" w:eastAsia="Times New Roman" w:hAnsiTheme="majorHAnsi"/>
        </w:rPr>
        <w:t xml:space="preserve">Shouldn’t protocols be changed to include firm load shed in RDPA to reflect commission </w:t>
      </w:r>
      <w:proofErr w:type="gramStart"/>
      <w:r>
        <w:rPr>
          <w:rFonts w:asciiTheme="majorHAnsi" w:eastAsia="Times New Roman" w:hAnsiTheme="majorHAnsi"/>
        </w:rPr>
        <w:t>order ?</w:t>
      </w:r>
      <w:proofErr w:type="gramEnd"/>
    </w:p>
    <w:p w14:paraId="4D5F1A16" w14:textId="77777777" w:rsidR="005911BA" w:rsidRPr="00DD2E13" w:rsidRDefault="005911BA" w:rsidP="00DD2E13">
      <w:pPr>
        <w:ind w:left="1080"/>
        <w:contextualSpacing/>
        <w:rPr>
          <w:rFonts w:asciiTheme="majorHAnsi" w:hAnsiTheme="majorHAnsi" w:cs="Calibri Light"/>
        </w:rPr>
      </w:pPr>
    </w:p>
    <w:p w14:paraId="4B3FE9FD"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Planning &amp; Operating Reserves</w:t>
      </w:r>
    </w:p>
    <w:p w14:paraId="14D171BD" w14:textId="4B52962A" w:rsidR="00300D34" w:rsidRPr="00DD2E13" w:rsidRDefault="00982655" w:rsidP="00300D34">
      <w:pPr>
        <w:numPr>
          <w:ilvl w:val="1"/>
          <w:numId w:val="4"/>
        </w:numPr>
        <w:contextualSpacing/>
        <w:rPr>
          <w:rFonts w:asciiTheme="majorHAnsi" w:hAnsiTheme="majorHAnsi" w:cs="Calibri Light"/>
        </w:rPr>
      </w:pPr>
      <w:bookmarkStart w:id="3" w:name="_Hlk65626277"/>
      <w:r w:rsidRPr="00DD2E13">
        <w:rPr>
          <w:rFonts w:asciiTheme="majorHAnsi" w:hAnsiTheme="majorHAnsi" w:cs="Calibri Light"/>
        </w:rPr>
        <w:t xml:space="preserve">What changes are needed to the reserve margin target, reserve margin calculation methodologies used for the CDR and SARA, and planning reserve margin studies including EORM and MERM to account for impacts from this event? </w:t>
      </w:r>
      <w:r w:rsidR="000640D0" w:rsidRPr="00DD2E13">
        <w:rPr>
          <w:rFonts w:asciiTheme="majorHAnsi" w:hAnsiTheme="majorHAnsi" w:cs="Calibri Light"/>
        </w:rPr>
        <w:t>Should CDR be changed to better reflect climate change and extremes such as the 2011 heat events and the 2021 Polar Vortex. – average Vs extreme sensitivities</w:t>
      </w:r>
      <w:r w:rsidRPr="00DD2E13">
        <w:rPr>
          <w:rFonts w:asciiTheme="majorHAnsi" w:hAnsiTheme="majorHAnsi" w:cs="Calibri Light"/>
        </w:rPr>
        <w:t xml:space="preserve"> Vs worst case scenarios</w:t>
      </w:r>
      <w:r w:rsidR="000640D0" w:rsidRPr="00DD2E13">
        <w:rPr>
          <w:rFonts w:asciiTheme="majorHAnsi" w:hAnsiTheme="majorHAnsi" w:cs="Calibri Light"/>
        </w:rPr>
        <w:t>? How to reflect reliability risk in CDR and SARA?</w:t>
      </w:r>
      <w:r w:rsidR="00300D34" w:rsidRPr="00DD2E13">
        <w:rPr>
          <w:rFonts w:asciiTheme="majorHAnsi" w:hAnsiTheme="majorHAnsi" w:cs="Calibri Light"/>
        </w:rPr>
        <w:t xml:space="preserve"> </w:t>
      </w:r>
    </w:p>
    <w:p w14:paraId="21ED31D8" w14:textId="0110DB8E" w:rsidR="0091316E" w:rsidRPr="00DD2E13" w:rsidRDefault="007A7AE5" w:rsidP="000640D0">
      <w:pPr>
        <w:numPr>
          <w:ilvl w:val="1"/>
          <w:numId w:val="4"/>
        </w:numPr>
        <w:contextualSpacing/>
        <w:rPr>
          <w:rFonts w:asciiTheme="majorHAnsi" w:hAnsiTheme="majorHAnsi" w:cs="Calibri Light"/>
        </w:rPr>
      </w:pPr>
      <w:r w:rsidRPr="00DD2E13">
        <w:rPr>
          <w:rFonts w:asciiTheme="majorHAnsi" w:hAnsiTheme="majorHAnsi" w:cs="Calibri Light"/>
        </w:rPr>
        <w:t>Request to accelerate ongoing efforts to improve the CD</w:t>
      </w:r>
      <w:r w:rsidR="0091316E" w:rsidRPr="00DD2E13">
        <w:rPr>
          <w:rFonts w:asciiTheme="majorHAnsi" w:hAnsiTheme="majorHAnsi" w:cs="Calibri Light"/>
        </w:rPr>
        <w:t xml:space="preserve">R and SARA </w:t>
      </w:r>
      <w:r w:rsidRPr="00DD2E13">
        <w:rPr>
          <w:rFonts w:asciiTheme="majorHAnsi" w:hAnsiTheme="majorHAnsi" w:cs="Calibri Light"/>
        </w:rPr>
        <w:t>and incorporate probabilistic modeling approach to evaluate the risk of various magnitudes of ERCOT emergency events. If existing deterministic scenario is retained, consider revisions to account for more extreme and overlapping events. Consider actions to be taken based on resource adequacy report results.</w:t>
      </w:r>
    </w:p>
    <w:p w14:paraId="7E950C82" w14:textId="5AF83858"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different PRC EEA trigger point for winter and summer given potential for different events?</w:t>
      </w:r>
    </w:p>
    <w:bookmarkEnd w:id="3"/>
    <w:p w14:paraId="2CDFCA74" w14:textId="2E2D483A" w:rsidR="001218CD" w:rsidRPr="00DD2E13" w:rsidRDefault="001218CD"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Are the existing suite of Ancillary Service products and quantities adequate </w:t>
      </w:r>
      <w:r w:rsidR="005911BA" w:rsidRPr="00DD2E13">
        <w:rPr>
          <w:rFonts w:asciiTheme="majorHAnsi" w:hAnsiTheme="majorHAnsi" w:cs="Calibri Light"/>
        </w:rPr>
        <w:t xml:space="preserve">to ensure reliability </w:t>
      </w:r>
      <w:r w:rsidRPr="00DD2E13">
        <w:rPr>
          <w:rFonts w:asciiTheme="majorHAnsi" w:hAnsiTheme="majorHAnsi" w:cs="Calibri Light"/>
        </w:rPr>
        <w:t>or are changes needed?</w:t>
      </w:r>
    </w:p>
    <w:p w14:paraId="20669EE2"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Could fast frequency response play a bigger role?</w:t>
      </w:r>
    </w:p>
    <w:p w14:paraId="1BE9F64E" w14:textId="77777777" w:rsidR="000640D0"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How did batteries providing FFR perform? Were FFR providers allowed to charge and if not, what penalties did they get charged?</w:t>
      </w:r>
    </w:p>
    <w:p w14:paraId="799ADCA2" w14:textId="77777777" w:rsidR="0091316E" w:rsidRPr="00DD2E13" w:rsidRDefault="0091316E" w:rsidP="000640D0">
      <w:pPr>
        <w:numPr>
          <w:ilvl w:val="1"/>
          <w:numId w:val="4"/>
        </w:numPr>
        <w:rPr>
          <w:rFonts w:asciiTheme="majorHAnsi" w:hAnsiTheme="majorHAnsi" w:cs="Calibri Light"/>
        </w:rPr>
      </w:pPr>
      <w:r w:rsidRPr="00DD2E13">
        <w:rPr>
          <w:rFonts w:asciiTheme="majorHAnsi" w:hAnsiTheme="majorHAnsi" w:cs="Calibri Light"/>
        </w:rPr>
        <w:t xml:space="preserve">Should the Reliability Must Run (RMR) processes be extended to units proposed for seasonal mothball? Are the RMR and Must Run Alternative study and processes </w:t>
      </w:r>
      <w:proofErr w:type="gramStart"/>
      <w:r w:rsidRPr="00DD2E13">
        <w:rPr>
          <w:rFonts w:asciiTheme="majorHAnsi" w:hAnsiTheme="majorHAnsi" w:cs="Calibri Light"/>
        </w:rPr>
        <w:t>sufficient</w:t>
      </w:r>
      <w:proofErr w:type="gramEnd"/>
      <w:r w:rsidRPr="00DD2E13">
        <w:rPr>
          <w:rFonts w:asciiTheme="majorHAnsi" w:hAnsiTheme="majorHAnsi" w:cs="Calibri Light"/>
        </w:rPr>
        <w:t xml:space="preserve"> or are changes to study parameters, such as winter peak-, planned/forced outage-, or resource dispatch-scenarios, needed?</w:t>
      </w:r>
    </w:p>
    <w:p w14:paraId="450F2BF0" w14:textId="2E97D85C" w:rsidR="007634EF" w:rsidRPr="00DD2E13" w:rsidRDefault="007634EF" w:rsidP="000640D0">
      <w:pPr>
        <w:numPr>
          <w:ilvl w:val="1"/>
          <w:numId w:val="4"/>
        </w:numPr>
        <w:rPr>
          <w:rFonts w:asciiTheme="majorHAnsi" w:hAnsiTheme="majorHAnsi" w:cs="Calibri Light"/>
        </w:rPr>
      </w:pPr>
      <w:r w:rsidRPr="00DD2E13">
        <w:rPr>
          <w:rFonts w:asciiTheme="majorHAnsi" w:hAnsiTheme="majorHAnsi" w:cs="Calibri Light"/>
        </w:rPr>
        <w:t xml:space="preserve">Are adjustments to the load forecasting methodology, scenario analysis and trend analysis needed </w:t>
      </w:r>
      <w:proofErr w:type="gramStart"/>
      <w:r w:rsidRPr="00DD2E13">
        <w:rPr>
          <w:rFonts w:asciiTheme="majorHAnsi" w:hAnsiTheme="majorHAnsi" w:cs="Calibri Light"/>
        </w:rPr>
        <w:t>in light of</w:t>
      </w:r>
      <w:proofErr w:type="gramEnd"/>
      <w:r w:rsidRPr="00DD2E13">
        <w:rPr>
          <w:rFonts w:asciiTheme="majorHAnsi" w:hAnsiTheme="majorHAnsi" w:cs="Calibri Light"/>
        </w:rPr>
        <w:t xml:space="preserve"> this event?</w:t>
      </w:r>
    </w:p>
    <w:p w14:paraId="038E045F" w14:textId="77777777" w:rsidR="006F12AB" w:rsidRPr="00DD2E13" w:rsidRDefault="006F12AB" w:rsidP="006F12AB">
      <w:pPr>
        <w:numPr>
          <w:ilvl w:val="1"/>
          <w:numId w:val="4"/>
        </w:numPr>
        <w:rPr>
          <w:rFonts w:asciiTheme="majorHAnsi" w:eastAsia="Times New Roman" w:hAnsiTheme="majorHAnsi" w:cs="Times New Roman"/>
        </w:rPr>
      </w:pPr>
      <w:r w:rsidRPr="00DD2E13">
        <w:rPr>
          <w:rFonts w:asciiTheme="majorHAnsi" w:eastAsia="Times New Roman" w:hAnsiTheme="majorHAnsi"/>
        </w:rPr>
        <w:t>How should we revise extreme winter cases for planning assessments?</w:t>
      </w:r>
    </w:p>
    <w:p w14:paraId="7A4A58D2" w14:textId="77777777" w:rsidR="006F12AB" w:rsidRPr="00DD2E13" w:rsidRDefault="006F12AB" w:rsidP="006F12AB">
      <w:pPr>
        <w:numPr>
          <w:ilvl w:val="1"/>
          <w:numId w:val="4"/>
        </w:numPr>
        <w:rPr>
          <w:rFonts w:asciiTheme="majorHAnsi" w:eastAsia="Times New Roman" w:hAnsiTheme="majorHAnsi" w:cs="Times New Roman"/>
        </w:rPr>
      </w:pPr>
      <w:r w:rsidRPr="00DD2E13">
        <w:rPr>
          <w:rFonts w:asciiTheme="majorHAnsi" w:eastAsia="Times New Roman" w:hAnsiTheme="majorHAnsi"/>
        </w:rPr>
        <w:lastRenderedPageBreak/>
        <w:t>How should capacity reports be modified to include gas market coincident and offsetting risks with electric system?</w:t>
      </w:r>
    </w:p>
    <w:p w14:paraId="4044C3E6" w14:textId="77777777" w:rsidR="00982655" w:rsidRPr="00DD2E13" w:rsidRDefault="00982655" w:rsidP="00982655">
      <w:pPr>
        <w:numPr>
          <w:ilvl w:val="1"/>
          <w:numId w:val="4"/>
        </w:numPr>
        <w:contextualSpacing/>
        <w:rPr>
          <w:rFonts w:asciiTheme="majorHAnsi" w:hAnsiTheme="majorHAnsi" w:cs="Calibri Light"/>
        </w:rPr>
      </w:pPr>
      <w:r w:rsidRPr="00DD2E13">
        <w:rPr>
          <w:rFonts w:asciiTheme="majorHAnsi" w:hAnsiTheme="majorHAnsi" w:cs="Calibri Light"/>
        </w:rPr>
        <w:t>What were the costs, benefits, and constraints of dual fuel and fuel storage? Are there potential market incentives based on lessons learned from this event?</w:t>
      </w:r>
    </w:p>
    <w:p w14:paraId="315F7611" w14:textId="1E414CD8" w:rsidR="00982655" w:rsidRPr="00DD2E13" w:rsidRDefault="00982655" w:rsidP="009F0561">
      <w:pPr>
        <w:pStyle w:val="ListParagraph"/>
        <w:numPr>
          <w:ilvl w:val="1"/>
          <w:numId w:val="4"/>
        </w:numPr>
        <w:rPr>
          <w:rFonts w:asciiTheme="majorHAnsi" w:eastAsia="Times New Roman" w:hAnsiTheme="majorHAnsi"/>
        </w:rPr>
      </w:pPr>
      <w:bookmarkStart w:id="4" w:name="_Hlk65626811"/>
      <w:r w:rsidRPr="00DD2E13">
        <w:rPr>
          <w:rFonts w:asciiTheme="majorHAnsi" w:eastAsia="Times New Roman" w:hAnsiTheme="majorHAnsi"/>
        </w:rPr>
        <w:t>Improve situational awareness by identifying all NG infrastructure that is critical for power plants, Identif</w:t>
      </w:r>
      <w:r w:rsidR="009F0561" w:rsidRPr="00DD2E13">
        <w:rPr>
          <w:rFonts w:asciiTheme="majorHAnsi" w:eastAsia="Times New Roman" w:hAnsiTheme="majorHAnsi"/>
        </w:rPr>
        <w:t>y</w:t>
      </w:r>
      <w:r w:rsidRPr="00DD2E13">
        <w:rPr>
          <w:rFonts w:asciiTheme="majorHAnsi" w:eastAsia="Times New Roman" w:hAnsiTheme="majorHAnsi"/>
        </w:rPr>
        <w:t xml:space="preserve">ing firm and non-firm supply power plants. </w:t>
      </w:r>
      <w:r w:rsidR="009F0561" w:rsidRPr="00DD2E13">
        <w:rPr>
          <w:rFonts w:asciiTheme="majorHAnsi" w:eastAsia="Times New Roman" w:hAnsiTheme="majorHAnsi"/>
        </w:rPr>
        <w:t xml:space="preserve">Should payments </w:t>
      </w:r>
      <w:r w:rsidRPr="00DD2E13">
        <w:rPr>
          <w:rFonts w:asciiTheme="majorHAnsi" w:eastAsia="Times New Roman" w:hAnsiTheme="majorHAnsi"/>
        </w:rPr>
        <w:t xml:space="preserve">for NG storage closer to NG plants </w:t>
      </w:r>
      <w:r w:rsidR="009F0561" w:rsidRPr="00DD2E13">
        <w:rPr>
          <w:rFonts w:asciiTheme="majorHAnsi" w:eastAsia="Times New Roman" w:hAnsiTheme="majorHAnsi"/>
        </w:rPr>
        <w:t xml:space="preserve">be considered </w:t>
      </w:r>
      <w:r w:rsidRPr="00DD2E13">
        <w:rPr>
          <w:rFonts w:asciiTheme="majorHAnsi" w:eastAsia="Times New Roman" w:hAnsiTheme="majorHAnsi"/>
        </w:rPr>
        <w:t>to avoid counting a major supply on long haul transport</w:t>
      </w:r>
      <w:r w:rsidR="009F0561" w:rsidRPr="00DD2E13">
        <w:rPr>
          <w:rFonts w:asciiTheme="majorHAnsi" w:eastAsia="Times New Roman" w:hAnsiTheme="majorHAnsi"/>
        </w:rPr>
        <w:t>?</w:t>
      </w:r>
    </w:p>
    <w:bookmarkEnd w:id="4"/>
    <w:p w14:paraId="32A78991" w14:textId="77777777" w:rsidR="005911BA" w:rsidRPr="00DD2E13" w:rsidRDefault="005911BA" w:rsidP="005911BA">
      <w:pPr>
        <w:ind w:left="1080"/>
        <w:rPr>
          <w:rFonts w:asciiTheme="majorHAnsi" w:hAnsiTheme="majorHAnsi" w:cs="Calibri Light"/>
        </w:rPr>
      </w:pPr>
    </w:p>
    <w:p w14:paraId="72155E0A"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ERS</w:t>
      </w:r>
      <w:r w:rsidRPr="00DD2E13">
        <w:rPr>
          <w:rFonts w:asciiTheme="majorHAnsi" w:hAnsiTheme="majorHAnsi" w:cs="Calibri Light"/>
        </w:rPr>
        <w:t xml:space="preserve"> </w:t>
      </w:r>
      <w:r w:rsidRPr="00DD2E13">
        <w:rPr>
          <w:rFonts w:asciiTheme="majorHAnsi" w:hAnsiTheme="majorHAnsi" w:cs="Calibri Light"/>
          <w:b/>
          <w:bCs/>
        </w:rPr>
        <w:t>/ DR/ DER/ SODG</w:t>
      </w:r>
      <w:r w:rsidR="001218CD" w:rsidRPr="00DD2E13">
        <w:rPr>
          <w:rFonts w:asciiTheme="majorHAnsi" w:hAnsiTheme="majorHAnsi" w:cs="Calibri Light"/>
          <w:b/>
          <w:bCs/>
        </w:rPr>
        <w:t>/DC Ties</w:t>
      </w:r>
    </w:p>
    <w:p w14:paraId="38C5AD41" w14:textId="74EBC718"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What % of $50M was used during winter period</w:t>
      </w:r>
      <w:r w:rsidR="005911BA" w:rsidRPr="00DD2E13">
        <w:rPr>
          <w:rFonts w:asciiTheme="majorHAnsi" w:hAnsiTheme="majorHAnsi" w:cs="Calibri Light"/>
        </w:rPr>
        <w:t>?</w:t>
      </w:r>
    </w:p>
    <w:p w14:paraId="5C209F4A" w14:textId="77777777" w:rsidR="009633DB"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 xml:space="preserve">Did ERS work well during crisis? </w:t>
      </w:r>
      <w:r w:rsidR="005911BA" w:rsidRPr="00DD2E13">
        <w:rPr>
          <w:rFonts w:asciiTheme="majorHAnsi" w:hAnsiTheme="majorHAnsi" w:cs="Calibri Light"/>
        </w:rPr>
        <w:t xml:space="preserve">Are any modifications needed? </w:t>
      </w:r>
    </w:p>
    <w:p w14:paraId="3D283E2E" w14:textId="26783F1E" w:rsidR="009633DB" w:rsidRPr="00DD2E13" w:rsidRDefault="009633DB" w:rsidP="000640D0">
      <w:pPr>
        <w:numPr>
          <w:ilvl w:val="1"/>
          <w:numId w:val="4"/>
        </w:numPr>
        <w:rPr>
          <w:rFonts w:asciiTheme="majorHAnsi" w:hAnsiTheme="majorHAnsi" w:cs="Calibri Light"/>
        </w:rPr>
      </w:pPr>
      <w:r w:rsidRPr="00DD2E13">
        <w:rPr>
          <w:rFonts w:asciiTheme="majorHAnsi" w:hAnsiTheme="majorHAnsi"/>
        </w:rPr>
        <w:t>How much of the ERS load is from transmission connected load vs distribution connected and how much transmission connected load self-curtailed?</w:t>
      </w:r>
    </w:p>
    <w:p w14:paraId="129467C4" w14:textId="56E57E39" w:rsidR="000640D0"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If ERCOT had more flexibility to increase ERS resources would it have helped?</w:t>
      </w:r>
    </w:p>
    <w:p w14:paraId="360A80A3" w14:textId="07E60360" w:rsidR="000640D0"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 xml:space="preserve">How did DR perform? </w:t>
      </w:r>
      <w:r w:rsidR="00D04D23" w:rsidRPr="00DD2E13">
        <w:rPr>
          <w:rFonts w:asciiTheme="majorHAnsi" w:hAnsiTheme="majorHAnsi"/>
        </w:rPr>
        <w:t xml:space="preserve">Should UFR deployed beyond the period of </w:t>
      </w:r>
      <w:proofErr w:type="gramStart"/>
      <w:r w:rsidR="00D04D23" w:rsidRPr="00DD2E13">
        <w:rPr>
          <w:rFonts w:asciiTheme="majorHAnsi" w:hAnsiTheme="majorHAnsi"/>
        </w:rPr>
        <w:t>it</w:t>
      </w:r>
      <w:proofErr w:type="gramEnd"/>
      <w:r w:rsidR="00D04D23" w:rsidRPr="00DD2E13">
        <w:rPr>
          <w:rFonts w:asciiTheme="majorHAnsi" w:hAnsiTheme="majorHAnsi"/>
        </w:rPr>
        <w:t xml:space="preserve"> obligation be compensated for the deployment? Should A/S Imbalance Charge to deployed Load Resources be revisited?</w:t>
      </w:r>
    </w:p>
    <w:p w14:paraId="1E1C2CE7" w14:textId="421684A7" w:rsidR="00D04D23" w:rsidRPr="00DD2E13" w:rsidRDefault="00D04D23" w:rsidP="000640D0">
      <w:pPr>
        <w:numPr>
          <w:ilvl w:val="1"/>
          <w:numId w:val="4"/>
        </w:numPr>
        <w:rPr>
          <w:rFonts w:asciiTheme="majorHAnsi" w:hAnsiTheme="majorHAnsi" w:cs="Calibri Light"/>
        </w:rPr>
      </w:pPr>
      <w:r w:rsidRPr="00DD2E13">
        <w:rPr>
          <w:rFonts w:asciiTheme="majorHAnsi" w:hAnsiTheme="majorHAnsi"/>
        </w:rPr>
        <w:t>Should all prospective (and existing) Load Resources and ERS loads that are classified as essential to the transportation, compression, processing, and delivery of natural gas or any other power generation fuel not be allowed to participate as LR or ESR?</w:t>
      </w:r>
    </w:p>
    <w:p w14:paraId="261E6C35" w14:textId="77777777" w:rsidR="00AC0F79" w:rsidRPr="00DD2E13" w:rsidRDefault="00AC0F79" w:rsidP="00AC0F79">
      <w:pPr>
        <w:numPr>
          <w:ilvl w:val="1"/>
          <w:numId w:val="4"/>
        </w:numPr>
        <w:rPr>
          <w:rFonts w:asciiTheme="majorHAnsi" w:eastAsia="Times New Roman" w:hAnsiTheme="majorHAnsi" w:cs="Times New Roman"/>
        </w:rPr>
      </w:pPr>
      <w:r w:rsidRPr="00DD2E13">
        <w:rPr>
          <w:rFonts w:asciiTheme="majorHAnsi" w:eastAsia="Times New Roman" w:hAnsiTheme="majorHAnsi"/>
        </w:rPr>
        <w:t>Did we place conflicting risks on any ERS loads?</w:t>
      </w:r>
    </w:p>
    <w:p w14:paraId="4BF5B658"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Could more DERs have helped? In addition to settlement-only DERs (between 1 and 10 MWs) is more needed to be done for a heavy-version of DERs so they can compete in energy and ancillary market more directly or is the current DER-light approach good enough? </w:t>
      </w:r>
    </w:p>
    <w:p w14:paraId="2C613299"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How did SODG perform?</w:t>
      </w:r>
    </w:p>
    <w:p w14:paraId="1D495FAA" w14:textId="750571F0" w:rsidR="009633DB" w:rsidRPr="00DD2E13" w:rsidRDefault="001218CD" w:rsidP="009633DB">
      <w:pPr>
        <w:numPr>
          <w:ilvl w:val="1"/>
          <w:numId w:val="4"/>
        </w:numPr>
        <w:contextualSpacing/>
        <w:rPr>
          <w:rFonts w:asciiTheme="majorHAnsi" w:hAnsiTheme="majorHAnsi" w:cs="Calibri Light"/>
        </w:rPr>
      </w:pPr>
      <w:r w:rsidRPr="00DD2E13">
        <w:rPr>
          <w:rFonts w:asciiTheme="majorHAnsi" w:hAnsiTheme="majorHAnsi" w:cs="Calibri Light"/>
        </w:rPr>
        <w:t>How did DC ties perform du</w:t>
      </w:r>
      <w:r w:rsidR="007634EF" w:rsidRPr="00DD2E13">
        <w:rPr>
          <w:rFonts w:asciiTheme="majorHAnsi" w:hAnsiTheme="majorHAnsi" w:cs="Calibri Light"/>
        </w:rPr>
        <w:t>ring the event? Are there any impacts to planning assumptions and other DC tie policies as a result of this event?</w:t>
      </w:r>
    </w:p>
    <w:p w14:paraId="450975D8" w14:textId="77777777" w:rsidR="00917AA9" w:rsidRPr="00DD2E13" w:rsidRDefault="00917AA9" w:rsidP="00917AA9">
      <w:pPr>
        <w:ind w:left="1080"/>
        <w:contextualSpacing/>
        <w:rPr>
          <w:rFonts w:asciiTheme="majorHAnsi" w:hAnsiTheme="majorHAnsi" w:cs="Calibri Light"/>
        </w:rPr>
      </w:pPr>
    </w:p>
    <w:p w14:paraId="2E8D31A8"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Credit &amp; billing</w:t>
      </w:r>
    </w:p>
    <w:p w14:paraId="135D63BB" w14:textId="77777777" w:rsidR="00917AA9" w:rsidRPr="00DD2E13" w:rsidRDefault="00917AA9" w:rsidP="00917AA9">
      <w:pPr>
        <w:numPr>
          <w:ilvl w:val="1"/>
          <w:numId w:val="4"/>
        </w:numPr>
        <w:contextualSpacing/>
        <w:rPr>
          <w:rFonts w:asciiTheme="majorHAnsi" w:hAnsiTheme="majorHAnsi" w:cs="Calibri Light"/>
        </w:rPr>
      </w:pPr>
      <w:bookmarkStart w:id="5" w:name="_Hlk65529758"/>
      <w:r w:rsidRPr="00DD2E13">
        <w:rPr>
          <w:rFonts w:asciiTheme="majorHAnsi" w:hAnsiTheme="majorHAnsi" w:cs="Calibri Light"/>
        </w:rPr>
        <w:t>What enhancements to the existing credit/collateral requirements and overall credit risk management policies are needed as a result of this event?</w:t>
      </w:r>
    </w:p>
    <w:p w14:paraId="79B6D7D7"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Collateral and Settlement be netted at CP level?</w:t>
      </w:r>
      <w:bookmarkEnd w:id="5"/>
    </w:p>
    <w:p w14:paraId="23C1763F"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$2.5M/monthly default uplift be revisited?</w:t>
      </w:r>
    </w:p>
    <w:p w14:paraId="4FE211A6"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correct credit calcs for DC Tie import/export during EEA be corrected as RTLE is based on history of value which could be exporting power while during EEA it would be importing?</w:t>
      </w:r>
    </w:p>
    <w:p w14:paraId="7E02E5A0" w14:textId="77777777" w:rsidR="00917AA9" w:rsidRPr="00DD2E13" w:rsidRDefault="00917AA9" w:rsidP="00917AA9">
      <w:pPr>
        <w:numPr>
          <w:ilvl w:val="1"/>
          <w:numId w:val="4"/>
        </w:numPr>
        <w:contextualSpacing/>
        <w:rPr>
          <w:rFonts w:asciiTheme="majorHAnsi" w:hAnsiTheme="majorHAnsi" w:cs="Calibri Light"/>
        </w:rPr>
      </w:pPr>
      <w:r w:rsidRPr="00DD2E13">
        <w:rPr>
          <w:rFonts w:asciiTheme="majorHAnsi" w:hAnsiTheme="majorHAnsi" w:cs="Calibri Light"/>
        </w:rPr>
        <w:t>What changes to ERCOT settlements and market uplift processes are needed as a result of this event?</w:t>
      </w:r>
    </w:p>
    <w:p w14:paraId="2ECBE113" w14:textId="4B7BD256" w:rsidR="000640D0"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modifications for Validation, Editing and Estimation of meter data? What is the extend of billing error caused by this?</w:t>
      </w:r>
    </w:p>
    <w:p w14:paraId="21FB9F54"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What is the potential default uplift exposure for different entities?</w:t>
      </w:r>
    </w:p>
    <w:p w14:paraId="4D1C20D9" w14:textId="1D7DE1AE" w:rsidR="00F157D4" w:rsidRPr="00DD2E13" w:rsidRDefault="00F157D4" w:rsidP="00F157D4">
      <w:pPr>
        <w:numPr>
          <w:ilvl w:val="2"/>
          <w:numId w:val="4"/>
        </w:numPr>
        <w:contextualSpacing/>
        <w:rPr>
          <w:rFonts w:asciiTheme="majorHAnsi" w:hAnsiTheme="majorHAnsi" w:cs="Calibri Light"/>
        </w:rPr>
      </w:pPr>
      <w:r w:rsidRPr="00DD2E13">
        <w:rPr>
          <w:rFonts w:asciiTheme="majorHAnsi" w:hAnsiTheme="majorHAnsi" w:cs="Calibri Light"/>
        </w:rPr>
        <w:t>MMARS of all counterparties that have defaulted, for Muni</w:t>
      </w:r>
      <w:r w:rsidR="00432050">
        <w:rPr>
          <w:rFonts w:asciiTheme="majorHAnsi" w:hAnsiTheme="majorHAnsi" w:cs="Calibri Light"/>
        </w:rPr>
        <w:t>cipalities</w:t>
      </w:r>
      <w:r w:rsidRPr="00DD2E13">
        <w:rPr>
          <w:rFonts w:asciiTheme="majorHAnsi" w:hAnsiTheme="majorHAnsi" w:cs="Calibri Light"/>
        </w:rPr>
        <w:t>, for Coops, for other entities with short pay but not defaulted.</w:t>
      </w:r>
    </w:p>
    <w:p w14:paraId="4B24FBAC" w14:textId="3D3F3BA9" w:rsidR="00F157D4" w:rsidRPr="00DD2E13" w:rsidRDefault="00F157D4" w:rsidP="00F157D4">
      <w:pPr>
        <w:numPr>
          <w:ilvl w:val="2"/>
          <w:numId w:val="4"/>
        </w:numPr>
        <w:contextualSpacing/>
        <w:rPr>
          <w:rFonts w:asciiTheme="majorHAnsi" w:hAnsiTheme="majorHAnsi" w:cs="Calibri Light"/>
        </w:rPr>
      </w:pPr>
      <w:r w:rsidRPr="00DD2E13">
        <w:rPr>
          <w:rFonts w:asciiTheme="majorHAnsi" w:hAnsiTheme="majorHAnsi" w:cs="Calibri Light"/>
        </w:rPr>
        <w:t xml:space="preserve">Total Accumulated Short Pay for defaulted Counterparties, for </w:t>
      </w:r>
      <w:r w:rsidR="00432050" w:rsidRPr="00DD2E13">
        <w:rPr>
          <w:rFonts w:asciiTheme="majorHAnsi" w:hAnsiTheme="majorHAnsi" w:cs="Calibri Light"/>
        </w:rPr>
        <w:t>Muni</w:t>
      </w:r>
      <w:r w:rsidR="00432050">
        <w:rPr>
          <w:rFonts w:asciiTheme="majorHAnsi" w:hAnsiTheme="majorHAnsi" w:cs="Calibri Light"/>
        </w:rPr>
        <w:t>cipalities</w:t>
      </w:r>
      <w:r w:rsidR="00432050" w:rsidRPr="00DD2E13">
        <w:rPr>
          <w:rFonts w:asciiTheme="majorHAnsi" w:hAnsiTheme="majorHAnsi" w:cs="Calibri Light"/>
        </w:rPr>
        <w:t xml:space="preserve"> </w:t>
      </w:r>
      <w:r w:rsidRPr="00DD2E13">
        <w:rPr>
          <w:rFonts w:asciiTheme="majorHAnsi" w:hAnsiTheme="majorHAnsi" w:cs="Calibri Light"/>
        </w:rPr>
        <w:t>or coops that have not yet defaulted, for other Counterparties that have not yet defaulted</w:t>
      </w:r>
    </w:p>
    <w:p w14:paraId="64D7E354" w14:textId="77777777" w:rsidR="00F157D4" w:rsidRPr="00DD2E13" w:rsidRDefault="00F157D4" w:rsidP="00F157D4">
      <w:pPr>
        <w:numPr>
          <w:ilvl w:val="2"/>
          <w:numId w:val="4"/>
        </w:numPr>
        <w:contextualSpacing/>
        <w:rPr>
          <w:rFonts w:asciiTheme="majorHAnsi" w:hAnsiTheme="majorHAnsi" w:cs="Calibri Light"/>
        </w:rPr>
      </w:pPr>
      <w:r w:rsidRPr="00DD2E13">
        <w:rPr>
          <w:rFonts w:asciiTheme="majorHAnsi" w:hAnsiTheme="majorHAnsi" w:cs="Calibri Light"/>
        </w:rPr>
        <w:t xml:space="preserve">Total credit instruments exercised and unexercised </w:t>
      </w:r>
    </w:p>
    <w:p w14:paraId="0D797C6C" w14:textId="7278F1FE" w:rsidR="00F157D4" w:rsidRPr="00DD2E13" w:rsidRDefault="00F157D4" w:rsidP="00F157D4">
      <w:pPr>
        <w:pStyle w:val="ListParagraph"/>
        <w:numPr>
          <w:ilvl w:val="1"/>
          <w:numId w:val="4"/>
        </w:numPr>
        <w:contextualSpacing w:val="0"/>
        <w:rPr>
          <w:rFonts w:asciiTheme="majorHAnsi" w:eastAsia="Times New Roman" w:hAnsiTheme="majorHAnsi" w:cs="Times New Roman"/>
        </w:rPr>
      </w:pPr>
      <w:r>
        <w:rPr>
          <w:rFonts w:asciiTheme="majorHAnsi" w:eastAsia="Times New Roman" w:hAnsiTheme="majorHAnsi"/>
        </w:rPr>
        <w:t>Should</w:t>
      </w:r>
      <w:r w:rsidRPr="00DD2E13">
        <w:rPr>
          <w:rFonts w:asciiTheme="majorHAnsi" w:eastAsia="Times New Roman" w:hAnsiTheme="majorHAnsi"/>
        </w:rPr>
        <w:t xml:space="preserve"> there be </w:t>
      </w:r>
      <w:r>
        <w:rPr>
          <w:rFonts w:asciiTheme="majorHAnsi" w:eastAsia="Times New Roman" w:hAnsiTheme="majorHAnsi"/>
        </w:rPr>
        <w:t>m</w:t>
      </w:r>
      <w:r w:rsidRPr="00DD2E13">
        <w:rPr>
          <w:rFonts w:asciiTheme="majorHAnsi" w:eastAsia="Times New Roman" w:hAnsiTheme="majorHAnsi"/>
        </w:rPr>
        <w:t>ake whole payments for extremely high fuel costs during EEA3?</w:t>
      </w:r>
    </w:p>
    <w:p w14:paraId="684108CD" w14:textId="4C10D3BC" w:rsidR="00F157D4" w:rsidRDefault="00F157D4" w:rsidP="000640D0">
      <w:pPr>
        <w:numPr>
          <w:ilvl w:val="1"/>
          <w:numId w:val="4"/>
        </w:numPr>
        <w:contextualSpacing/>
        <w:rPr>
          <w:rFonts w:asciiTheme="majorHAnsi" w:hAnsiTheme="majorHAnsi" w:cs="Calibri Light"/>
        </w:rPr>
      </w:pPr>
      <w:r>
        <w:rPr>
          <w:rFonts w:asciiTheme="majorHAnsi" w:hAnsiTheme="majorHAnsi" w:cs="Calibri Light"/>
        </w:rPr>
        <w:t>How should the $2.5M cap of default uplift per month be changed?</w:t>
      </w:r>
    </w:p>
    <w:p w14:paraId="3C97C0B1" w14:textId="15CDA1CF" w:rsidR="00F157D4" w:rsidRDefault="00F157D4" w:rsidP="000640D0">
      <w:pPr>
        <w:numPr>
          <w:ilvl w:val="1"/>
          <w:numId w:val="4"/>
        </w:numPr>
        <w:contextualSpacing/>
        <w:rPr>
          <w:rFonts w:asciiTheme="majorHAnsi" w:hAnsiTheme="majorHAnsi" w:cs="Calibri Light"/>
        </w:rPr>
      </w:pPr>
      <w:r>
        <w:rPr>
          <w:rFonts w:asciiTheme="majorHAnsi" w:hAnsiTheme="majorHAnsi" w:cs="Calibri Light"/>
        </w:rPr>
        <w:t xml:space="preserve">Should money pulled from CARD revenue be included in determining default uplift? </w:t>
      </w:r>
    </w:p>
    <w:p w14:paraId="05D3E672" w14:textId="77777777" w:rsidR="00093647" w:rsidRDefault="00093647" w:rsidP="00093647">
      <w:pPr>
        <w:pStyle w:val="ListParagraph"/>
        <w:numPr>
          <w:ilvl w:val="1"/>
          <w:numId w:val="4"/>
        </w:numPr>
        <w:rPr>
          <w:rFonts w:ascii="Calibri Light" w:eastAsia="Times New Roman" w:hAnsi="Calibri Light" w:cs="Times New Roman"/>
        </w:rPr>
      </w:pPr>
      <w:r>
        <w:rPr>
          <w:rFonts w:ascii="Calibri Light" w:eastAsia="Times New Roman" w:hAnsi="Calibri Light"/>
        </w:rPr>
        <w:t>How do we ensure that generation resources are being compensated for firm fuel arrangements?</w:t>
      </w:r>
    </w:p>
    <w:p w14:paraId="0CC55260" w14:textId="0163D7EE" w:rsidR="00093647" w:rsidRPr="00432050" w:rsidRDefault="00432050" w:rsidP="00807AEC">
      <w:pPr>
        <w:pStyle w:val="ListParagraph"/>
        <w:numPr>
          <w:ilvl w:val="1"/>
          <w:numId w:val="4"/>
        </w:numPr>
        <w:rPr>
          <w:rFonts w:asciiTheme="majorHAnsi" w:hAnsiTheme="majorHAnsi" w:cs="Calibri Light"/>
        </w:rPr>
      </w:pPr>
      <w:r w:rsidRPr="00432050">
        <w:rPr>
          <w:rFonts w:ascii="Calibri Light" w:eastAsia="Times New Roman" w:hAnsi="Calibri Light"/>
        </w:rPr>
        <w:t xml:space="preserve">Should credit exposure calculations be based on net DA and RT activity using preliminary RT pricing and net DART daily invoices, instead of extrapolations from recent activity exposure with RT and DA activity invoiced separately on the staggered timeline they are now invoiced on? Compare with how it is done in other ISOs. </w:t>
      </w:r>
    </w:p>
    <w:p w14:paraId="66E6D8C7" w14:textId="77777777" w:rsidR="000640D0" w:rsidRPr="00DD2E13" w:rsidRDefault="000640D0" w:rsidP="000640D0">
      <w:pPr>
        <w:rPr>
          <w:rFonts w:asciiTheme="majorHAnsi" w:hAnsiTheme="majorHAnsi"/>
        </w:rPr>
      </w:pPr>
    </w:p>
    <w:p w14:paraId="24401EF1" w14:textId="22409423" w:rsidR="00F157D4" w:rsidRPr="00432050" w:rsidRDefault="00F157D4" w:rsidP="00F157D4">
      <w:pPr>
        <w:contextualSpacing/>
        <w:rPr>
          <w:rFonts w:asciiTheme="majorHAnsi" w:hAnsiTheme="majorHAnsi" w:cs="Calibri Light"/>
          <w:b/>
          <w:bCs/>
          <w:sz w:val="24"/>
          <w:szCs w:val="24"/>
        </w:rPr>
      </w:pPr>
      <w:bookmarkStart w:id="6" w:name="_Hlk65537941"/>
      <w:r w:rsidRPr="00432050">
        <w:rPr>
          <w:rFonts w:asciiTheme="majorHAnsi" w:hAnsiTheme="majorHAnsi" w:cs="Calibri Light"/>
          <w:b/>
          <w:bCs/>
          <w:sz w:val="24"/>
          <w:szCs w:val="24"/>
        </w:rPr>
        <w:t xml:space="preserve">Items </w:t>
      </w:r>
      <w:r w:rsidRPr="00432050">
        <w:rPr>
          <w:rFonts w:asciiTheme="majorHAnsi" w:hAnsiTheme="majorHAnsi" w:cs="Calibri Light"/>
          <w:b/>
          <w:bCs/>
          <w:sz w:val="24"/>
          <w:szCs w:val="24"/>
        </w:rPr>
        <w:t>raised by WMS members</w:t>
      </w:r>
      <w:r w:rsidRPr="00432050">
        <w:rPr>
          <w:rFonts w:asciiTheme="majorHAnsi" w:hAnsiTheme="majorHAnsi" w:cs="Calibri Light"/>
          <w:b/>
          <w:bCs/>
          <w:sz w:val="24"/>
          <w:szCs w:val="24"/>
        </w:rPr>
        <w:t xml:space="preserve"> that are either Out of Scope or being discussed at higher level</w:t>
      </w:r>
      <w:bookmarkEnd w:id="6"/>
      <w:r w:rsidRPr="00432050">
        <w:rPr>
          <w:rFonts w:asciiTheme="majorHAnsi" w:hAnsiTheme="majorHAnsi" w:cs="Calibri Light"/>
          <w:b/>
          <w:bCs/>
          <w:sz w:val="24"/>
          <w:szCs w:val="24"/>
        </w:rPr>
        <w:t>s</w:t>
      </w:r>
    </w:p>
    <w:p w14:paraId="4AEFC39D"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there be enforceable standards for summer and winter weatherization to account for extreme temperatures in both seasons?</w:t>
      </w:r>
    </w:p>
    <w:p w14:paraId="6B30437C"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there be a set reliability requirement?</w:t>
      </w:r>
    </w:p>
    <w:p w14:paraId="3599EA01"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 xml:space="preserve">Should DSP circuits be granular enough to allow for rotating outages? Compare how different utilities managed load shed. </w:t>
      </w:r>
      <w:r w:rsidRPr="00DD2E13">
        <w:rPr>
          <w:rFonts w:asciiTheme="majorHAnsi" w:eastAsia="Times New Roman" w:hAnsiTheme="majorHAnsi"/>
        </w:rPr>
        <w:t>What amount of load loss prohibits rolling black out? </w:t>
      </w:r>
    </w:p>
    <w:p w14:paraId="6CB2E8E0"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 xml:space="preserve">Should there be a formal coordination process between the entities responsible for regulating electricity, water, and natural gas? </w:t>
      </w:r>
    </w:p>
    <w:p w14:paraId="269CC247"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there be a uniform process for identifying and updating critical infrastructure across all industries that are needed in producing electricity, gas, and water?</w:t>
      </w:r>
    </w:p>
    <w:p w14:paraId="66D5DCA8"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there be a statewide communication mechanism to provide information in easy-to-understand terms for consumers before and during emergency event.</w:t>
      </w:r>
    </w:p>
    <w:p w14:paraId="357F0215"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products that directly expose residential consumers to wholesale market prices be allowed?</w:t>
      </w:r>
    </w:p>
    <w:p w14:paraId="647FAC6E"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Request for an overall assessment and root cause analysis of this event (submitter provided comments and questions regarding the process and content for the assessment)</w:t>
      </w:r>
    </w:p>
    <w:p w14:paraId="1106D8C5"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Request for Review of:</w:t>
      </w:r>
    </w:p>
    <w:p w14:paraId="4EB6CB1E" w14:textId="77777777" w:rsidR="00F157D4" w:rsidRPr="00DD2E13" w:rsidRDefault="00F157D4" w:rsidP="00F157D4">
      <w:pPr>
        <w:numPr>
          <w:ilvl w:val="2"/>
          <w:numId w:val="4"/>
        </w:numPr>
        <w:contextualSpacing/>
        <w:rPr>
          <w:rFonts w:asciiTheme="majorHAnsi" w:hAnsiTheme="majorHAnsi" w:cs="Calibri Light"/>
        </w:rPr>
      </w:pPr>
      <w:r w:rsidRPr="00DD2E13">
        <w:rPr>
          <w:rFonts w:asciiTheme="majorHAnsi" w:hAnsiTheme="majorHAnsi" w:cs="Calibri Light"/>
        </w:rPr>
        <w:t>ERCOT governance structure and identification of potential improvements to ERCOT bylaws and stakeholder process</w:t>
      </w:r>
    </w:p>
    <w:p w14:paraId="559B17A9" w14:textId="77777777" w:rsidR="00F157D4" w:rsidRPr="00DD2E13" w:rsidRDefault="00F157D4" w:rsidP="00F157D4">
      <w:pPr>
        <w:numPr>
          <w:ilvl w:val="2"/>
          <w:numId w:val="4"/>
        </w:numPr>
        <w:contextualSpacing/>
        <w:rPr>
          <w:rFonts w:asciiTheme="majorHAnsi" w:hAnsiTheme="majorHAnsi" w:cs="Calibri Light"/>
        </w:rPr>
      </w:pPr>
      <w:r w:rsidRPr="00DD2E13">
        <w:rPr>
          <w:rFonts w:asciiTheme="majorHAnsi" w:hAnsiTheme="majorHAnsi" w:cs="Calibri Light"/>
        </w:rPr>
        <w:t>ERCOT communications to the public and to stakeholders before, during, and after the event and identification of communication plan improvements</w:t>
      </w:r>
    </w:p>
    <w:p w14:paraId="39E79F76" w14:textId="77777777" w:rsidR="00F157D4" w:rsidRPr="00DD2E13" w:rsidRDefault="00F157D4" w:rsidP="00F157D4">
      <w:pPr>
        <w:numPr>
          <w:ilvl w:val="2"/>
          <w:numId w:val="4"/>
        </w:numPr>
        <w:contextualSpacing/>
        <w:rPr>
          <w:rFonts w:asciiTheme="majorHAnsi" w:hAnsiTheme="majorHAnsi" w:cs="Calibri Light"/>
        </w:rPr>
      </w:pPr>
      <w:r w:rsidRPr="00DD2E13">
        <w:rPr>
          <w:rFonts w:asciiTheme="majorHAnsi" w:hAnsiTheme="majorHAnsi" w:cs="Calibri Light"/>
        </w:rPr>
        <w:t>ERCOT’s emergency response plan and role in emergency preparedness and response before, during, and after the event; identification of process improvements</w:t>
      </w:r>
    </w:p>
    <w:p w14:paraId="05DD4F62"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Request for benchmarking effort with other North American RTOs and ISOs to identify best practices and improvement opportunities in topics from post-event assessment</w:t>
      </w:r>
    </w:p>
    <w:p w14:paraId="163B0A17"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there be enhancements to the Gas Electric Working Group scope and activities to improve participation and effectiveness? Are the protocol 3.21.1 requirements regarding gas pipeline coordination for summer preparedness effective and are similar requirements for winter preparedness needed?</w:t>
      </w:r>
    </w:p>
    <w:p w14:paraId="71FEE3A0" w14:textId="77777777" w:rsidR="00F157D4" w:rsidRPr="00DD2E13" w:rsidRDefault="00F157D4" w:rsidP="00F157D4">
      <w:pPr>
        <w:numPr>
          <w:ilvl w:val="1"/>
          <w:numId w:val="4"/>
        </w:numPr>
        <w:contextualSpacing/>
        <w:rPr>
          <w:rFonts w:asciiTheme="majorHAnsi" w:hAnsiTheme="majorHAnsi" w:cs="Calibri Light"/>
        </w:rPr>
      </w:pPr>
      <w:proofErr w:type="gramStart"/>
      <w:r w:rsidRPr="00DD2E13">
        <w:rPr>
          <w:rFonts w:asciiTheme="majorHAnsi" w:hAnsiTheme="majorHAnsi" w:cs="Calibri Light"/>
        </w:rPr>
        <w:t>Are</w:t>
      </w:r>
      <w:proofErr w:type="gramEnd"/>
      <w:r w:rsidRPr="00DD2E13">
        <w:rPr>
          <w:rFonts w:asciiTheme="majorHAnsi" w:hAnsiTheme="majorHAnsi" w:cs="Calibri Light"/>
        </w:rPr>
        <w:t xml:space="preserve"> existing winter weatherization related ERCOT requirements, preparations, and processes, including protocol 3.21, sufficient and are there any gaps or improvements that should be considered, including standardized requirements?</w:t>
      </w:r>
    </w:p>
    <w:p w14:paraId="5A6F7812" w14:textId="6904CC29" w:rsidR="00F157D4"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 xml:space="preserve">Request to review the availability of </w:t>
      </w:r>
      <w:proofErr w:type="spellStart"/>
      <w:r w:rsidRPr="00DD2E13">
        <w:rPr>
          <w:rFonts w:asciiTheme="majorHAnsi" w:hAnsiTheme="majorHAnsi" w:cs="Calibri Light"/>
        </w:rPr>
        <w:t>blackstart</w:t>
      </w:r>
      <w:proofErr w:type="spellEnd"/>
      <w:r w:rsidRPr="00DD2E13">
        <w:rPr>
          <w:rFonts w:asciiTheme="majorHAnsi" w:hAnsiTheme="majorHAnsi" w:cs="Calibri Light"/>
        </w:rPr>
        <w:t xml:space="preserve"> units and consider potential process improvements including priority for non-curtailment of gas supply to ensure availability during extreme weather events</w:t>
      </w:r>
    </w:p>
    <w:p w14:paraId="5AEB36F0" w14:textId="77777777" w:rsidR="00F157D4" w:rsidRPr="00F157D4" w:rsidRDefault="00F157D4" w:rsidP="00F157D4">
      <w:pPr>
        <w:numPr>
          <w:ilvl w:val="1"/>
          <w:numId w:val="4"/>
        </w:numPr>
        <w:contextualSpacing/>
        <w:rPr>
          <w:rFonts w:asciiTheme="majorHAnsi" w:hAnsiTheme="majorHAnsi" w:cs="Calibri Light"/>
        </w:rPr>
      </w:pPr>
      <w:r w:rsidRPr="00F157D4">
        <w:rPr>
          <w:rFonts w:asciiTheme="majorHAnsi" w:hAnsiTheme="majorHAnsi" w:cs="Calibri Light"/>
        </w:rPr>
        <w:t>Should critical infrastructure be prohibited from participating in demand response programs, at least during severe weather events?</w:t>
      </w:r>
    </w:p>
    <w:p w14:paraId="3639DCA0"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LCAP be capped at $9k?</w:t>
      </w:r>
    </w:p>
    <w:p w14:paraId="7F9675CF"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Should there be different PRC EEA trigger point &amp; ORDC minimum reserves levels for winter and summer given potential for different events?</w:t>
      </w:r>
    </w:p>
    <w:p w14:paraId="7B0E9DDC" w14:textId="77777777" w:rsidR="00F157D4" w:rsidRPr="00DD2E13" w:rsidRDefault="00F157D4" w:rsidP="00F157D4">
      <w:pPr>
        <w:numPr>
          <w:ilvl w:val="1"/>
          <w:numId w:val="4"/>
        </w:numPr>
        <w:contextualSpacing/>
        <w:rPr>
          <w:rFonts w:asciiTheme="majorHAnsi" w:hAnsiTheme="majorHAnsi" w:cs="Calibri Light"/>
        </w:rPr>
      </w:pPr>
      <w:r w:rsidRPr="00DD2E13">
        <w:rPr>
          <w:rFonts w:asciiTheme="majorHAnsi" w:hAnsiTheme="majorHAnsi" w:cs="Calibri Light"/>
        </w:rPr>
        <w:t xml:space="preserve">How should intermittent nature of renewable resources be accounted for to ensure proper dispatchable capacity is available to meet energy demands </w:t>
      </w:r>
    </w:p>
    <w:p w14:paraId="02834BC2" w14:textId="5F61C45A" w:rsidR="00432050" w:rsidRPr="00432050" w:rsidRDefault="00432050" w:rsidP="00432050">
      <w:pPr>
        <w:numPr>
          <w:ilvl w:val="1"/>
          <w:numId w:val="4"/>
        </w:numPr>
        <w:contextualSpacing/>
        <w:rPr>
          <w:rFonts w:asciiTheme="majorHAnsi" w:hAnsiTheme="majorHAnsi" w:cs="Calibri Light"/>
        </w:rPr>
      </w:pPr>
      <w:r w:rsidRPr="00432050">
        <w:rPr>
          <w:rFonts w:asciiTheme="majorHAnsi" w:hAnsiTheme="majorHAnsi" w:cs="Calibri Light"/>
        </w:rPr>
        <w:t xml:space="preserve">Should ERCOT’s conservation appeal during </w:t>
      </w:r>
      <w:proofErr w:type="gramStart"/>
      <w:r w:rsidRPr="00432050">
        <w:rPr>
          <w:rFonts w:asciiTheme="majorHAnsi" w:hAnsiTheme="majorHAnsi" w:cs="Calibri Light"/>
        </w:rPr>
        <w:t>winter</w:t>
      </w:r>
      <w:r>
        <w:rPr>
          <w:rFonts w:asciiTheme="majorHAnsi" w:hAnsiTheme="majorHAnsi" w:cs="Calibri Light"/>
        </w:rPr>
        <w:t>-</w:t>
      </w:r>
      <w:r w:rsidRPr="00432050">
        <w:rPr>
          <w:rFonts w:asciiTheme="majorHAnsi" w:hAnsiTheme="majorHAnsi" w:cs="Calibri Light"/>
        </w:rPr>
        <w:t>time</w:t>
      </w:r>
      <w:proofErr w:type="gramEnd"/>
      <w:r w:rsidRPr="00432050">
        <w:rPr>
          <w:rFonts w:asciiTheme="majorHAnsi" w:hAnsiTheme="majorHAnsi" w:cs="Calibri Light"/>
        </w:rPr>
        <w:t xml:space="preserve"> include a defined period for conservation, instead of a blanket request to appeal without a defined time period for conservation?</w:t>
      </w:r>
    </w:p>
    <w:p w14:paraId="4A4D11A7" w14:textId="77777777" w:rsidR="00093647" w:rsidRPr="00DD2E13" w:rsidRDefault="00093647" w:rsidP="00093647">
      <w:pPr>
        <w:numPr>
          <w:ilvl w:val="1"/>
          <w:numId w:val="4"/>
        </w:numPr>
        <w:contextualSpacing/>
        <w:rPr>
          <w:rFonts w:asciiTheme="majorHAnsi" w:hAnsiTheme="majorHAnsi" w:cs="Calibri Light"/>
        </w:rPr>
      </w:pPr>
      <w:r w:rsidRPr="00DD2E13">
        <w:rPr>
          <w:rFonts w:asciiTheme="majorHAnsi" w:hAnsiTheme="majorHAnsi" w:cs="Calibri Light"/>
        </w:rPr>
        <w:t>To harden critical infrastructure should</w:t>
      </w:r>
    </w:p>
    <w:p w14:paraId="09AB1DD8" w14:textId="77777777" w:rsidR="00093647" w:rsidRPr="00DD2E13" w:rsidRDefault="00093647" w:rsidP="00093647">
      <w:pPr>
        <w:numPr>
          <w:ilvl w:val="2"/>
          <w:numId w:val="4"/>
        </w:numPr>
        <w:contextualSpacing/>
        <w:rPr>
          <w:rFonts w:asciiTheme="majorHAnsi" w:hAnsiTheme="majorHAnsi" w:cs="Calibri Light"/>
        </w:rPr>
      </w:pPr>
      <w:r w:rsidRPr="00DD2E13">
        <w:rPr>
          <w:rFonts w:asciiTheme="majorHAnsi" w:hAnsiTheme="majorHAnsi" w:cs="Calibri Light"/>
        </w:rPr>
        <w:t xml:space="preserve">ERS be expanded </w:t>
      </w:r>
    </w:p>
    <w:p w14:paraId="04A4A9B6" w14:textId="2B072EC5" w:rsidR="00093647" w:rsidRPr="00DD2E13" w:rsidRDefault="00093647" w:rsidP="00093647">
      <w:pPr>
        <w:numPr>
          <w:ilvl w:val="2"/>
          <w:numId w:val="4"/>
        </w:numPr>
        <w:contextualSpacing/>
        <w:rPr>
          <w:rFonts w:asciiTheme="majorHAnsi" w:hAnsiTheme="majorHAnsi" w:cs="Calibri Light"/>
        </w:rPr>
      </w:pPr>
      <w:r w:rsidRPr="00DD2E13">
        <w:rPr>
          <w:rFonts w:asciiTheme="majorHAnsi" w:hAnsiTheme="majorHAnsi" w:cs="Calibri Light"/>
        </w:rPr>
        <w:t xml:space="preserve">new program </w:t>
      </w:r>
      <w:r w:rsidR="00432050" w:rsidRPr="00DD2E13">
        <w:rPr>
          <w:rFonts w:asciiTheme="majorHAnsi" w:hAnsiTheme="majorHAnsi" w:cs="Calibri Light"/>
        </w:rPr>
        <w:t>like</w:t>
      </w:r>
      <w:r w:rsidRPr="00DD2E13">
        <w:rPr>
          <w:rFonts w:asciiTheme="majorHAnsi" w:hAnsiTheme="majorHAnsi" w:cs="Calibri Light"/>
        </w:rPr>
        <w:t xml:space="preserve"> ERS be created to support DERs</w:t>
      </w:r>
    </w:p>
    <w:p w14:paraId="3C0F4E1C" w14:textId="77777777" w:rsidR="00093647" w:rsidRPr="00DD2E13" w:rsidRDefault="00093647" w:rsidP="00093647">
      <w:pPr>
        <w:numPr>
          <w:ilvl w:val="2"/>
          <w:numId w:val="4"/>
        </w:numPr>
        <w:contextualSpacing/>
        <w:rPr>
          <w:rFonts w:asciiTheme="majorHAnsi" w:hAnsiTheme="majorHAnsi" w:cs="Calibri Light"/>
        </w:rPr>
      </w:pPr>
      <w:r w:rsidRPr="00DD2E13">
        <w:rPr>
          <w:rFonts w:asciiTheme="majorHAnsi" w:hAnsiTheme="majorHAnsi"/>
        </w:rPr>
        <w:t>encourage stand-alone self-contained microgrids.</w:t>
      </w:r>
    </w:p>
    <w:p w14:paraId="32345B58" w14:textId="77777777" w:rsidR="00093647" w:rsidRPr="00DD2E13" w:rsidRDefault="00093647" w:rsidP="00093647">
      <w:pPr>
        <w:numPr>
          <w:ilvl w:val="2"/>
          <w:numId w:val="4"/>
        </w:numPr>
        <w:contextualSpacing/>
        <w:rPr>
          <w:rFonts w:asciiTheme="majorHAnsi" w:hAnsiTheme="majorHAnsi" w:cs="Calibri Light"/>
        </w:rPr>
      </w:pPr>
      <w:r w:rsidRPr="00DD2E13">
        <w:rPr>
          <w:rFonts w:asciiTheme="majorHAnsi" w:hAnsiTheme="majorHAnsi"/>
        </w:rPr>
        <w:t>encourage installation of fuel storage at or near gas plants</w:t>
      </w:r>
    </w:p>
    <w:p w14:paraId="1DA10A46" w14:textId="77777777" w:rsidR="00093647" w:rsidRPr="00DD2E13" w:rsidRDefault="00093647" w:rsidP="00093647">
      <w:pPr>
        <w:numPr>
          <w:ilvl w:val="2"/>
          <w:numId w:val="4"/>
        </w:numPr>
        <w:contextualSpacing/>
        <w:rPr>
          <w:rFonts w:asciiTheme="majorHAnsi" w:hAnsiTheme="majorHAnsi" w:cs="Calibri Light"/>
        </w:rPr>
      </w:pPr>
      <w:r w:rsidRPr="00DD2E13">
        <w:rPr>
          <w:rFonts w:asciiTheme="majorHAnsi" w:hAnsiTheme="majorHAnsi"/>
        </w:rPr>
        <w:t>Install backup batteries/DG at critical facilities</w:t>
      </w:r>
    </w:p>
    <w:p w14:paraId="455F69EC" w14:textId="77777777" w:rsidR="00C50ED4" w:rsidRPr="00093647" w:rsidRDefault="00C50ED4" w:rsidP="00093647">
      <w:pPr>
        <w:ind w:left="1080"/>
        <w:contextualSpacing/>
        <w:rPr>
          <w:rFonts w:asciiTheme="majorHAnsi" w:hAnsiTheme="majorHAnsi" w:cs="Calibri Light"/>
        </w:rPr>
      </w:pPr>
    </w:p>
    <w:sectPr w:rsidR="00C50ED4" w:rsidRPr="00093647" w:rsidSect="00093647">
      <w:pgSz w:w="12240" w:h="15840"/>
      <w:pgMar w:top="1152" w:right="9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45AE" w14:textId="77777777" w:rsidR="005069C2" w:rsidRDefault="005069C2" w:rsidP="004735F6">
      <w:r>
        <w:separator/>
      </w:r>
    </w:p>
  </w:endnote>
  <w:endnote w:type="continuationSeparator" w:id="0">
    <w:p w14:paraId="113B9046" w14:textId="77777777" w:rsidR="005069C2" w:rsidRDefault="005069C2" w:rsidP="0047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3435" w14:textId="77777777" w:rsidR="005069C2" w:rsidRDefault="005069C2" w:rsidP="004735F6">
      <w:r>
        <w:separator/>
      </w:r>
    </w:p>
  </w:footnote>
  <w:footnote w:type="continuationSeparator" w:id="0">
    <w:p w14:paraId="66205BD7" w14:textId="77777777" w:rsidR="005069C2" w:rsidRDefault="005069C2" w:rsidP="0047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3FA8"/>
    <w:multiLevelType w:val="hybridMultilevel"/>
    <w:tmpl w:val="BAFCD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7F7"/>
    <w:multiLevelType w:val="hybridMultilevel"/>
    <w:tmpl w:val="B21A2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3107546"/>
    <w:multiLevelType w:val="hybridMultilevel"/>
    <w:tmpl w:val="C2FA6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1F2B22"/>
    <w:multiLevelType w:val="hybridMultilevel"/>
    <w:tmpl w:val="5720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EC1550"/>
    <w:multiLevelType w:val="hybridMultilevel"/>
    <w:tmpl w:val="9672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046C8F"/>
    <w:multiLevelType w:val="hybridMultilevel"/>
    <w:tmpl w:val="F214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E7599B"/>
    <w:multiLevelType w:val="hybridMultilevel"/>
    <w:tmpl w:val="083EA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9B1F5F"/>
    <w:multiLevelType w:val="hybridMultilevel"/>
    <w:tmpl w:val="8A72A2F4"/>
    <w:lvl w:ilvl="0" w:tplc="E51E63F0">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F6"/>
    <w:rsid w:val="00027DCC"/>
    <w:rsid w:val="00045F32"/>
    <w:rsid w:val="000640D0"/>
    <w:rsid w:val="00093647"/>
    <w:rsid w:val="000D6D30"/>
    <w:rsid w:val="00117A94"/>
    <w:rsid w:val="00120177"/>
    <w:rsid w:val="001218CD"/>
    <w:rsid w:val="00137C69"/>
    <w:rsid w:val="001823A9"/>
    <w:rsid w:val="00187CD1"/>
    <w:rsid w:val="001C2794"/>
    <w:rsid w:val="0027248E"/>
    <w:rsid w:val="00300D34"/>
    <w:rsid w:val="00316E83"/>
    <w:rsid w:val="00370A27"/>
    <w:rsid w:val="00432050"/>
    <w:rsid w:val="004735F6"/>
    <w:rsid w:val="005069C2"/>
    <w:rsid w:val="00513640"/>
    <w:rsid w:val="00564C6F"/>
    <w:rsid w:val="005911BA"/>
    <w:rsid w:val="0062438A"/>
    <w:rsid w:val="00660A48"/>
    <w:rsid w:val="006F12AB"/>
    <w:rsid w:val="007634EF"/>
    <w:rsid w:val="007A3703"/>
    <w:rsid w:val="007A7AE5"/>
    <w:rsid w:val="0080367D"/>
    <w:rsid w:val="00845833"/>
    <w:rsid w:val="0087409C"/>
    <w:rsid w:val="008915B4"/>
    <w:rsid w:val="0091316E"/>
    <w:rsid w:val="00917AA9"/>
    <w:rsid w:val="00931C6E"/>
    <w:rsid w:val="009633DB"/>
    <w:rsid w:val="00974B60"/>
    <w:rsid w:val="00982655"/>
    <w:rsid w:val="009C7D97"/>
    <w:rsid w:val="009F0561"/>
    <w:rsid w:val="00A56D9D"/>
    <w:rsid w:val="00A717B6"/>
    <w:rsid w:val="00AC08D7"/>
    <w:rsid w:val="00AC0F79"/>
    <w:rsid w:val="00C50ED4"/>
    <w:rsid w:val="00C53C46"/>
    <w:rsid w:val="00CE1E5C"/>
    <w:rsid w:val="00D04D23"/>
    <w:rsid w:val="00D5262B"/>
    <w:rsid w:val="00D836A2"/>
    <w:rsid w:val="00DD2E13"/>
    <w:rsid w:val="00EE4776"/>
    <w:rsid w:val="00F11047"/>
    <w:rsid w:val="00F157D4"/>
    <w:rsid w:val="00FE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AC9E4"/>
  <w15:chartTrackingRefBased/>
  <w15:docId w15:val="{67B1766E-C58A-420A-AB37-06DA9D34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F6"/>
    <w:pPr>
      <w:tabs>
        <w:tab w:val="center" w:pos="4680"/>
        <w:tab w:val="right" w:pos="9360"/>
      </w:tabs>
    </w:pPr>
  </w:style>
  <w:style w:type="character" w:customStyle="1" w:styleId="HeaderChar">
    <w:name w:val="Header Char"/>
    <w:basedOn w:val="DefaultParagraphFont"/>
    <w:link w:val="Header"/>
    <w:uiPriority w:val="99"/>
    <w:rsid w:val="004735F6"/>
  </w:style>
  <w:style w:type="paragraph" w:styleId="Footer">
    <w:name w:val="footer"/>
    <w:basedOn w:val="Normal"/>
    <w:link w:val="FooterChar"/>
    <w:uiPriority w:val="99"/>
    <w:unhideWhenUsed/>
    <w:rsid w:val="004735F6"/>
    <w:pPr>
      <w:tabs>
        <w:tab w:val="center" w:pos="4680"/>
        <w:tab w:val="right" w:pos="9360"/>
      </w:tabs>
    </w:pPr>
  </w:style>
  <w:style w:type="character" w:customStyle="1" w:styleId="FooterChar">
    <w:name w:val="Footer Char"/>
    <w:basedOn w:val="DefaultParagraphFont"/>
    <w:link w:val="Footer"/>
    <w:uiPriority w:val="99"/>
    <w:rsid w:val="004735F6"/>
  </w:style>
  <w:style w:type="paragraph" w:styleId="ListParagraph">
    <w:name w:val="List Paragraph"/>
    <w:basedOn w:val="Normal"/>
    <w:uiPriority w:val="34"/>
    <w:qFormat/>
    <w:rsid w:val="00C50ED4"/>
    <w:pPr>
      <w:ind w:left="720"/>
      <w:contextualSpacing/>
    </w:pPr>
  </w:style>
  <w:style w:type="paragraph" w:styleId="NoSpacing">
    <w:name w:val="No Spacing"/>
    <w:uiPriority w:val="1"/>
    <w:qFormat/>
    <w:rsid w:val="00CE1E5C"/>
    <w:pPr>
      <w:spacing w:after="0" w:line="240" w:lineRule="auto"/>
    </w:pPr>
  </w:style>
  <w:style w:type="paragraph" w:styleId="BalloonText">
    <w:name w:val="Balloon Text"/>
    <w:basedOn w:val="Normal"/>
    <w:link w:val="BalloonTextChar"/>
    <w:uiPriority w:val="99"/>
    <w:semiHidden/>
    <w:unhideWhenUsed/>
    <w:rsid w:val="00272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8E"/>
    <w:rPr>
      <w:rFonts w:ascii="Segoe UI" w:hAnsi="Segoe UI" w:cs="Segoe UI"/>
      <w:sz w:val="18"/>
      <w:szCs w:val="18"/>
    </w:rPr>
  </w:style>
  <w:style w:type="character" w:styleId="CommentReference">
    <w:name w:val="annotation reference"/>
    <w:basedOn w:val="DefaultParagraphFont"/>
    <w:uiPriority w:val="99"/>
    <w:semiHidden/>
    <w:unhideWhenUsed/>
    <w:rsid w:val="0062438A"/>
    <w:rPr>
      <w:sz w:val="16"/>
      <w:szCs w:val="16"/>
    </w:rPr>
  </w:style>
  <w:style w:type="paragraph" w:styleId="CommentText">
    <w:name w:val="annotation text"/>
    <w:basedOn w:val="Normal"/>
    <w:link w:val="CommentTextChar"/>
    <w:uiPriority w:val="99"/>
    <w:semiHidden/>
    <w:unhideWhenUsed/>
    <w:rsid w:val="0062438A"/>
    <w:rPr>
      <w:sz w:val="20"/>
      <w:szCs w:val="20"/>
    </w:rPr>
  </w:style>
  <w:style w:type="character" w:customStyle="1" w:styleId="CommentTextChar">
    <w:name w:val="Comment Text Char"/>
    <w:basedOn w:val="DefaultParagraphFont"/>
    <w:link w:val="CommentText"/>
    <w:uiPriority w:val="99"/>
    <w:semiHidden/>
    <w:rsid w:val="006243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438A"/>
    <w:rPr>
      <w:b/>
      <w:bCs/>
    </w:rPr>
  </w:style>
  <w:style w:type="character" w:customStyle="1" w:styleId="CommentSubjectChar">
    <w:name w:val="Comment Subject Char"/>
    <w:basedOn w:val="CommentTextChar"/>
    <w:link w:val="CommentSubject"/>
    <w:uiPriority w:val="99"/>
    <w:semiHidden/>
    <w:rsid w:val="0062438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4287">
      <w:bodyDiv w:val="1"/>
      <w:marLeft w:val="0"/>
      <w:marRight w:val="0"/>
      <w:marTop w:val="0"/>
      <w:marBottom w:val="0"/>
      <w:divBdr>
        <w:top w:val="none" w:sz="0" w:space="0" w:color="auto"/>
        <w:left w:val="none" w:sz="0" w:space="0" w:color="auto"/>
        <w:bottom w:val="none" w:sz="0" w:space="0" w:color="auto"/>
        <w:right w:val="none" w:sz="0" w:space="0" w:color="auto"/>
      </w:divBdr>
    </w:div>
    <w:div w:id="545876769">
      <w:bodyDiv w:val="1"/>
      <w:marLeft w:val="0"/>
      <w:marRight w:val="0"/>
      <w:marTop w:val="0"/>
      <w:marBottom w:val="0"/>
      <w:divBdr>
        <w:top w:val="none" w:sz="0" w:space="0" w:color="auto"/>
        <w:left w:val="none" w:sz="0" w:space="0" w:color="auto"/>
        <w:bottom w:val="none" w:sz="0" w:space="0" w:color="auto"/>
        <w:right w:val="none" w:sz="0" w:space="0" w:color="auto"/>
      </w:divBdr>
    </w:div>
    <w:div w:id="554436559">
      <w:bodyDiv w:val="1"/>
      <w:marLeft w:val="0"/>
      <w:marRight w:val="0"/>
      <w:marTop w:val="0"/>
      <w:marBottom w:val="0"/>
      <w:divBdr>
        <w:top w:val="none" w:sz="0" w:space="0" w:color="auto"/>
        <w:left w:val="none" w:sz="0" w:space="0" w:color="auto"/>
        <w:bottom w:val="none" w:sz="0" w:space="0" w:color="auto"/>
        <w:right w:val="none" w:sz="0" w:space="0" w:color="auto"/>
      </w:divBdr>
    </w:div>
    <w:div w:id="598607258">
      <w:bodyDiv w:val="1"/>
      <w:marLeft w:val="0"/>
      <w:marRight w:val="0"/>
      <w:marTop w:val="0"/>
      <w:marBottom w:val="0"/>
      <w:divBdr>
        <w:top w:val="none" w:sz="0" w:space="0" w:color="auto"/>
        <w:left w:val="none" w:sz="0" w:space="0" w:color="auto"/>
        <w:bottom w:val="none" w:sz="0" w:space="0" w:color="auto"/>
        <w:right w:val="none" w:sz="0" w:space="0" w:color="auto"/>
      </w:divBdr>
    </w:div>
    <w:div w:id="753824170">
      <w:bodyDiv w:val="1"/>
      <w:marLeft w:val="0"/>
      <w:marRight w:val="0"/>
      <w:marTop w:val="0"/>
      <w:marBottom w:val="0"/>
      <w:divBdr>
        <w:top w:val="none" w:sz="0" w:space="0" w:color="auto"/>
        <w:left w:val="none" w:sz="0" w:space="0" w:color="auto"/>
        <w:bottom w:val="none" w:sz="0" w:space="0" w:color="auto"/>
        <w:right w:val="none" w:sz="0" w:space="0" w:color="auto"/>
      </w:divBdr>
    </w:div>
    <w:div w:id="823549758">
      <w:bodyDiv w:val="1"/>
      <w:marLeft w:val="0"/>
      <w:marRight w:val="0"/>
      <w:marTop w:val="0"/>
      <w:marBottom w:val="0"/>
      <w:divBdr>
        <w:top w:val="none" w:sz="0" w:space="0" w:color="auto"/>
        <w:left w:val="none" w:sz="0" w:space="0" w:color="auto"/>
        <w:bottom w:val="none" w:sz="0" w:space="0" w:color="auto"/>
        <w:right w:val="none" w:sz="0" w:space="0" w:color="auto"/>
      </w:divBdr>
    </w:div>
    <w:div w:id="836386504">
      <w:bodyDiv w:val="1"/>
      <w:marLeft w:val="0"/>
      <w:marRight w:val="0"/>
      <w:marTop w:val="0"/>
      <w:marBottom w:val="0"/>
      <w:divBdr>
        <w:top w:val="none" w:sz="0" w:space="0" w:color="auto"/>
        <w:left w:val="none" w:sz="0" w:space="0" w:color="auto"/>
        <w:bottom w:val="none" w:sz="0" w:space="0" w:color="auto"/>
        <w:right w:val="none" w:sz="0" w:space="0" w:color="auto"/>
      </w:divBdr>
    </w:div>
    <w:div w:id="952443355">
      <w:bodyDiv w:val="1"/>
      <w:marLeft w:val="0"/>
      <w:marRight w:val="0"/>
      <w:marTop w:val="0"/>
      <w:marBottom w:val="0"/>
      <w:divBdr>
        <w:top w:val="none" w:sz="0" w:space="0" w:color="auto"/>
        <w:left w:val="none" w:sz="0" w:space="0" w:color="auto"/>
        <w:bottom w:val="none" w:sz="0" w:space="0" w:color="auto"/>
        <w:right w:val="none" w:sz="0" w:space="0" w:color="auto"/>
      </w:divBdr>
    </w:div>
    <w:div w:id="1041973416">
      <w:bodyDiv w:val="1"/>
      <w:marLeft w:val="0"/>
      <w:marRight w:val="0"/>
      <w:marTop w:val="0"/>
      <w:marBottom w:val="0"/>
      <w:divBdr>
        <w:top w:val="none" w:sz="0" w:space="0" w:color="auto"/>
        <w:left w:val="none" w:sz="0" w:space="0" w:color="auto"/>
        <w:bottom w:val="none" w:sz="0" w:space="0" w:color="auto"/>
        <w:right w:val="none" w:sz="0" w:space="0" w:color="auto"/>
      </w:divBdr>
    </w:div>
    <w:div w:id="1133329547">
      <w:bodyDiv w:val="1"/>
      <w:marLeft w:val="0"/>
      <w:marRight w:val="0"/>
      <w:marTop w:val="0"/>
      <w:marBottom w:val="0"/>
      <w:divBdr>
        <w:top w:val="none" w:sz="0" w:space="0" w:color="auto"/>
        <w:left w:val="none" w:sz="0" w:space="0" w:color="auto"/>
        <w:bottom w:val="none" w:sz="0" w:space="0" w:color="auto"/>
        <w:right w:val="none" w:sz="0" w:space="0" w:color="auto"/>
      </w:divBdr>
    </w:div>
    <w:div w:id="1227451077">
      <w:bodyDiv w:val="1"/>
      <w:marLeft w:val="0"/>
      <w:marRight w:val="0"/>
      <w:marTop w:val="0"/>
      <w:marBottom w:val="0"/>
      <w:divBdr>
        <w:top w:val="none" w:sz="0" w:space="0" w:color="auto"/>
        <w:left w:val="none" w:sz="0" w:space="0" w:color="auto"/>
        <w:bottom w:val="none" w:sz="0" w:space="0" w:color="auto"/>
        <w:right w:val="none" w:sz="0" w:space="0" w:color="auto"/>
      </w:divBdr>
    </w:div>
    <w:div w:id="1534491549">
      <w:bodyDiv w:val="1"/>
      <w:marLeft w:val="0"/>
      <w:marRight w:val="0"/>
      <w:marTop w:val="0"/>
      <w:marBottom w:val="0"/>
      <w:divBdr>
        <w:top w:val="none" w:sz="0" w:space="0" w:color="auto"/>
        <w:left w:val="none" w:sz="0" w:space="0" w:color="auto"/>
        <w:bottom w:val="none" w:sz="0" w:space="0" w:color="auto"/>
        <w:right w:val="none" w:sz="0" w:space="0" w:color="auto"/>
      </w:divBdr>
    </w:div>
    <w:div w:id="1610311211">
      <w:bodyDiv w:val="1"/>
      <w:marLeft w:val="0"/>
      <w:marRight w:val="0"/>
      <w:marTop w:val="0"/>
      <w:marBottom w:val="0"/>
      <w:divBdr>
        <w:top w:val="none" w:sz="0" w:space="0" w:color="auto"/>
        <w:left w:val="none" w:sz="0" w:space="0" w:color="auto"/>
        <w:bottom w:val="none" w:sz="0" w:space="0" w:color="auto"/>
        <w:right w:val="none" w:sz="0" w:space="0" w:color="auto"/>
      </w:divBdr>
    </w:div>
    <w:div w:id="1680040472">
      <w:bodyDiv w:val="1"/>
      <w:marLeft w:val="0"/>
      <w:marRight w:val="0"/>
      <w:marTop w:val="0"/>
      <w:marBottom w:val="0"/>
      <w:divBdr>
        <w:top w:val="none" w:sz="0" w:space="0" w:color="auto"/>
        <w:left w:val="none" w:sz="0" w:space="0" w:color="auto"/>
        <w:bottom w:val="none" w:sz="0" w:space="0" w:color="auto"/>
        <w:right w:val="none" w:sz="0" w:space="0" w:color="auto"/>
      </w:divBdr>
    </w:div>
    <w:div w:id="1914391891">
      <w:bodyDiv w:val="1"/>
      <w:marLeft w:val="0"/>
      <w:marRight w:val="0"/>
      <w:marTop w:val="0"/>
      <w:marBottom w:val="0"/>
      <w:divBdr>
        <w:top w:val="none" w:sz="0" w:space="0" w:color="auto"/>
        <w:left w:val="none" w:sz="0" w:space="0" w:color="auto"/>
        <w:bottom w:val="none" w:sz="0" w:space="0" w:color="auto"/>
        <w:right w:val="none" w:sz="0" w:space="0" w:color="auto"/>
      </w:divBdr>
    </w:div>
    <w:div w:id="1917007605">
      <w:bodyDiv w:val="1"/>
      <w:marLeft w:val="0"/>
      <w:marRight w:val="0"/>
      <w:marTop w:val="0"/>
      <w:marBottom w:val="0"/>
      <w:divBdr>
        <w:top w:val="none" w:sz="0" w:space="0" w:color="auto"/>
        <w:left w:val="none" w:sz="0" w:space="0" w:color="auto"/>
        <w:bottom w:val="none" w:sz="0" w:space="0" w:color="auto"/>
        <w:right w:val="none" w:sz="0" w:space="0" w:color="auto"/>
      </w:divBdr>
    </w:div>
    <w:div w:id="1945914780">
      <w:bodyDiv w:val="1"/>
      <w:marLeft w:val="0"/>
      <w:marRight w:val="0"/>
      <w:marTop w:val="0"/>
      <w:marBottom w:val="0"/>
      <w:divBdr>
        <w:top w:val="none" w:sz="0" w:space="0" w:color="auto"/>
        <w:left w:val="none" w:sz="0" w:space="0" w:color="auto"/>
        <w:bottom w:val="none" w:sz="0" w:space="0" w:color="auto"/>
        <w:right w:val="none" w:sz="0" w:space="0" w:color="auto"/>
      </w:divBdr>
    </w:div>
    <w:div w:id="20828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3443-1866-41C3-8B3B-03448ED8A0D6}">
  <ds:schemaRefs>
    <ds:schemaRef ds:uri="http://schemas.microsoft.com/sharepoint/v3/contenttype/forms"/>
  </ds:schemaRefs>
</ds:datastoreItem>
</file>

<file path=customXml/itemProps2.xml><?xml version="1.0" encoding="utf-8"?>
<ds:datastoreItem xmlns:ds="http://schemas.openxmlformats.org/officeDocument/2006/customXml" ds:itemID="{39D9EE5D-101E-495A-BD5B-1A2CBC0BE0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EDD2A-E772-43A6-A15E-B64209F252A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55235DD-7B18-4F58-A0AF-447C444A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9EC2C8-D9D7-48C2-BF0A-22F69BEF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s262089</dc:creator>
  <cp:keywords/>
  <dc:description/>
  <cp:lastModifiedBy>Surendran, Resmi SENA-STX/A/7</cp:lastModifiedBy>
  <cp:revision>4</cp:revision>
  <dcterms:created xsi:type="dcterms:W3CDTF">2021-03-04T21:09:00Z</dcterms:created>
  <dcterms:modified xsi:type="dcterms:W3CDTF">2021-03-04T21:29:00Z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5a5bdbef-15ae-4b4c-9f7f-1432e2e53343</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y fmtid="{D5CDD505-2E9C-101B-9397-08002B2CF9AE}" pid="7" name="ContentTypeId">
    <vt:lpwstr>0x0101000E550AB4A1B11D40BA93648E453A38A9</vt:lpwstr>
  </property>
</Properties>
</file>