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D3CE62" w14:textId="77777777" w:rsidR="00CE1E5C" w:rsidRPr="00DD2E13" w:rsidRDefault="000D6D30" w:rsidP="00CE1E5C">
      <w:pPr>
        <w:pStyle w:val="NoSpacing"/>
        <w:rPr>
          <w:rFonts w:asciiTheme="majorHAnsi" w:hAnsiTheme="majorHAnsi"/>
        </w:rPr>
      </w:pPr>
      <w:r w:rsidRPr="00DD2E13">
        <w:rPr>
          <w:rFonts w:asciiTheme="majorHAnsi" w:hAnsiTheme="majorHAnsi"/>
        </w:rPr>
        <w:t xml:space="preserve">Resmi </w:t>
      </w:r>
      <w:r w:rsidR="00931C6E" w:rsidRPr="00DD2E13">
        <w:rPr>
          <w:rFonts w:asciiTheme="majorHAnsi" w:hAnsiTheme="majorHAnsi"/>
        </w:rPr>
        <w:t xml:space="preserve">Surendran, WMS </w:t>
      </w:r>
      <w:r w:rsidR="00CE1E5C" w:rsidRPr="00DD2E13">
        <w:rPr>
          <w:rFonts w:asciiTheme="majorHAnsi" w:hAnsiTheme="majorHAnsi"/>
        </w:rPr>
        <w:t>Chair</w:t>
      </w:r>
    </w:p>
    <w:p w14:paraId="72A16B0D" w14:textId="77777777" w:rsidR="00CE1E5C" w:rsidRPr="00DD2E13" w:rsidRDefault="00931C6E" w:rsidP="00CE1E5C">
      <w:pPr>
        <w:pStyle w:val="NoSpacing"/>
        <w:rPr>
          <w:rFonts w:asciiTheme="majorHAnsi" w:hAnsiTheme="majorHAnsi"/>
        </w:rPr>
      </w:pPr>
      <w:r w:rsidRPr="00DD2E13">
        <w:rPr>
          <w:rFonts w:asciiTheme="majorHAnsi" w:hAnsiTheme="majorHAnsi"/>
        </w:rPr>
        <w:t xml:space="preserve">Ivan Velasquez, WMS </w:t>
      </w:r>
      <w:r w:rsidR="00CE1E5C" w:rsidRPr="00DD2E13">
        <w:rPr>
          <w:rFonts w:asciiTheme="majorHAnsi" w:hAnsiTheme="majorHAnsi"/>
        </w:rPr>
        <w:t>VC</w:t>
      </w:r>
    </w:p>
    <w:p w14:paraId="3594CFAE" w14:textId="77777777" w:rsidR="00CE1E5C" w:rsidRPr="00DD2E13" w:rsidRDefault="00CE1E5C" w:rsidP="00CE1E5C">
      <w:pPr>
        <w:pStyle w:val="NoSpacing"/>
        <w:rPr>
          <w:rFonts w:asciiTheme="majorHAnsi" w:hAnsiTheme="majorHAnsi"/>
        </w:rPr>
      </w:pPr>
    </w:p>
    <w:p w14:paraId="28F006BA" w14:textId="059991F3" w:rsidR="000640D0" w:rsidRPr="00DD2E13" w:rsidRDefault="000640D0" w:rsidP="000640D0">
      <w:pPr>
        <w:jc w:val="center"/>
        <w:rPr>
          <w:rFonts w:asciiTheme="majorHAnsi" w:hAnsiTheme="majorHAnsi"/>
          <w:b/>
        </w:rPr>
      </w:pPr>
      <w:r w:rsidRPr="00DD2E13">
        <w:rPr>
          <w:rFonts w:asciiTheme="majorHAnsi" w:hAnsiTheme="majorHAnsi"/>
          <w:b/>
        </w:rPr>
        <w:t xml:space="preserve">TAC Request: List of WMS Related Items </w:t>
      </w:r>
      <w:r w:rsidR="00D5262B">
        <w:rPr>
          <w:rFonts w:asciiTheme="majorHAnsi" w:hAnsiTheme="majorHAnsi"/>
          <w:b/>
        </w:rPr>
        <w:t>f</w:t>
      </w:r>
      <w:r w:rsidRPr="00DD2E13">
        <w:rPr>
          <w:rFonts w:asciiTheme="majorHAnsi" w:hAnsiTheme="majorHAnsi"/>
          <w:b/>
        </w:rPr>
        <w:t>rom February 2021 Weather Event</w:t>
      </w:r>
    </w:p>
    <w:p w14:paraId="1B3ED01C" w14:textId="77777777" w:rsidR="000640D0" w:rsidRPr="00DD2E13" w:rsidRDefault="000640D0" w:rsidP="000640D0">
      <w:pPr>
        <w:rPr>
          <w:rFonts w:asciiTheme="majorHAnsi" w:hAnsiTheme="majorHAnsi"/>
        </w:rPr>
      </w:pPr>
    </w:p>
    <w:p w14:paraId="53C28109" w14:textId="2AEF5859" w:rsidR="000640D0" w:rsidRPr="00DD2E13" w:rsidRDefault="000640D0" w:rsidP="000640D0">
      <w:pPr>
        <w:rPr>
          <w:rFonts w:asciiTheme="majorHAnsi" w:hAnsiTheme="majorHAnsi"/>
        </w:rPr>
      </w:pPr>
      <w:r w:rsidRPr="00DD2E13">
        <w:rPr>
          <w:rFonts w:asciiTheme="majorHAnsi" w:hAnsiTheme="majorHAnsi"/>
        </w:rPr>
        <w:t>Initial list of items that shows need for review of process/procedure/rule changes. The objective of creating the list is to identify area which need further review</w:t>
      </w:r>
      <w:bookmarkStart w:id="0" w:name="_GoBack"/>
      <w:bookmarkEnd w:id="0"/>
      <w:r w:rsidRPr="00DD2E13">
        <w:rPr>
          <w:rFonts w:asciiTheme="majorHAnsi" w:hAnsiTheme="majorHAnsi"/>
        </w:rPr>
        <w:t xml:space="preserve"> which are under the purview of WMS and its subgroups. The items which needs to be taken up higher level </w:t>
      </w:r>
      <w:r w:rsidR="00316E83" w:rsidRPr="00DD2E13">
        <w:rPr>
          <w:rFonts w:asciiTheme="majorHAnsi" w:hAnsiTheme="majorHAnsi"/>
        </w:rPr>
        <w:t xml:space="preserve">or at different subgroups </w:t>
      </w:r>
      <w:r w:rsidRPr="00DD2E13">
        <w:rPr>
          <w:rFonts w:asciiTheme="majorHAnsi" w:hAnsiTheme="majorHAnsi"/>
        </w:rPr>
        <w:t xml:space="preserve">are marked separately. TAC will create a consolidated list from all its subgroups </w:t>
      </w:r>
      <w:r w:rsidR="00AC0F79" w:rsidRPr="00DD2E13">
        <w:rPr>
          <w:rFonts w:asciiTheme="majorHAnsi" w:hAnsiTheme="majorHAnsi"/>
        </w:rPr>
        <w:t>and</w:t>
      </w:r>
      <w:r w:rsidRPr="00DD2E13">
        <w:rPr>
          <w:rFonts w:asciiTheme="majorHAnsi" w:hAnsiTheme="majorHAnsi"/>
        </w:rPr>
        <w:t xml:space="preserve"> determine major issues/low hanging fruits/parking lot items </w:t>
      </w:r>
      <w:r w:rsidR="00AC0F79" w:rsidRPr="00DD2E13">
        <w:rPr>
          <w:rFonts w:asciiTheme="majorHAnsi" w:hAnsiTheme="majorHAnsi"/>
        </w:rPr>
        <w:t>to</w:t>
      </w:r>
      <w:r w:rsidRPr="00DD2E13">
        <w:rPr>
          <w:rFonts w:asciiTheme="majorHAnsi" w:hAnsiTheme="majorHAnsi"/>
        </w:rPr>
        <w:t xml:space="preserve"> provide guidance on priority/how/where/when to analyze/address the item. </w:t>
      </w:r>
    </w:p>
    <w:p w14:paraId="67DD1F51" w14:textId="77777777" w:rsidR="000640D0" w:rsidRPr="00DD2E13" w:rsidRDefault="000640D0" w:rsidP="000640D0">
      <w:pPr>
        <w:rPr>
          <w:rFonts w:asciiTheme="majorHAnsi" w:hAnsiTheme="majorHAnsi"/>
        </w:rPr>
      </w:pPr>
    </w:p>
    <w:p w14:paraId="29075998" w14:textId="00DA83C6" w:rsidR="000640D0" w:rsidRPr="00DD2E13" w:rsidRDefault="000640D0" w:rsidP="000640D0">
      <w:pPr>
        <w:numPr>
          <w:ilvl w:val="0"/>
          <w:numId w:val="4"/>
        </w:numPr>
        <w:contextualSpacing/>
        <w:rPr>
          <w:rFonts w:asciiTheme="majorHAnsi" w:hAnsiTheme="majorHAnsi" w:cs="Calibri Light"/>
          <w:b/>
          <w:bCs/>
        </w:rPr>
      </w:pPr>
      <w:bookmarkStart w:id="1" w:name="_Hlk65537941"/>
      <w:r w:rsidRPr="00DD2E13">
        <w:rPr>
          <w:rFonts w:asciiTheme="majorHAnsi" w:hAnsiTheme="majorHAnsi" w:cs="Calibri Light"/>
          <w:b/>
          <w:bCs/>
        </w:rPr>
        <w:t>Higher-level issues</w:t>
      </w:r>
      <w:r w:rsidR="00316E83" w:rsidRPr="00DD2E13">
        <w:rPr>
          <w:rFonts w:asciiTheme="majorHAnsi" w:hAnsiTheme="majorHAnsi" w:cs="Calibri Light"/>
          <w:b/>
          <w:bCs/>
        </w:rPr>
        <w:t xml:space="preserve"> or issues</w:t>
      </w:r>
      <w:r w:rsidRPr="00DD2E13">
        <w:rPr>
          <w:rFonts w:asciiTheme="majorHAnsi" w:hAnsiTheme="majorHAnsi" w:cs="Calibri Light"/>
          <w:b/>
          <w:bCs/>
        </w:rPr>
        <w:t xml:space="preserve"> not specific to WMS</w:t>
      </w:r>
      <w:bookmarkEnd w:id="1"/>
    </w:p>
    <w:p w14:paraId="1A04D6AA" w14:textId="4058BC3F" w:rsidR="000640D0" w:rsidRPr="00DD2E13" w:rsidRDefault="000640D0" w:rsidP="000640D0">
      <w:pPr>
        <w:numPr>
          <w:ilvl w:val="1"/>
          <w:numId w:val="4"/>
        </w:numPr>
        <w:contextualSpacing/>
        <w:rPr>
          <w:rFonts w:asciiTheme="majorHAnsi" w:hAnsiTheme="majorHAnsi" w:cs="Calibri Light"/>
        </w:rPr>
      </w:pPr>
      <w:r w:rsidRPr="00DD2E13">
        <w:rPr>
          <w:rFonts w:asciiTheme="majorHAnsi" w:hAnsiTheme="majorHAnsi" w:cs="Calibri Light"/>
        </w:rPr>
        <w:t>Should there be enforceable standards for summer and winter weatherization to account for extreme temperatures in both seasons?</w:t>
      </w:r>
    </w:p>
    <w:p w14:paraId="195FDBE3" w14:textId="77777777" w:rsidR="00AC08D7" w:rsidRPr="00DD2E13" w:rsidRDefault="00AC08D7" w:rsidP="00AC08D7">
      <w:pPr>
        <w:numPr>
          <w:ilvl w:val="1"/>
          <w:numId w:val="4"/>
        </w:numPr>
        <w:contextualSpacing/>
        <w:rPr>
          <w:rFonts w:asciiTheme="majorHAnsi" w:hAnsiTheme="majorHAnsi" w:cs="Calibri Light"/>
        </w:rPr>
      </w:pPr>
      <w:r w:rsidRPr="00DD2E13">
        <w:rPr>
          <w:rFonts w:asciiTheme="majorHAnsi" w:hAnsiTheme="majorHAnsi" w:cs="Calibri Light"/>
        </w:rPr>
        <w:t>Should there be a set reliability requirement?</w:t>
      </w:r>
    </w:p>
    <w:p w14:paraId="54F77CEF" w14:textId="1E463BA6" w:rsidR="000640D0" w:rsidRPr="00DD2E13" w:rsidRDefault="000640D0" w:rsidP="000640D0">
      <w:pPr>
        <w:numPr>
          <w:ilvl w:val="1"/>
          <w:numId w:val="4"/>
        </w:numPr>
        <w:contextualSpacing/>
        <w:rPr>
          <w:rFonts w:asciiTheme="majorHAnsi" w:hAnsiTheme="majorHAnsi" w:cs="Calibri Light"/>
        </w:rPr>
      </w:pPr>
      <w:r w:rsidRPr="00DD2E13">
        <w:rPr>
          <w:rFonts w:asciiTheme="majorHAnsi" w:hAnsiTheme="majorHAnsi" w:cs="Calibri Light"/>
        </w:rPr>
        <w:t>Should DSP circuits be granular enough to allow for rotating outages? Compare how different utilities managed load shed.</w:t>
      </w:r>
      <w:r w:rsidR="00982655" w:rsidRPr="00DD2E13">
        <w:rPr>
          <w:rFonts w:asciiTheme="majorHAnsi" w:hAnsiTheme="majorHAnsi" w:cs="Calibri Light"/>
        </w:rPr>
        <w:t xml:space="preserve"> </w:t>
      </w:r>
      <w:r w:rsidR="00982655" w:rsidRPr="00DD2E13">
        <w:rPr>
          <w:rFonts w:asciiTheme="majorHAnsi" w:eastAsia="Times New Roman" w:hAnsiTheme="majorHAnsi"/>
        </w:rPr>
        <w:t>What amount of load loss prohibits rolling black out? </w:t>
      </w:r>
    </w:p>
    <w:p w14:paraId="3580BA56" w14:textId="297AB89E" w:rsidR="000640D0" w:rsidRPr="00DD2E13" w:rsidRDefault="000640D0" w:rsidP="000640D0">
      <w:pPr>
        <w:numPr>
          <w:ilvl w:val="1"/>
          <w:numId w:val="4"/>
        </w:numPr>
        <w:contextualSpacing/>
        <w:rPr>
          <w:rFonts w:asciiTheme="majorHAnsi" w:hAnsiTheme="majorHAnsi" w:cs="Calibri Light"/>
        </w:rPr>
      </w:pPr>
      <w:r w:rsidRPr="00DD2E13">
        <w:rPr>
          <w:rFonts w:asciiTheme="majorHAnsi" w:hAnsiTheme="majorHAnsi" w:cs="Calibri Light"/>
        </w:rPr>
        <w:t>Should there be a formal coordination process between the entities responsible for regulating electricity, water, and natural gas?</w:t>
      </w:r>
      <w:r w:rsidR="00982655" w:rsidRPr="00DD2E13">
        <w:rPr>
          <w:rFonts w:asciiTheme="majorHAnsi" w:hAnsiTheme="majorHAnsi" w:cs="Calibri Light"/>
        </w:rPr>
        <w:t xml:space="preserve"> </w:t>
      </w:r>
    </w:p>
    <w:p w14:paraId="26794318" w14:textId="77777777" w:rsidR="000640D0" w:rsidRPr="00DD2E13" w:rsidRDefault="000640D0" w:rsidP="000640D0">
      <w:pPr>
        <w:numPr>
          <w:ilvl w:val="1"/>
          <w:numId w:val="4"/>
        </w:numPr>
        <w:contextualSpacing/>
        <w:rPr>
          <w:rFonts w:asciiTheme="majorHAnsi" w:hAnsiTheme="majorHAnsi" w:cs="Calibri Light"/>
        </w:rPr>
      </w:pPr>
      <w:r w:rsidRPr="00DD2E13">
        <w:rPr>
          <w:rFonts w:asciiTheme="majorHAnsi" w:hAnsiTheme="majorHAnsi" w:cs="Calibri Light"/>
        </w:rPr>
        <w:t>Should there be a uniform process for identifying and updating critical infrastructure across all industries that are needed in producing electricity, gas, and water?</w:t>
      </w:r>
    </w:p>
    <w:p w14:paraId="150FBEFF" w14:textId="77777777" w:rsidR="000640D0" w:rsidRPr="00DD2E13" w:rsidRDefault="000640D0" w:rsidP="000640D0">
      <w:pPr>
        <w:numPr>
          <w:ilvl w:val="1"/>
          <w:numId w:val="4"/>
        </w:numPr>
        <w:contextualSpacing/>
        <w:rPr>
          <w:rFonts w:asciiTheme="majorHAnsi" w:hAnsiTheme="majorHAnsi" w:cs="Calibri Light"/>
        </w:rPr>
      </w:pPr>
      <w:r w:rsidRPr="00DD2E13">
        <w:rPr>
          <w:rFonts w:asciiTheme="majorHAnsi" w:hAnsiTheme="majorHAnsi" w:cs="Calibri Light"/>
        </w:rPr>
        <w:t>Should there be a statewide communication mechanism to provide information in easy-to-understand terms for consumers before and during emergency event.</w:t>
      </w:r>
    </w:p>
    <w:p w14:paraId="181EF6DC" w14:textId="77777777" w:rsidR="000640D0" w:rsidRPr="00DD2E13" w:rsidRDefault="000640D0" w:rsidP="000640D0">
      <w:pPr>
        <w:numPr>
          <w:ilvl w:val="1"/>
          <w:numId w:val="4"/>
        </w:numPr>
        <w:contextualSpacing/>
        <w:rPr>
          <w:rFonts w:asciiTheme="majorHAnsi" w:hAnsiTheme="majorHAnsi" w:cs="Calibri Light"/>
        </w:rPr>
      </w:pPr>
      <w:r w:rsidRPr="00DD2E13">
        <w:rPr>
          <w:rFonts w:asciiTheme="majorHAnsi" w:hAnsiTheme="majorHAnsi" w:cs="Calibri Light"/>
        </w:rPr>
        <w:t>Should products that directly expose residential consumers to wholesale market prices be allowed?</w:t>
      </w:r>
    </w:p>
    <w:p w14:paraId="76F10E91" w14:textId="77777777" w:rsidR="0027248E" w:rsidRPr="00DD2E13" w:rsidRDefault="00A56D9D" w:rsidP="000640D0">
      <w:pPr>
        <w:numPr>
          <w:ilvl w:val="1"/>
          <w:numId w:val="4"/>
        </w:numPr>
        <w:contextualSpacing/>
        <w:rPr>
          <w:rFonts w:asciiTheme="majorHAnsi" w:hAnsiTheme="majorHAnsi" w:cs="Calibri Light"/>
        </w:rPr>
      </w:pPr>
      <w:r w:rsidRPr="00DD2E13">
        <w:rPr>
          <w:rFonts w:asciiTheme="majorHAnsi" w:hAnsiTheme="majorHAnsi" w:cs="Calibri Light"/>
        </w:rPr>
        <w:t>Request for an o</w:t>
      </w:r>
      <w:r w:rsidR="0027248E" w:rsidRPr="00DD2E13">
        <w:rPr>
          <w:rFonts w:asciiTheme="majorHAnsi" w:hAnsiTheme="majorHAnsi" w:cs="Calibri Light"/>
        </w:rPr>
        <w:t>verall assessment and root cause analysis of this event (submitter provided comments and questions regarding the process and content for the assessment)</w:t>
      </w:r>
    </w:p>
    <w:p w14:paraId="18C8B6CE" w14:textId="77777777" w:rsidR="00C53C46" w:rsidRPr="00DD2E13" w:rsidRDefault="00C53C46" w:rsidP="000640D0">
      <w:pPr>
        <w:numPr>
          <w:ilvl w:val="1"/>
          <w:numId w:val="4"/>
        </w:numPr>
        <w:contextualSpacing/>
        <w:rPr>
          <w:rFonts w:asciiTheme="majorHAnsi" w:hAnsiTheme="majorHAnsi" w:cs="Calibri Light"/>
        </w:rPr>
      </w:pPr>
      <w:r w:rsidRPr="00DD2E13">
        <w:rPr>
          <w:rFonts w:asciiTheme="majorHAnsi" w:hAnsiTheme="majorHAnsi" w:cs="Calibri Light"/>
        </w:rPr>
        <w:t>Request for Review of:</w:t>
      </w:r>
    </w:p>
    <w:p w14:paraId="6719C67D" w14:textId="77777777" w:rsidR="00A56D9D" w:rsidRPr="00DD2E13" w:rsidRDefault="00A56D9D" w:rsidP="00DD2E13">
      <w:pPr>
        <w:numPr>
          <w:ilvl w:val="2"/>
          <w:numId w:val="4"/>
        </w:numPr>
        <w:contextualSpacing/>
        <w:rPr>
          <w:rFonts w:asciiTheme="majorHAnsi" w:hAnsiTheme="majorHAnsi" w:cs="Calibri Light"/>
        </w:rPr>
      </w:pPr>
      <w:r w:rsidRPr="00DD2E13">
        <w:rPr>
          <w:rFonts w:asciiTheme="majorHAnsi" w:hAnsiTheme="majorHAnsi" w:cs="Calibri Light"/>
        </w:rPr>
        <w:t>ERCOT governance structure and identification of potential improvements to ERCOT bylaws and stakeholder process</w:t>
      </w:r>
    </w:p>
    <w:p w14:paraId="62E09874" w14:textId="77777777" w:rsidR="00A56D9D" w:rsidRPr="00DD2E13" w:rsidRDefault="00A56D9D" w:rsidP="00DD2E13">
      <w:pPr>
        <w:numPr>
          <w:ilvl w:val="2"/>
          <w:numId w:val="4"/>
        </w:numPr>
        <w:contextualSpacing/>
        <w:rPr>
          <w:rFonts w:asciiTheme="majorHAnsi" w:hAnsiTheme="majorHAnsi" w:cs="Calibri Light"/>
        </w:rPr>
      </w:pPr>
      <w:r w:rsidRPr="00DD2E13">
        <w:rPr>
          <w:rFonts w:asciiTheme="majorHAnsi" w:hAnsiTheme="majorHAnsi" w:cs="Calibri Light"/>
        </w:rPr>
        <w:t>ERCOT communications to the public and to stakeholders before, during, and after the event</w:t>
      </w:r>
      <w:r w:rsidR="0087409C" w:rsidRPr="00DD2E13">
        <w:rPr>
          <w:rFonts w:asciiTheme="majorHAnsi" w:hAnsiTheme="majorHAnsi" w:cs="Calibri Light"/>
        </w:rPr>
        <w:t xml:space="preserve"> and identification of communication plan improvements</w:t>
      </w:r>
    </w:p>
    <w:p w14:paraId="5D457B52" w14:textId="77777777" w:rsidR="00C53C46" w:rsidRPr="00DD2E13" w:rsidRDefault="00C53C46" w:rsidP="00DD2E13">
      <w:pPr>
        <w:numPr>
          <w:ilvl w:val="2"/>
          <w:numId w:val="4"/>
        </w:numPr>
        <w:contextualSpacing/>
        <w:rPr>
          <w:rFonts w:asciiTheme="majorHAnsi" w:hAnsiTheme="majorHAnsi" w:cs="Calibri Light"/>
        </w:rPr>
      </w:pPr>
      <w:r w:rsidRPr="00DD2E13">
        <w:rPr>
          <w:rFonts w:asciiTheme="majorHAnsi" w:hAnsiTheme="majorHAnsi" w:cs="Calibri Light"/>
        </w:rPr>
        <w:t>ERCOT’s emergency response plan and role in emergency preparedness and response</w:t>
      </w:r>
      <w:r w:rsidR="0062438A" w:rsidRPr="00DD2E13">
        <w:rPr>
          <w:rFonts w:asciiTheme="majorHAnsi" w:hAnsiTheme="majorHAnsi" w:cs="Calibri Light"/>
        </w:rPr>
        <w:t xml:space="preserve"> before</w:t>
      </w:r>
      <w:r w:rsidRPr="00DD2E13">
        <w:rPr>
          <w:rFonts w:asciiTheme="majorHAnsi" w:hAnsiTheme="majorHAnsi" w:cs="Calibri Light"/>
        </w:rPr>
        <w:t>, during, and after the event; identification of process improvements</w:t>
      </w:r>
    </w:p>
    <w:p w14:paraId="4D98E92E" w14:textId="77777777" w:rsidR="0087409C" w:rsidRPr="00DD2E13" w:rsidRDefault="00C53C46" w:rsidP="00C53C46">
      <w:pPr>
        <w:numPr>
          <w:ilvl w:val="1"/>
          <w:numId w:val="4"/>
        </w:numPr>
        <w:contextualSpacing/>
        <w:rPr>
          <w:rFonts w:asciiTheme="majorHAnsi" w:hAnsiTheme="majorHAnsi" w:cs="Calibri Light"/>
        </w:rPr>
      </w:pPr>
      <w:r w:rsidRPr="00DD2E13">
        <w:rPr>
          <w:rFonts w:asciiTheme="majorHAnsi" w:hAnsiTheme="majorHAnsi" w:cs="Calibri Light"/>
        </w:rPr>
        <w:t>Request for benchmarking effort with other North American RTOs and ISOs</w:t>
      </w:r>
      <w:r w:rsidR="0087409C" w:rsidRPr="00DD2E13">
        <w:rPr>
          <w:rFonts w:asciiTheme="majorHAnsi" w:hAnsiTheme="majorHAnsi" w:cs="Calibri Light"/>
        </w:rPr>
        <w:t xml:space="preserve"> </w:t>
      </w:r>
      <w:r w:rsidRPr="00DD2E13">
        <w:rPr>
          <w:rFonts w:asciiTheme="majorHAnsi" w:hAnsiTheme="majorHAnsi" w:cs="Calibri Light"/>
        </w:rPr>
        <w:t>to identify best practices and improvement opportunities in topics from post-event assessment</w:t>
      </w:r>
    </w:p>
    <w:p w14:paraId="7E36753B" w14:textId="4543C4A6" w:rsidR="00845833" w:rsidRPr="00DD2E13" w:rsidRDefault="005911BA" w:rsidP="00C53C46">
      <w:pPr>
        <w:numPr>
          <w:ilvl w:val="1"/>
          <w:numId w:val="4"/>
        </w:numPr>
        <w:contextualSpacing/>
        <w:rPr>
          <w:rFonts w:asciiTheme="majorHAnsi" w:hAnsiTheme="majorHAnsi" w:cs="Calibri Light"/>
        </w:rPr>
      </w:pPr>
      <w:r w:rsidRPr="00DD2E13">
        <w:rPr>
          <w:rFonts w:asciiTheme="majorHAnsi" w:hAnsiTheme="majorHAnsi" w:cs="Calibri Light"/>
        </w:rPr>
        <w:t>Should there be</w:t>
      </w:r>
      <w:r w:rsidR="0062438A" w:rsidRPr="00DD2E13">
        <w:rPr>
          <w:rFonts w:asciiTheme="majorHAnsi" w:hAnsiTheme="majorHAnsi" w:cs="Calibri Light"/>
        </w:rPr>
        <w:t xml:space="preserve"> enhancements to the Gas Electric Working Group scope and activities </w:t>
      </w:r>
      <w:r w:rsidRPr="00DD2E13">
        <w:rPr>
          <w:rFonts w:asciiTheme="majorHAnsi" w:hAnsiTheme="majorHAnsi" w:cs="Calibri Light"/>
        </w:rPr>
        <w:t>to</w:t>
      </w:r>
      <w:r w:rsidR="0062438A" w:rsidRPr="00DD2E13">
        <w:rPr>
          <w:rFonts w:asciiTheme="majorHAnsi" w:hAnsiTheme="majorHAnsi" w:cs="Calibri Light"/>
        </w:rPr>
        <w:t xml:space="preserve"> improve participation and effectiveness? Are the protocol 3.21.1 requirements regarding gas pipeline coordination for summer preparedness effective and are similar requirements for winter preparedness needed?</w:t>
      </w:r>
    </w:p>
    <w:p w14:paraId="0338A21D" w14:textId="77777777" w:rsidR="00917AA9" w:rsidRPr="00DD2E13" w:rsidRDefault="00917AA9" w:rsidP="00917AA9">
      <w:pPr>
        <w:numPr>
          <w:ilvl w:val="1"/>
          <w:numId w:val="4"/>
        </w:numPr>
        <w:contextualSpacing/>
        <w:rPr>
          <w:rFonts w:asciiTheme="majorHAnsi" w:hAnsiTheme="majorHAnsi" w:cs="Calibri Light"/>
        </w:rPr>
      </w:pPr>
      <w:proofErr w:type="gramStart"/>
      <w:r w:rsidRPr="00DD2E13">
        <w:rPr>
          <w:rFonts w:asciiTheme="majorHAnsi" w:hAnsiTheme="majorHAnsi" w:cs="Calibri Light"/>
        </w:rPr>
        <w:t>Are</w:t>
      </w:r>
      <w:proofErr w:type="gramEnd"/>
      <w:r w:rsidRPr="00DD2E13">
        <w:rPr>
          <w:rFonts w:asciiTheme="majorHAnsi" w:hAnsiTheme="majorHAnsi" w:cs="Calibri Light"/>
        </w:rPr>
        <w:t xml:space="preserve"> existing winter weatherization related ERCOT requirements, preparations, and processes, including protocol 3.21, sufficient and are there any gaps or improvements that should be considered, including standardized requirements?</w:t>
      </w:r>
    </w:p>
    <w:p w14:paraId="2EAFE3FD" w14:textId="77777777" w:rsidR="00917AA9" w:rsidRPr="00DD2E13" w:rsidRDefault="00917AA9" w:rsidP="00917AA9">
      <w:pPr>
        <w:numPr>
          <w:ilvl w:val="1"/>
          <w:numId w:val="4"/>
        </w:numPr>
        <w:contextualSpacing/>
        <w:rPr>
          <w:rFonts w:asciiTheme="majorHAnsi" w:hAnsiTheme="majorHAnsi" w:cs="Calibri Light"/>
        </w:rPr>
      </w:pPr>
      <w:r w:rsidRPr="00DD2E13">
        <w:rPr>
          <w:rFonts w:asciiTheme="majorHAnsi" w:hAnsiTheme="majorHAnsi" w:cs="Calibri Light"/>
        </w:rPr>
        <w:t xml:space="preserve">Request to review the availability of </w:t>
      </w:r>
      <w:proofErr w:type="spellStart"/>
      <w:r w:rsidRPr="00DD2E13">
        <w:rPr>
          <w:rFonts w:asciiTheme="majorHAnsi" w:hAnsiTheme="majorHAnsi" w:cs="Calibri Light"/>
        </w:rPr>
        <w:t>blackstart</w:t>
      </w:r>
      <w:proofErr w:type="spellEnd"/>
      <w:r w:rsidRPr="00DD2E13">
        <w:rPr>
          <w:rFonts w:asciiTheme="majorHAnsi" w:hAnsiTheme="majorHAnsi" w:cs="Calibri Light"/>
        </w:rPr>
        <w:t xml:space="preserve"> units and consider potential process improvements including priority for non-curtailment of gas supply to ensure availability during extreme weather events</w:t>
      </w:r>
    </w:p>
    <w:p w14:paraId="24DE6796" w14:textId="77777777" w:rsidR="00917AA9" w:rsidRPr="00DD2E13" w:rsidRDefault="00917AA9" w:rsidP="00AC0F79">
      <w:pPr>
        <w:ind w:left="1080"/>
        <w:contextualSpacing/>
        <w:rPr>
          <w:rFonts w:asciiTheme="majorHAnsi" w:hAnsiTheme="majorHAnsi" w:cs="Calibri Light"/>
        </w:rPr>
      </w:pPr>
    </w:p>
    <w:p w14:paraId="0A3C4B61" w14:textId="77777777" w:rsidR="000640D0" w:rsidRPr="00DD2E13" w:rsidRDefault="000640D0" w:rsidP="000640D0">
      <w:pPr>
        <w:numPr>
          <w:ilvl w:val="0"/>
          <w:numId w:val="4"/>
        </w:numPr>
        <w:contextualSpacing/>
        <w:rPr>
          <w:rFonts w:asciiTheme="majorHAnsi" w:hAnsiTheme="majorHAnsi" w:cs="Calibri Light"/>
          <w:b/>
          <w:bCs/>
        </w:rPr>
      </w:pPr>
      <w:r w:rsidRPr="00DD2E13">
        <w:rPr>
          <w:rFonts w:asciiTheme="majorHAnsi" w:hAnsiTheme="majorHAnsi" w:cs="Calibri Light"/>
          <w:b/>
          <w:bCs/>
        </w:rPr>
        <w:t>Pricing</w:t>
      </w:r>
    </w:p>
    <w:p w14:paraId="59305D72" w14:textId="77777777" w:rsidR="00FE3674" w:rsidRPr="00DD2E13" w:rsidRDefault="000640D0" w:rsidP="00FE3674">
      <w:pPr>
        <w:numPr>
          <w:ilvl w:val="1"/>
          <w:numId w:val="4"/>
        </w:numPr>
        <w:contextualSpacing/>
        <w:rPr>
          <w:rFonts w:asciiTheme="majorHAnsi" w:hAnsiTheme="majorHAnsi" w:cs="Calibri Light"/>
        </w:rPr>
      </w:pPr>
      <w:bookmarkStart w:id="2" w:name="_Hlk65528898"/>
      <w:r w:rsidRPr="00DD2E13">
        <w:rPr>
          <w:rFonts w:asciiTheme="majorHAnsi" w:hAnsiTheme="majorHAnsi" w:cs="Calibri Light"/>
        </w:rPr>
        <w:t xml:space="preserve">Should there be a minimum market notice &amp; timeline for design changes that impact prices </w:t>
      </w:r>
      <w:proofErr w:type="gramStart"/>
      <w:r w:rsidRPr="00DD2E13">
        <w:rPr>
          <w:rFonts w:asciiTheme="majorHAnsi" w:hAnsiTheme="majorHAnsi" w:cs="Calibri Light"/>
        </w:rPr>
        <w:t>so as to</w:t>
      </w:r>
      <w:proofErr w:type="gramEnd"/>
      <w:r w:rsidRPr="00DD2E13">
        <w:rPr>
          <w:rFonts w:asciiTheme="majorHAnsi" w:hAnsiTheme="majorHAnsi" w:cs="Calibri Light"/>
        </w:rPr>
        <w:t xml:space="preserve"> allow MPs time for hedging?</w:t>
      </w:r>
      <w:bookmarkEnd w:id="2"/>
    </w:p>
    <w:p w14:paraId="5D072055" w14:textId="78D9DE41" w:rsidR="009633DB" w:rsidRPr="00DD2E13" w:rsidRDefault="000640D0" w:rsidP="00FE3674">
      <w:pPr>
        <w:numPr>
          <w:ilvl w:val="1"/>
          <w:numId w:val="4"/>
        </w:numPr>
        <w:contextualSpacing/>
        <w:rPr>
          <w:rFonts w:asciiTheme="majorHAnsi" w:hAnsiTheme="majorHAnsi" w:cs="Calibri Light"/>
        </w:rPr>
      </w:pPr>
      <w:bookmarkStart w:id="3" w:name="_Hlk65627219"/>
      <w:r w:rsidRPr="00DD2E13">
        <w:rPr>
          <w:rFonts w:asciiTheme="majorHAnsi" w:hAnsiTheme="majorHAnsi" w:cs="Calibri Light"/>
        </w:rPr>
        <w:lastRenderedPageBreak/>
        <w:t>Should DAM design for pricing AS be changed? Should ASDC be implemented in DAM. If not, should AS price be capped at $9,000/MW/</w:t>
      </w:r>
      <w:proofErr w:type="spellStart"/>
      <w:r w:rsidRPr="00DD2E13">
        <w:rPr>
          <w:rFonts w:asciiTheme="majorHAnsi" w:hAnsiTheme="majorHAnsi" w:cs="Calibri Light"/>
        </w:rPr>
        <w:t>hr</w:t>
      </w:r>
      <w:proofErr w:type="spellEnd"/>
      <w:r w:rsidRPr="00DD2E13">
        <w:rPr>
          <w:rFonts w:asciiTheme="majorHAnsi" w:hAnsiTheme="majorHAnsi" w:cs="Calibri Light"/>
        </w:rPr>
        <w:t xml:space="preserve">? </w:t>
      </w:r>
      <w:r w:rsidR="009633DB" w:rsidRPr="00DD2E13">
        <w:rPr>
          <w:rFonts w:asciiTheme="majorHAnsi" w:hAnsiTheme="majorHAnsi" w:cs="Calibri Light"/>
        </w:rPr>
        <w:t xml:space="preserve">If not, should there be </w:t>
      </w:r>
      <w:r w:rsidR="00FE3674" w:rsidRPr="00DD2E13">
        <w:rPr>
          <w:rFonts w:asciiTheme="majorHAnsi" w:hAnsiTheme="majorHAnsi" w:cs="Calibri Light"/>
        </w:rPr>
        <w:t xml:space="preserve">market participant training developed and notice sent explaining how </w:t>
      </w:r>
      <w:r w:rsidR="009633DB" w:rsidRPr="00DD2E13">
        <w:rPr>
          <w:rFonts w:asciiTheme="majorHAnsi" w:hAnsiTheme="majorHAnsi"/>
        </w:rPr>
        <w:t xml:space="preserve">maximum A/S MCPC </w:t>
      </w:r>
      <w:r w:rsidR="00FE3674" w:rsidRPr="00DD2E13">
        <w:rPr>
          <w:rFonts w:asciiTheme="majorHAnsi" w:hAnsiTheme="majorHAnsi"/>
        </w:rPr>
        <w:t>can be</w:t>
      </w:r>
      <w:r w:rsidR="009633DB" w:rsidRPr="00DD2E13">
        <w:rPr>
          <w:rFonts w:asciiTheme="majorHAnsi" w:hAnsiTheme="majorHAnsi"/>
        </w:rPr>
        <w:t xml:space="preserve"> $27k versus $9k.</w:t>
      </w:r>
    </w:p>
    <w:bookmarkEnd w:id="3"/>
    <w:p w14:paraId="75BCAEAC" w14:textId="77777777" w:rsidR="000640D0" w:rsidRPr="00DD2E13" w:rsidRDefault="000640D0" w:rsidP="000640D0">
      <w:pPr>
        <w:numPr>
          <w:ilvl w:val="1"/>
          <w:numId w:val="4"/>
        </w:numPr>
        <w:contextualSpacing/>
        <w:rPr>
          <w:rFonts w:asciiTheme="majorHAnsi" w:hAnsiTheme="majorHAnsi" w:cs="Calibri Light"/>
        </w:rPr>
      </w:pPr>
      <w:r w:rsidRPr="00DD2E13">
        <w:rPr>
          <w:rFonts w:asciiTheme="majorHAnsi" w:hAnsiTheme="majorHAnsi" w:cs="Calibri Light"/>
        </w:rPr>
        <w:t>Should LCAP be capped at $9k?</w:t>
      </w:r>
    </w:p>
    <w:p w14:paraId="6285F8F0" w14:textId="16FABF15" w:rsidR="001C2794" w:rsidRPr="00DD2E13" w:rsidRDefault="0091316E" w:rsidP="000640D0">
      <w:pPr>
        <w:numPr>
          <w:ilvl w:val="1"/>
          <w:numId w:val="4"/>
        </w:numPr>
        <w:contextualSpacing/>
        <w:rPr>
          <w:rFonts w:asciiTheme="majorHAnsi" w:hAnsiTheme="majorHAnsi" w:cs="Calibri Light"/>
        </w:rPr>
      </w:pPr>
      <w:r w:rsidRPr="00DD2E13">
        <w:rPr>
          <w:rFonts w:asciiTheme="majorHAnsi" w:hAnsiTheme="majorHAnsi" w:cs="Calibri Light"/>
        </w:rPr>
        <w:t>Are changes to the Peaker Net Margin methodology needed to protect ratepayers during extended scarcity events?</w:t>
      </w:r>
    </w:p>
    <w:p w14:paraId="48AC0426" w14:textId="77777777" w:rsidR="000640D0" w:rsidRPr="00DD2E13" w:rsidRDefault="000640D0" w:rsidP="000640D0">
      <w:pPr>
        <w:numPr>
          <w:ilvl w:val="1"/>
          <w:numId w:val="4"/>
        </w:numPr>
        <w:contextualSpacing/>
        <w:rPr>
          <w:rFonts w:asciiTheme="majorHAnsi" w:hAnsiTheme="majorHAnsi" w:cs="Calibri Light"/>
        </w:rPr>
      </w:pPr>
      <w:r w:rsidRPr="00DD2E13">
        <w:rPr>
          <w:rFonts w:asciiTheme="majorHAnsi" w:hAnsiTheme="majorHAnsi" w:cs="Calibri Light"/>
        </w:rPr>
        <w:t xml:space="preserve">Should TCEQ exempt MWs be priced at a floor of $1500/MWh or higher? If ERCOT RUCs the resource, how is the resource compensated for lost opportunity of using the emissions limit during other scarcity time Vs the </w:t>
      </w:r>
      <w:proofErr w:type="spellStart"/>
      <w:r w:rsidRPr="00DD2E13">
        <w:rPr>
          <w:rFonts w:asciiTheme="majorHAnsi" w:hAnsiTheme="majorHAnsi" w:cs="Calibri Light"/>
        </w:rPr>
        <w:t>RUCed</w:t>
      </w:r>
      <w:proofErr w:type="spellEnd"/>
      <w:r w:rsidRPr="00DD2E13">
        <w:rPr>
          <w:rFonts w:asciiTheme="majorHAnsi" w:hAnsiTheme="majorHAnsi" w:cs="Calibri Light"/>
        </w:rPr>
        <w:t xml:space="preserve"> time?</w:t>
      </w:r>
    </w:p>
    <w:p w14:paraId="3EA36ACA" w14:textId="7B9838EF" w:rsidR="000640D0" w:rsidRPr="00DD2E13" w:rsidRDefault="00AC0F79" w:rsidP="000640D0">
      <w:pPr>
        <w:numPr>
          <w:ilvl w:val="1"/>
          <w:numId w:val="4"/>
        </w:numPr>
        <w:contextualSpacing/>
        <w:rPr>
          <w:rFonts w:asciiTheme="majorHAnsi" w:hAnsiTheme="majorHAnsi" w:cs="Calibri Light"/>
        </w:rPr>
      </w:pPr>
      <w:r w:rsidRPr="00DD2E13">
        <w:rPr>
          <w:rFonts w:asciiTheme="majorHAnsi" w:hAnsiTheme="majorHAnsi" w:cs="Calibri Light"/>
        </w:rPr>
        <w:t>Review</w:t>
      </w:r>
      <w:r w:rsidR="000640D0" w:rsidRPr="00DD2E13">
        <w:rPr>
          <w:rFonts w:asciiTheme="majorHAnsi" w:hAnsiTheme="majorHAnsi" w:cs="Calibri Light"/>
        </w:rPr>
        <w:t xml:space="preserve"> </w:t>
      </w:r>
      <w:r w:rsidRPr="00DD2E13">
        <w:rPr>
          <w:rFonts w:asciiTheme="majorHAnsi" w:hAnsiTheme="majorHAnsi" w:cs="Calibri Light"/>
        </w:rPr>
        <w:t xml:space="preserve">converge of </w:t>
      </w:r>
      <w:r w:rsidR="000640D0" w:rsidRPr="00DD2E13">
        <w:rPr>
          <w:rFonts w:asciiTheme="majorHAnsi" w:hAnsiTheme="majorHAnsi" w:cs="Calibri Light"/>
        </w:rPr>
        <w:t xml:space="preserve">ORDC </w:t>
      </w:r>
      <w:r w:rsidRPr="00DD2E13">
        <w:rPr>
          <w:rFonts w:asciiTheme="majorHAnsi" w:hAnsiTheme="majorHAnsi" w:cs="Calibri Light"/>
        </w:rPr>
        <w:t>&amp;</w:t>
      </w:r>
      <w:r w:rsidR="000640D0" w:rsidRPr="00DD2E13">
        <w:rPr>
          <w:rFonts w:asciiTheme="majorHAnsi" w:hAnsiTheme="majorHAnsi" w:cs="Calibri Light"/>
        </w:rPr>
        <w:t xml:space="preserve"> PRC </w:t>
      </w:r>
      <w:r w:rsidRPr="00DD2E13">
        <w:rPr>
          <w:rFonts w:asciiTheme="majorHAnsi" w:hAnsiTheme="majorHAnsi" w:cs="Calibri Light"/>
        </w:rPr>
        <w:t xml:space="preserve">during the event. </w:t>
      </w:r>
    </w:p>
    <w:p w14:paraId="1E44AA24" w14:textId="294D1BEB" w:rsidR="001C2794" w:rsidRPr="00DD2E13" w:rsidRDefault="000640D0" w:rsidP="001C2794">
      <w:pPr>
        <w:numPr>
          <w:ilvl w:val="1"/>
          <w:numId w:val="4"/>
        </w:numPr>
        <w:contextualSpacing/>
        <w:rPr>
          <w:rFonts w:asciiTheme="majorHAnsi" w:hAnsiTheme="majorHAnsi" w:cs="Calibri Light"/>
        </w:rPr>
      </w:pPr>
      <w:r w:rsidRPr="00DD2E13">
        <w:rPr>
          <w:rFonts w:asciiTheme="majorHAnsi" w:hAnsiTheme="majorHAnsi" w:cs="Calibri Light"/>
        </w:rPr>
        <w:t>How did exceptional fuel price process work?</w:t>
      </w:r>
    </w:p>
    <w:p w14:paraId="0E34D5CC" w14:textId="4687119E" w:rsidR="00300D34" w:rsidRPr="00DD2E13" w:rsidRDefault="00300D34" w:rsidP="001C2794">
      <w:pPr>
        <w:numPr>
          <w:ilvl w:val="1"/>
          <w:numId w:val="4"/>
        </w:numPr>
        <w:contextualSpacing/>
        <w:rPr>
          <w:rFonts w:asciiTheme="majorHAnsi" w:hAnsiTheme="majorHAnsi" w:cs="Calibri Light"/>
        </w:rPr>
      </w:pPr>
      <w:r w:rsidRPr="00DD2E13">
        <w:rPr>
          <w:rFonts w:asciiTheme="majorHAnsi" w:hAnsiTheme="majorHAnsi" w:cstheme="minorBidi"/>
        </w:rPr>
        <w:t>Review constraint management process during EEA3: How much generation was curtailed for congestion during EEA3?</w:t>
      </w:r>
    </w:p>
    <w:p w14:paraId="351DFBD1" w14:textId="779677CB" w:rsidR="009F0561" w:rsidRPr="00DD2E13" w:rsidRDefault="009F0561" w:rsidP="009F0561">
      <w:pPr>
        <w:numPr>
          <w:ilvl w:val="1"/>
          <w:numId w:val="4"/>
        </w:numPr>
        <w:contextualSpacing/>
        <w:rPr>
          <w:rFonts w:asciiTheme="majorHAnsi" w:hAnsiTheme="majorHAnsi" w:cs="Calibri Light"/>
        </w:rPr>
      </w:pPr>
      <w:r w:rsidRPr="00DD2E13">
        <w:rPr>
          <w:rFonts w:asciiTheme="majorHAnsi" w:hAnsiTheme="majorHAnsi" w:cs="Calibri Light"/>
        </w:rPr>
        <w:t xml:space="preserve">How did the resource adequacy incentives, including scarcity pricing mechanism, perform for promoting resource adequacy? Are alternative market design approaches necessary to promote/ensure resource adequacy? </w:t>
      </w:r>
    </w:p>
    <w:p w14:paraId="514A9B27" w14:textId="77777777" w:rsidR="00AC0F79" w:rsidRPr="00DD2E13" w:rsidRDefault="00AC0F79" w:rsidP="00AC0F79">
      <w:pPr>
        <w:numPr>
          <w:ilvl w:val="1"/>
          <w:numId w:val="4"/>
        </w:numPr>
        <w:rPr>
          <w:rFonts w:asciiTheme="majorHAnsi" w:eastAsia="Times New Roman" w:hAnsiTheme="majorHAnsi" w:cs="Times New Roman"/>
        </w:rPr>
      </w:pPr>
      <w:r w:rsidRPr="00DD2E13">
        <w:rPr>
          <w:rFonts w:asciiTheme="majorHAnsi" w:eastAsia="Times New Roman" w:hAnsiTheme="majorHAnsi"/>
        </w:rPr>
        <w:t>What is the best way to ensure prices are consistent with market design during load shed?</w:t>
      </w:r>
    </w:p>
    <w:p w14:paraId="4D5F1A16" w14:textId="77777777" w:rsidR="005911BA" w:rsidRPr="00DD2E13" w:rsidRDefault="005911BA" w:rsidP="00DD2E13">
      <w:pPr>
        <w:ind w:left="1080"/>
        <w:contextualSpacing/>
        <w:rPr>
          <w:rFonts w:asciiTheme="majorHAnsi" w:hAnsiTheme="majorHAnsi" w:cs="Calibri Light"/>
        </w:rPr>
      </w:pPr>
    </w:p>
    <w:p w14:paraId="4B3FE9FD" w14:textId="77777777" w:rsidR="000640D0" w:rsidRPr="00DD2E13" w:rsidRDefault="000640D0" w:rsidP="000640D0">
      <w:pPr>
        <w:numPr>
          <w:ilvl w:val="0"/>
          <w:numId w:val="4"/>
        </w:numPr>
        <w:contextualSpacing/>
        <w:rPr>
          <w:rFonts w:asciiTheme="majorHAnsi" w:hAnsiTheme="majorHAnsi" w:cs="Calibri Light"/>
          <w:b/>
          <w:bCs/>
        </w:rPr>
      </w:pPr>
      <w:r w:rsidRPr="00DD2E13">
        <w:rPr>
          <w:rFonts w:asciiTheme="majorHAnsi" w:hAnsiTheme="majorHAnsi" w:cs="Calibri Light"/>
          <w:b/>
          <w:bCs/>
        </w:rPr>
        <w:t>Planning &amp; Operating Reserves</w:t>
      </w:r>
    </w:p>
    <w:p w14:paraId="14D171BD" w14:textId="4B52962A" w:rsidR="00300D34" w:rsidRPr="00DD2E13" w:rsidRDefault="00982655" w:rsidP="00300D34">
      <w:pPr>
        <w:numPr>
          <w:ilvl w:val="1"/>
          <w:numId w:val="4"/>
        </w:numPr>
        <w:contextualSpacing/>
        <w:rPr>
          <w:rFonts w:asciiTheme="majorHAnsi" w:hAnsiTheme="majorHAnsi" w:cs="Calibri Light"/>
        </w:rPr>
      </w:pPr>
      <w:bookmarkStart w:id="4" w:name="_Hlk65626277"/>
      <w:r w:rsidRPr="00DD2E13">
        <w:rPr>
          <w:rFonts w:asciiTheme="majorHAnsi" w:hAnsiTheme="majorHAnsi" w:cs="Calibri Light"/>
        </w:rPr>
        <w:t xml:space="preserve">What changes are needed to the reserve margin target, reserve margin calculation methodologies used for the CDR and SARA, and planning reserve margin studies including EORM and MERM to account for impacts from this event? </w:t>
      </w:r>
      <w:r w:rsidR="000640D0" w:rsidRPr="00DD2E13">
        <w:rPr>
          <w:rFonts w:asciiTheme="majorHAnsi" w:hAnsiTheme="majorHAnsi" w:cs="Calibri Light"/>
        </w:rPr>
        <w:t>Should CDR be changed to better reflect climate change and extremes such as the 2011 heat events and the 2021 Polar Vortex. – average Vs extreme sensitivities</w:t>
      </w:r>
      <w:r w:rsidRPr="00DD2E13">
        <w:rPr>
          <w:rFonts w:asciiTheme="majorHAnsi" w:hAnsiTheme="majorHAnsi" w:cs="Calibri Light"/>
        </w:rPr>
        <w:t xml:space="preserve"> Vs worst case scenarios</w:t>
      </w:r>
      <w:r w:rsidR="000640D0" w:rsidRPr="00DD2E13">
        <w:rPr>
          <w:rFonts w:asciiTheme="majorHAnsi" w:hAnsiTheme="majorHAnsi" w:cs="Calibri Light"/>
        </w:rPr>
        <w:t>? How to reflect reliability risk in CDR and SARA?</w:t>
      </w:r>
      <w:r w:rsidR="00300D34" w:rsidRPr="00DD2E13">
        <w:rPr>
          <w:rFonts w:asciiTheme="majorHAnsi" w:hAnsiTheme="majorHAnsi" w:cs="Calibri Light"/>
        </w:rPr>
        <w:t xml:space="preserve"> </w:t>
      </w:r>
    </w:p>
    <w:p w14:paraId="21ED31D8" w14:textId="0110DB8E" w:rsidR="0091316E" w:rsidRPr="00DD2E13" w:rsidRDefault="007A7AE5" w:rsidP="000640D0">
      <w:pPr>
        <w:numPr>
          <w:ilvl w:val="1"/>
          <w:numId w:val="4"/>
        </w:numPr>
        <w:contextualSpacing/>
        <w:rPr>
          <w:rFonts w:asciiTheme="majorHAnsi" w:hAnsiTheme="majorHAnsi" w:cs="Calibri Light"/>
        </w:rPr>
      </w:pPr>
      <w:r w:rsidRPr="00DD2E13">
        <w:rPr>
          <w:rFonts w:asciiTheme="majorHAnsi" w:hAnsiTheme="majorHAnsi" w:cs="Calibri Light"/>
        </w:rPr>
        <w:t>Request to accelerate ongoing efforts to improve the CD</w:t>
      </w:r>
      <w:r w:rsidR="0091316E" w:rsidRPr="00DD2E13">
        <w:rPr>
          <w:rFonts w:asciiTheme="majorHAnsi" w:hAnsiTheme="majorHAnsi" w:cs="Calibri Light"/>
        </w:rPr>
        <w:t xml:space="preserve">R and SARA </w:t>
      </w:r>
      <w:r w:rsidRPr="00DD2E13">
        <w:rPr>
          <w:rFonts w:asciiTheme="majorHAnsi" w:hAnsiTheme="majorHAnsi" w:cs="Calibri Light"/>
        </w:rPr>
        <w:t>and incorporate probabilistic modeling approach to evaluate the risk of various magnitudes of ERCOT emergency events. If existing deterministic scenario is retained, consider revisions to account for more extreme and overlapping events. Consider actions to be taken based on resource adequacy report results.</w:t>
      </w:r>
    </w:p>
    <w:p w14:paraId="7E950C82" w14:textId="77777777" w:rsidR="000640D0" w:rsidRPr="00DD2E13" w:rsidRDefault="000640D0" w:rsidP="000640D0">
      <w:pPr>
        <w:numPr>
          <w:ilvl w:val="1"/>
          <w:numId w:val="4"/>
        </w:numPr>
        <w:contextualSpacing/>
        <w:rPr>
          <w:rFonts w:asciiTheme="majorHAnsi" w:hAnsiTheme="majorHAnsi" w:cs="Calibri Light"/>
        </w:rPr>
      </w:pPr>
      <w:r w:rsidRPr="00DD2E13">
        <w:rPr>
          <w:rFonts w:asciiTheme="majorHAnsi" w:hAnsiTheme="majorHAnsi" w:cs="Calibri Light"/>
        </w:rPr>
        <w:t>Should there be different PRC EEA trigger point &amp; ORDC minimum reserves levels for winter and summer given potential for different events?</w:t>
      </w:r>
    </w:p>
    <w:bookmarkEnd w:id="4"/>
    <w:p w14:paraId="370DD315" w14:textId="77777777" w:rsidR="000640D0" w:rsidRPr="00DD2E13" w:rsidRDefault="000640D0" w:rsidP="000640D0">
      <w:pPr>
        <w:numPr>
          <w:ilvl w:val="1"/>
          <w:numId w:val="4"/>
        </w:numPr>
        <w:contextualSpacing/>
        <w:rPr>
          <w:rFonts w:asciiTheme="majorHAnsi" w:hAnsiTheme="majorHAnsi" w:cs="Calibri Light"/>
        </w:rPr>
      </w:pPr>
      <w:r w:rsidRPr="00DD2E13">
        <w:rPr>
          <w:rFonts w:asciiTheme="majorHAnsi" w:hAnsiTheme="majorHAnsi" w:cs="Calibri Light"/>
        </w:rPr>
        <w:t xml:space="preserve">How should intermittent nature of renewable resources be accounted for to ensure proper dispatchable capacity is available to meet energy demands </w:t>
      </w:r>
    </w:p>
    <w:p w14:paraId="2CDFCA74" w14:textId="2E2D483A" w:rsidR="001218CD" w:rsidRPr="00DD2E13" w:rsidRDefault="001218CD" w:rsidP="000640D0">
      <w:pPr>
        <w:numPr>
          <w:ilvl w:val="1"/>
          <w:numId w:val="4"/>
        </w:numPr>
        <w:contextualSpacing/>
        <w:rPr>
          <w:rFonts w:asciiTheme="majorHAnsi" w:hAnsiTheme="majorHAnsi" w:cs="Calibri Light"/>
        </w:rPr>
      </w:pPr>
      <w:r w:rsidRPr="00DD2E13">
        <w:rPr>
          <w:rFonts w:asciiTheme="majorHAnsi" w:hAnsiTheme="majorHAnsi" w:cs="Calibri Light"/>
        </w:rPr>
        <w:t xml:space="preserve">Are the existing suite of Ancillary Service products and quantities adequate </w:t>
      </w:r>
      <w:r w:rsidR="005911BA" w:rsidRPr="00DD2E13">
        <w:rPr>
          <w:rFonts w:asciiTheme="majorHAnsi" w:hAnsiTheme="majorHAnsi" w:cs="Calibri Light"/>
        </w:rPr>
        <w:t xml:space="preserve">to ensure reliability </w:t>
      </w:r>
      <w:r w:rsidRPr="00DD2E13">
        <w:rPr>
          <w:rFonts w:asciiTheme="majorHAnsi" w:hAnsiTheme="majorHAnsi" w:cs="Calibri Light"/>
        </w:rPr>
        <w:t>or are changes needed?</w:t>
      </w:r>
    </w:p>
    <w:p w14:paraId="20669EE2" w14:textId="77777777" w:rsidR="000640D0" w:rsidRPr="00DD2E13" w:rsidRDefault="000640D0" w:rsidP="000640D0">
      <w:pPr>
        <w:numPr>
          <w:ilvl w:val="1"/>
          <w:numId w:val="4"/>
        </w:numPr>
        <w:contextualSpacing/>
        <w:rPr>
          <w:rFonts w:asciiTheme="majorHAnsi" w:hAnsiTheme="majorHAnsi" w:cs="Calibri Light"/>
        </w:rPr>
      </w:pPr>
      <w:r w:rsidRPr="00DD2E13">
        <w:rPr>
          <w:rFonts w:asciiTheme="majorHAnsi" w:hAnsiTheme="majorHAnsi" w:cs="Calibri Light"/>
        </w:rPr>
        <w:t>Could fast frequency response play a bigger role?</w:t>
      </w:r>
    </w:p>
    <w:p w14:paraId="1BE9F64E" w14:textId="77777777" w:rsidR="000640D0" w:rsidRPr="00DD2E13" w:rsidRDefault="000640D0" w:rsidP="000640D0">
      <w:pPr>
        <w:numPr>
          <w:ilvl w:val="1"/>
          <w:numId w:val="4"/>
        </w:numPr>
        <w:rPr>
          <w:rFonts w:asciiTheme="majorHAnsi" w:hAnsiTheme="majorHAnsi" w:cs="Calibri Light"/>
        </w:rPr>
      </w:pPr>
      <w:r w:rsidRPr="00DD2E13">
        <w:rPr>
          <w:rFonts w:asciiTheme="majorHAnsi" w:hAnsiTheme="majorHAnsi" w:cs="Calibri Light"/>
        </w:rPr>
        <w:t>How did batteries providing FFR perform? Were FFR providers allowed to charge and if not, what penalties did they get charged?</w:t>
      </w:r>
    </w:p>
    <w:p w14:paraId="799ADCA2" w14:textId="77777777" w:rsidR="0091316E" w:rsidRPr="00DD2E13" w:rsidRDefault="0091316E" w:rsidP="000640D0">
      <w:pPr>
        <w:numPr>
          <w:ilvl w:val="1"/>
          <w:numId w:val="4"/>
        </w:numPr>
        <w:rPr>
          <w:rFonts w:asciiTheme="majorHAnsi" w:hAnsiTheme="majorHAnsi" w:cs="Calibri Light"/>
        </w:rPr>
      </w:pPr>
      <w:r w:rsidRPr="00DD2E13">
        <w:rPr>
          <w:rFonts w:asciiTheme="majorHAnsi" w:hAnsiTheme="majorHAnsi" w:cs="Calibri Light"/>
        </w:rPr>
        <w:t xml:space="preserve">Should the Reliability Must Run (RMR) processes be extended to units proposed for seasonal mothball? Are the RMR and Must Run Alternative study and processes </w:t>
      </w:r>
      <w:proofErr w:type="gramStart"/>
      <w:r w:rsidRPr="00DD2E13">
        <w:rPr>
          <w:rFonts w:asciiTheme="majorHAnsi" w:hAnsiTheme="majorHAnsi" w:cs="Calibri Light"/>
        </w:rPr>
        <w:t>sufficient</w:t>
      </w:r>
      <w:proofErr w:type="gramEnd"/>
      <w:r w:rsidRPr="00DD2E13">
        <w:rPr>
          <w:rFonts w:asciiTheme="majorHAnsi" w:hAnsiTheme="majorHAnsi" w:cs="Calibri Light"/>
        </w:rPr>
        <w:t xml:space="preserve"> or are changes to study parameters, such as winter peak-, planned/forced outage-, or resource dispatch-scenarios, needed?</w:t>
      </w:r>
    </w:p>
    <w:p w14:paraId="450F2BF0" w14:textId="2E97D85C" w:rsidR="007634EF" w:rsidRPr="00DD2E13" w:rsidRDefault="007634EF" w:rsidP="000640D0">
      <w:pPr>
        <w:numPr>
          <w:ilvl w:val="1"/>
          <w:numId w:val="4"/>
        </w:numPr>
        <w:rPr>
          <w:rFonts w:asciiTheme="majorHAnsi" w:hAnsiTheme="majorHAnsi" w:cs="Calibri Light"/>
        </w:rPr>
      </w:pPr>
      <w:r w:rsidRPr="00DD2E13">
        <w:rPr>
          <w:rFonts w:asciiTheme="majorHAnsi" w:hAnsiTheme="majorHAnsi" w:cs="Calibri Light"/>
        </w:rPr>
        <w:t xml:space="preserve">Are adjustments to the load forecasting methodology, scenario analysis and trend analysis needed </w:t>
      </w:r>
      <w:proofErr w:type="gramStart"/>
      <w:r w:rsidRPr="00DD2E13">
        <w:rPr>
          <w:rFonts w:asciiTheme="majorHAnsi" w:hAnsiTheme="majorHAnsi" w:cs="Calibri Light"/>
        </w:rPr>
        <w:t>in light of</w:t>
      </w:r>
      <w:proofErr w:type="gramEnd"/>
      <w:r w:rsidRPr="00DD2E13">
        <w:rPr>
          <w:rFonts w:asciiTheme="majorHAnsi" w:hAnsiTheme="majorHAnsi" w:cs="Calibri Light"/>
        </w:rPr>
        <w:t xml:space="preserve"> this event?</w:t>
      </w:r>
    </w:p>
    <w:p w14:paraId="038E045F" w14:textId="77777777" w:rsidR="006F12AB" w:rsidRPr="00DD2E13" w:rsidRDefault="006F12AB" w:rsidP="006F12AB">
      <w:pPr>
        <w:numPr>
          <w:ilvl w:val="1"/>
          <w:numId w:val="4"/>
        </w:numPr>
        <w:rPr>
          <w:rFonts w:asciiTheme="majorHAnsi" w:eastAsia="Times New Roman" w:hAnsiTheme="majorHAnsi" w:cs="Times New Roman"/>
        </w:rPr>
      </w:pPr>
      <w:r w:rsidRPr="00DD2E13">
        <w:rPr>
          <w:rFonts w:asciiTheme="majorHAnsi" w:eastAsia="Times New Roman" w:hAnsiTheme="majorHAnsi"/>
        </w:rPr>
        <w:t>How should we revise extreme winter cases for planning assessments?</w:t>
      </w:r>
    </w:p>
    <w:p w14:paraId="7A4A58D2" w14:textId="77777777" w:rsidR="006F12AB" w:rsidRPr="00DD2E13" w:rsidRDefault="006F12AB" w:rsidP="006F12AB">
      <w:pPr>
        <w:numPr>
          <w:ilvl w:val="1"/>
          <w:numId w:val="4"/>
        </w:numPr>
        <w:rPr>
          <w:rFonts w:asciiTheme="majorHAnsi" w:eastAsia="Times New Roman" w:hAnsiTheme="majorHAnsi" w:cs="Times New Roman"/>
        </w:rPr>
      </w:pPr>
      <w:r w:rsidRPr="00DD2E13">
        <w:rPr>
          <w:rFonts w:asciiTheme="majorHAnsi" w:eastAsia="Times New Roman" w:hAnsiTheme="majorHAnsi"/>
        </w:rPr>
        <w:t>How should capacity reports be modified to include gas market coincident and offsetting risks with electric system?</w:t>
      </w:r>
    </w:p>
    <w:p w14:paraId="4044C3E6" w14:textId="77777777" w:rsidR="00982655" w:rsidRPr="00DD2E13" w:rsidRDefault="00982655" w:rsidP="00982655">
      <w:pPr>
        <w:numPr>
          <w:ilvl w:val="1"/>
          <w:numId w:val="4"/>
        </w:numPr>
        <w:contextualSpacing/>
        <w:rPr>
          <w:rFonts w:asciiTheme="majorHAnsi" w:hAnsiTheme="majorHAnsi" w:cs="Calibri Light"/>
        </w:rPr>
      </w:pPr>
      <w:r w:rsidRPr="00DD2E13">
        <w:rPr>
          <w:rFonts w:asciiTheme="majorHAnsi" w:hAnsiTheme="majorHAnsi" w:cs="Calibri Light"/>
        </w:rPr>
        <w:t>What were the costs, benefits, and constraints of dual fuel and fuel storage? Are there potential market incentives based on lessons learned from this event?</w:t>
      </w:r>
    </w:p>
    <w:p w14:paraId="315F7611" w14:textId="1E414CD8" w:rsidR="00982655" w:rsidRPr="00DD2E13" w:rsidRDefault="00982655" w:rsidP="009F0561">
      <w:pPr>
        <w:pStyle w:val="ListParagraph"/>
        <w:numPr>
          <w:ilvl w:val="1"/>
          <w:numId w:val="4"/>
        </w:numPr>
        <w:rPr>
          <w:rFonts w:asciiTheme="majorHAnsi" w:eastAsia="Times New Roman" w:hAnsiTheme="majorHAnsi"/>
        </w:rPr>
      </w:pPr>
      <w:bookmarkStart w:id="5" w:name="_Hlk65626811"/>
      <w:r w:rsidRPr="00DD2E13">
        <w:rPr>
          <w:rFonts w:asciiTheme="majorHAnsi" w:eastAsia="Times New Roman" w:hAnsiTheme="majorHAnsi"/>
        </w:rPr>
        <w:t>Improve situational awareness by identifying all NG infrastructure that is critical for power plants, Identif</w:t>
      </w:r>
      <w:r w:rsidR="009F0561" w:rsidRPr="00DD2E13">
        <w:rPr>
          <w:rFonts w:asciiTheme="majorHAnsi" w:eastAsia="Times New Roman" w:hAnsiTheme="majorHAnsi"/>
        </w:rPr>
        <w:t>y</w:t>
      </w:r>
      <w:r w:rsidRPr="00DD2E13">
        <w:rPr>
          <w:rFonts w:asciiTheme="majorHAnsi" w:eastAsia="Times New Roman" w:hAnsiTheme="majorHAnsi"/>
        </w:rPr>
        <w:t xml:space="preserve">ing firm and non-firm supply power plants. </w:t>
      </w:r>
      <w:r w:rsidR="009F0561" w:rsidRPr="00DD2E13">
        <w:rPr>
          <w:rFonts w:asciiTheme="majorHAnsi" w:eastAsia="Times New Roman" w:hAnsiTheme="majorHAnsi"/>
        </w:rPr>
        <w:t xml:space="preserve">Should payments </w:t>
      </w:r>
      <w:r w:rsidRPr="00DD2E13">
        <w:rPr>
          <w:rFonts w:asciiTheme="majorHAnsi" w:eastAsia="Times New Roman" w:hAnsiTheme="majorHAnsi"/>
        </w:rPr>
        <w:t xml:space="preserve">for NG storage closer to NG plants </w:t>
      </w:r>
      <w:r w:rsidR="009F0561" w:rsidRPr="00DD2E13">
        <w:rPr>
          <w:rFonts w:asciiTheme="majorHAnsi" w:eastAsia="Times New Roman" w:hAnsiTheme="majorHAnsi"/>
        </w:rPr>
        <w:t xml:space="preserve">be considered </w:t>
      </w:r>
      <w:r w:rsidRPr="00DD2E13">
        <w:rPr>
          <w:rFonts w:asciiTheme="majorHAnsi" w:eastAsia="Times New Roman" w:hAnsiTheme="majorHAnsi"/>
        </w:rPr>
        <w:t>to avoid counting a major supply on long haul transport</w:t>
      </w:r>
      <w:r w:rsidR="009F0561" w:rsidRPr="00DD2E13">
        <w:rPr>
          <w:rFonts w:asciiTheme="majorHAnsi" w:eastAsia="Times New Roman" w:hAnsiTheme="majorHAnsi"/>
        </w:rPr>
        <w:t>?</w:t>
      </w:r>
    </w:p>
    <w:bookmarkEnd w:id="5"/>
    <w:p w14:paraId="32A78991" w14:textId="77777777" w:rsidR="005911BA" w:rsidRPr="00DD2E13" w:rsidRDefault="005911BA" w:rsidP="005911BA">
      <w:pPr>
        <w:ind w:left="1080"/>
        <w:rPr>
          <w:rFonts w:asciiTheme="majorHAnsi" w:hAnsiTheme="majorHAnsi" w:cs="Calibri Light"/>
        </w:rPr>
      </w:pPr>
    </w:p>
    <w:p w14:paraId="72155E0A" w14:textId="77777777" w:rsidR="000640D0" w:rsidRPr="00DD2E13" w:rsidRDefault="000640D0" w:rsidP="000640D0">
      <w:pPr>
        <w:numPr>
          <w:ilvl w:val="0"/>
          <w:numId w:val="4"/>
        </w:numPr>
        <w:contextualSpacing/>
        <w:rPr>
          <w:rFonts w:asciiTheme="majorHAnsi" w:hAnsiTheme="majorHAnsi" w:cs="Calibri Light"/>
          <w:b/>
          <w:bCs/>
        </w:rPr>
      </w:pPr>
      <w:r w:rsidRPr="00DD2E13">
        <w:rPr>
          <w:rFonts w:asciiTheme="majorHAnsi" w:hAnsiTheme="majorHAnsi" w:cs="Calibri Light"/>
          <w:b/>
          <w:bCs/>
        </w:rPr>
        <w:t>ERS</w:t>
      </w:r>
      <w:r w:rsidRPr="00DD2E13">
        <w:rPr>
          <w:rFonts w:asciiTheme="majorHAnsi" w:hAnsiTheme="majorHAnsi" w:cs="Calibri Light"/>
        </w:rPr>
        <w:t xml:space="preserve"> </w:t>
      </w:r>
      <w:r w:rsidRPr="00DD2E13">
        <w:rPr>
          <w:rFonts w:asciiTheme="majorHAnsi" w:hAnsiTheme="majorHAnsi" w:cs="Calibri Light"/>
          <w:b/>
          <w:bCs/>
        </w:rPr>
        <w:t>/ DR/ DER/ SODG</w:t>
      </w:r>
      <w:r w:rsidR="001218CD" w:rsidRPr="00DD2E13">
        <w:rPr>
          <w:rFonts w:asciiTheme="majorHAnsi" w:hAnsiTheme="majorHAnsi" w:cs="Calibri Light"/>
          <w:b/>
          <w:bCs/>
        </w:rPr>
        <w:t>/DC Ties</w:t>
      </w:r>
    </w:p>
    <w:p w14:paraId="38C5AD41" w14:textId="74EBC718" w:rsidR="000640D0" w:rsidRPr="00DD2E13" w:rsidRDefault="000640D0" w:rsidP="000640D0">
      <w:pPr>
        <w:numPr>
          <w:ilvl w:val="1"/>
          <w:numId w:val="4"/>
        </w:numPr>
        <w:contextualSpacing/>
        <w:rPr>
          <w:rFonts w:asciiTheme="majorHAnsi" w:hAnsiTheme="majorHAnsi" w:cs="Calibri Light"/>
        </w:rPr>
      </w:pPr>
      <w:r w:rsidRPr="00DD2E13">
        <w:rPr>
          <w:rFonts w:asciiTheme="majorHAnsi" w:hAnsiTheme="majorHAnsi" w:cs="Calibri Light"/>
        </w:rPr>
        <w:t>What % of $50M was used during winter period</w:t>
      </w:r>
      <w:r w:rsidR="005911BA" w:rsidRPr="00DD2E13">
        <w:rPr>
          <w:rFonts w:asciiTheme="majorHAnsi" w:hAnsiTheme="majorHAnsi" w:cs="Calibri Light"/>
        </w:rPr>
        <w:t>?</w:t>
      </w:r>
    </w:p>
    <w:p w14:paraId="5C209F4A" w14:textId="77777777" w:rsidR="009633DB" w:rsidRPr="00DD2E13" w:rsidRDefault="000640D0" w:rsidP="000640D0">
      <w:pPr>
        <w:numPr>
          <w:ilvl w:val="1"/>
          <w:numId w:val="4"/>
        </w:numPr>
        <w:rPr>
          <w:rFonts w:asciiTheme="majorHAnsi" w:hAnsiTheme="majorHAnsi" w:cs="Calibri Light"/>
        </w:rPr>
      </w:pPr>
      <w:r w:rsidRPr="00DD2E13">
        <w:rPr>
          <w:rFonts w:asciiTheme="majorHAnsi" w:hAnsiTheme="majorHAnsi" w:cs="Calibri Light"/>
        </w:rPr>
        <w:t xml:space="preserve">Did ERS work well during crisis? </w:t>
      </w:r>
      <w:r w:rsidR="005911BA" w:rsidRPr="00DD2E13">
        <w:rPr>
          <w:rFonts w:asciiTheme="majorHAnsi" w:hAnsiTheme="majorHAnsi" w:cs="Calibri Light"/>
        </w:rPr>
        <w:t xml:space="preserve">Are any modifications needed? </w:t>
      </w:r>
    </w:p>
    <w:p w14:paraId="3D283E2E" w14:textId="26783F1E" w:rsidR="009633DB" w:rsidRPr="00DD2E13" w:rsidRDefault="009633DB" w:rsidP="000640D0">
      <w:pPr>
        <w:numPr>
          <w:ilvl w:val="1"/>
          <w:numId w:val="4"/>
        </w:numPr>
        <w:rPr>
          <w:rFonts w:asciiTheme="majorHAnsi" w:hAnsiTheme="majorHAnsi" w:cs="Calibri Light"/>
        </w:rPr>
      </w:pPr>
      <w:r w:rsidRPr="00DD2E13">
        <w:rPr>
          <w:rFonts w:asciiTheme="majorHAnsi" w:hAnsiTheme="majorHAnsi"/>
        </w:rPr>
        <w:t>How much of the ERS load is from transmission connected load vs distribution connected and how much transmission connected load self-curtailed?</w:t>
      </w:r>
    </w:p>
    <w:p w14:paraId="129467C4" w14:textId="56E57E39" w:rsidR="000640D0" w:rsidRPr="00DD2E13" w:rsidRDefault="000640D0" w:rsidP="000640D0">
      <w:pPr>
        <w:numPr>
          <w:ilvl w:val="1"/>
          <w:numId w:val="4"/>
        </w:numPr>
        <w:rPr>
          <w:rFonts w:asciiTheme="majorHAnsi" w:hAnsiTheme="majorHAnsi" w:cs="Calibri Light"/>
        </w:rPr>
      </w:pPr>
      <w:r w:rsidRPr="00DD2E13">
        <w:rPr>
          <w:rFonts w:asciiTheme="majorHAnsi" w:hAnsiTheme="majorHAnsi" w:cs="Calibri Light"/>
        </w:rPr>
        <w:t>If ERCOT had more flexibility to increase ERS resources would it have helped?</w:t>
      </w:r>
    </w:p>
    <w:p w14:paraId="2DA9F7D2" w14:textId="0483F560" w:rsidR="009633DB" w:rsidRPr="00DD2E13" w:rsidRDefault="009633DB" w:rsidP="001218CD">
      <w:pPr>
        <w:numPr>
          <w:ilvl w:val="1"/>
          <w:numId w:val="4"/>
        </w:numPr>
        <w:contextualSpacing/>
        <w:rPr>
          <w:rFonts w:asciiTheme="majorHAnsi" w:hAnsiTheme="majorHAnsi" w:cs="Calibri Light"/>
        </w:rPr>
      </w:pPr>
      <w:r w:rsidRPr="00DD2E13">
        <w:rPr>
          <w:rFonts w:asciiTheme="majorHAnsi" w:hAnsiTheme="majorHAnsi" w:cs="Calibri Light"/>
        </w:rPr>
        <w:t>To harden critical infrastructure should</w:t>
      </w:r>
    </w:p>
    <w:p w14:paraId="62F25CEF" w14:textId="5569236A" w:rsidR="009633DB" w:rsidRPr="00DD2E13" w:rsidRDefault="000640D0" w:rsidP="009633DB">
      <w:pPr>
        <w:numPr>
          <w:ilvl w:val="2"/>
          <w:numId w:val="4"/>
        </w:numPr>
        <w:contextualSpacing/>
        <w:rPr>
          <w:rFonts w:asciiTheme="majorHAnsi" w:hAnsiTheme="majorHAnsi" w:cs="Calibri Light"/>
        </w:rPr>
      </w:pPr>
      <w:r w:rsidRPr="00DD2E13">
        <w:rPr>
          <w:rFonts w:asciiTheme="majorHAnsi" w:hAnsiTheme="majorHAnsi" w:cs="Calibri Light"/>
        </w:rPr>
        <w:t xml:space="preserve">ERS be expanded </w:t>
      </w:r>
    </w:p>
    <w:p w14:paraId="4F4D3661" w14:textId="77777777" w:rsidR="009633DB" w:rsidRPr="00DD2E13" w:rsidRDefault="000640D0" w:rsidP="009633DB">
      <w:pPr>
        <w:numPr>
          <w:ilvl w:val="2"/>
          <w:numId w:val="4"/>
        </w:numPr>
        <w:contextualSpacing/>
        <w:rPr>
          <w:rFonts w:asciiTheme="majorHAnsi" w:hAnsiTheme="majorHAnsi" w:cs="Calibri Light"/>
        </w:rPr>
      </w:pPr>
      <w:r w:rsidRPr="00DD2E13">
        <w:rPr>
          <w:rFonts w:asciiTheme="majorHAnsi" w:hAnsiTheme="majorHAnsi" w:cs="Calibri Light"/>
        </w:rPr>
        <w:t xml:space="preserve">new program </w:t>
      </w:r>
      <w:proofErr w:type="gramStart"/>
      <w:r w:rsidR="009633DB" w:rsidRPr="00DD2E13">
        <w:rPr>
          <w:rFonts w:asciiTheme="majorHAnsi" w:hAnsiTheme="majorHAnsi" w:cs="Calibri Light"/>
        </w:rPr>
        <w:t>similar to</w:t>
      </w:r>
      <w:proofErr w:type="gramEnd"/>
      <w:r w:rsidR="009633DB" w:rsidRPr="00DD2E13">
        <w:rPr>
          <w:rFonts w:asciiTheme="majorHAnsi" w:hAnsiTheme="majorHAnsi" w:cs="Calibri Light"/>
        </w:rPr>
        <w:t xml:space="preserve"> ERS </w:t>
      </w:r>
      <w:r w:rsidRPr="00DD2E13">
        <w:rPr>
          <w:rFonts w:asciiTheme="majorHAnsi" w:hAnsiTheme="majorHAnsi" w:cs="Calibri Light"/>
        </w:rPr>
        <w:t>be created to support DERs</w:t>
      </w:r>
    </w:p>
    <w:p w14:paraId="734858D5" w14:textId="602C0A38" w:rsidR="009633DB" w:rsidRPr="00DD2E13" w:rsidRDefault="009633DB" w:rsidP="009633DB">
      <w:pPr>
        <w:numPr>
          <w:ilvl w:val="2"/>
          <w:numId w:val="4"/>
        </w:numPr>
        <w:contextualSpacing/>
        <w:rPr>
          <w:rFonts w:asciiTheme="majorHAnsi" w:hAnsiTheme="majorHAnsi" w:cs="Calibri Light"/>
        </w:rPr>
      </w:pPr>
      <w:r w:rsidRPr="00DD2E13">
        <w:rPr>
          <w:rFonts w:asciiTheme="majorHAnsi" w:hAnsiTheme="majorHAnsi"/>
        </w:rPr>
        <w:t>encourage stand-alone self-contained microgrids.</w:t>
      </w:r>
    </w:p>
    <w:p w14:paraId="1490DE2A" w14:textId="3D80748C" w:rsidR="009633DB" w:rsidRPr="00DD2E13" w:rsidRDefault="009633DB" w:rsidP="009633DB">
      <w:pPr>
        <w:numPr>
          <w:ilvl w:val="2"/>
          <w:numId w:val="4"/>
        </w:numPr>
        <w:contextualSpacing/>
        <w:rPr>
          <w:rFonts w:asciiTheme="majorHAnsi" w:hAnsiTheme="majorHAnsi" w:cs="Calibri Light"/>
        </w:rPr>
      </w:pPr>
      <w:r w:rsidRPr="00DD2E13">
        <w:rPr>
          <w:rFonts w:asciiTheme="majorHAnsi" w:hAnsiTheme="majorHAnsi"/>
        </w:rPr>
        <w:t>encourage installation of fuel storage at or near gas plants</w:t>
      </w:r>
    </w:p>
    <w:p w14:paraId="0403ECF0" w14:textId="278CE97A" w:rsidR="009633DB" w:rsidRPr="00DD2E13" w:rsidRDefault="009633DB" w:rsidP="009633DB">
      <w:pPr>
        <w:numPr>
          <w:ilvl w:val="2"/>
          <w:numId w:val="4"/>
        </w:numPr>
        <w:contextualSpacing/>
        <w:rPr>
          <w:rFonts w:asciiTheme="majorHAnsi" w:hAnsiTheme="majorHAnsi" w:cs="Calibri Light"/>
        </w:rPr>
      </w:pPr>
      <w:r w:rsidRPr="00DD2E13">
        <w:rPr>
          <w:rFonts w:asciiTheme="majorHAnsi" w:hAnsiTheme="majorHAnsi"/>
        </w:rPr>
        <w:t>Install backup batteries/DG at critical facilities</w:t>
      </w:r>
    </w:p>
    <w:p w14:paraId="360A80A3" w14:textId="07E60360" w:rsidR="000640D0" w:rsidRPr="00DD2E13" w:rsidRDefault="000640D0" w:rsidP="000640D0">
      <w:pPr>
        <w:numPr>
          <w:ilvl w:val="1"/>
          <w:numId w:val="4"/>
        </w:numPr>
        <w:rPr>
          <w:rFonts w:asciiTheme="majorHAnsi" w:hAnsiTheme="majorHAnsi" w:cs="Calibri Light"/>
        </w:rPr>
      </w:pPr>
      <w:r w:rsidRPr="00DD2E13">
        <w:rPr>
          <w:rFonts w:asciiTheme="majorHAnsi" w:hAnsiTheme="majorHAnsi" w:cs="Calibri Light"/>
        </w:rPr>
        <w:t xml:space="preserve">How did DR perform? </w:t>
      </w:r>
      <w:r w:rsidR="00D04D23" w:rsidRPr="00DD2E13">
        <w:rPr>
          <w:rFonts w:asciiTheme="majorHAnsi" w:hAnsiTheme="majorHAnsi"/>
        </w:rPr>
        <w:t xml:space="preserve">Should UFR deployed beyond the period of </w:t>
      </w:r>
      <w:proofErr w:type="gramStart"/>
      <w:r w:rsidR="00D04D23" w:rsidRPr="00DD2E13">
        <w:rPr>
          <w:rFonts w:asciiTheme="majorHAnsi" w:hAnsiTheme="majorHAnsi"/>
        </w:rPr>
        <w:t>it</w:t>
      </w:r>
      <w:proofErr w:type="gramEnd"/>
      <w:r w:rsidR="00D04D23" w:rsidRPr="00DD2E13">
        <w:rPr>
          <w:rFonts w:asciiTheme="majorHAnsi" w:hAnsiTheme="majorHAnsi"/>
        </w:rPr>
        <w:t xml:space="preserve"> obligation be compensated for the deployment? Should A/S Imbalance Charge to deployed Load Resources be revisited?</w:t>
      </w:r>
    </w:p>
    <w:p w14:paraId="1E1C2CE7" w14:textId="421684A7" w:rsidR="00D04D23" w:rsidRPr="00DD2E13" w:rsidRDefault="00D04D23" w:rsidP="000640D0">
      <w:pPr>
        <w:numPr>
          <w:ilvl w:val="1"/>
          <w:numId w:val="4"/>
        </w:numPr>
        <w:rPr>
          <w:rFonts w:asciiTheme="majorHAnsi" w:hAnsiTheme="majorHAnsi" w:cs="Calibri Light"/>
        </w:rPr>
      </w:pPr>
      <w:r w:rsidRPr="00DD2E13">
        <w:rPr>
          <w:rFonts w:asciiTheme="majorHAnsi" w:hAnsiTheme="majorHAnsi"/>
        </w:rPr>
        <w:t>Should all prospective (and existing) Load Resources and ERS loads that are classified as essential to the transportation, compression, processing, and delivery of natural gas or any other power generation fuel not be allowed to participate as LR or ESR?</w:t>
      </w:r>
    </w:p>
    <w:p w14:paraId="261E6C35" w14:textId="77777777" w:rsidR="00AC0F79" w:rsidRPr="00DD2E13" w:rsidRDefault="00AC0F79" w:rsidP="00AC0F79">
      <w:pPr>
        <w:numPr>
          <w:ilvl w:val="1"/>
          <w:numId w:val="4"/>
        </w:numPr>
        <w:rPr>
          <w:rFonts w:asciiTheme="majorHAnsi" w:eastAsia="Times New Roman" w:hAnsiTheme="majorHAnsi" w:cs="Times New Roman"/>
        </w:rPr>
      </w:pPr>
      <w:r w:rsidRPr="00DD2E13">
        <w:rPr>
          <w:rFonts w:asciiTheme="majorHAnsi" w:eastAsia="Times New Roman" w:hAnsiTheme="majorHAnsi"/>
        </w:rPr>
        <w:t>Did we place conflicting risks on any ERS loads?</w:t>
      </w:r>
    </w:p>
    <w:p w14:paraId="4BF5B658" w14:textId="77777777" w:rsidR="000640D0" w:rsidRPr="00DD2E13" w:rsidRDefault="000640D0" w:rsidP="000640D0">
      <w:pPr>
        <w:numPr>
          <w:ilvl w:val="1"/>
          <w:numId w:val="4"/>
        </w:numPr>
        <w:contextualSpacing/>
        <w:rPr>
          <w:rFonts w:asciiTheme="majorHAnsi" w:hAnsiTheme="majorHAnsi" w:cs="Calibri Light"/>
        </w:rPr>
      </w:pPr>
      <w:r w:rsidRPr="00DD2E13">
        <w:rPr>
          <w:rFonts w:asciiTheme="majorHAnsi" w:hAnsiTheme="majorHAnsi" w:cs="Calibri Light"/>
        </w:rPr>
        <w:t>Could more DERs have helped? In addition to settlement-only DERs (between 1 and 10 MWs) is more needed to be done for a heavy-version of DERs so they can compete in energy and ancillary market more directly or is the current DER-light approach good enough? </w:t>
      </w:r>
    </w:p>
    <w:p w14:paraId="2C613299" w14:textId="77777777" w:rsidR="000640D0" w:rsidRPr="00DD2E13" w:rsidRDefault="000640D0" w:rsidP="000640D0">
      <w:pPr>
        <w:numPr>
          <w:ilvl w:val="1"/>
          <w:numId w:val="4"/>
        </w:numPr>
        <w:contextualSpacing/>
        <w:rPr>
          <w:rFonts w:asciiTheme="majorHAnsi" w:hAnsiTheme="majorHAnsi" w:cs="Calibri Light"/>
        </w:rPr>
      </w:pPr>
      <w:r w:rsidRPr="00DD2E13">
        <w:rPr>
          <w:rFonts w:asciiTheme="majorHAnsi" w:hAnsiTheme="majorHAnsi" w:cs="Calibri Light"/>
        </w:rPr>
        <w:t>How did SODG perform?</w:t>
      </w:r>
    </w:p>
    <w:p w14:paraId="1D495FAA" w14:textId="750571F0" w:rsidR="009633DB" w:rsidRPr="00DD2E13" w:rsidRDefault="001218CD" w:rsidP="009633DB">
      <w:pPr>
        <w:numPr>
          <w:ilvl w:val="1"/>
          <w:numId w:val="4"/>
        </w:numPr>
        <w:contextualSpacing/>
        <w:rPr>
          <w:rFonts w:asciiTheme="majorHAnsi" w:hAnsiTheme="majorHAnsi" w:cs="Calibri Light"/>
        </w:rPr>
      </w:pPr>
      <w:r w:rsidRPr="00DD2E13">
        <w:rPr>
          <w:rFonts w:asciiTheme="majorHAnsi" w:hAnsiTheme="majorHAnsi" w:cs="Calibri Light"/>
        </w:rPr>
        <w:t>How did DC ties perform du</w:t>
      </w:r>
      <w:r w:rsidR="007634EF" w:rsidRPr="00DD2E13">
        <w:rPr>
          <w:rFonts w:asciiTheme="majorHAnsi" w:hAnsiTheme="majorHAnsi" w:cs="Calibri Light"/>
        </w:rPr>
        <w:t>ring the event? Are there any impacts to planning assumptions and other DC tie policies as a result of this event?</w:t>
      </w:r>
    </w:p>
    <w:p w14:paraId="450975D8" w14:textId="77777777" w:rsidR="00917AA9" w:rsidRPr="00DD2E13" w:rsidRDefault="00917AA9" w:rsidP="00917AA9">
      <w:pPr>
        <w:ind w:left="1080"/>
        <w:contextualSpacing/>
        <w:rPr>
          <w:rFonts w:asciiTheme="majorHAnsi" w:hAnsiTheme="majorHAnsi" w:cs="Calibri Light"/>
        </w:rPr>
      </w:pPr>
    </w:p>
    <w:p w14:paraId="2E8D31A8" w14:textId="77777777" w:rsidR="000640D0" w:rsidRPr="00DD2E13" w:rsidRDefault="000640D0" w:rsidP="000640D0">
      <w:pPr>
        <w:numPr>
          <w:ilvl w:val="0"/>
          <w:numId w:val="4"/>
        </w:numPr>
        <w:contextualSpacing/>
        <w:rPr>
          <w:rFonts w:asciiTheme="majorHAnsi" w:hAnsiTheme="majorHAnsi" w:cs="Calibri Light"/>
          <w:b/>
          <w:bCs/>
        </w:rPr>
      </w:pPr>
      <w:r w:rsidRPr="00DD2E13">
        <w:rPr>
          <w:rFonts w:asciiTheme="majorHAnsi" w:hAnsiTheme="majorHAnsi" w:cs="Calibri Light"/>
          <w:b/>
          <w:bCs/>
        </w:rPr>
        <w:t>Credit &amp; billing</w:t>
      </w:r>
    </w:p>
    <w:p w14:paraId="135D63BB" w14:textId="77777777" w:rsidR="00917AA9" w:rsidRPr="00DD2E13" w:rsidRDefault="00917AA9" w:rsidP="00917AA9">
      <w:pPr>
        <w:numPr>
          <w:ilvl w:val="1"/>
          <w:numId w:val="4"/>
        </w:numPr>
        <w:contextualSpacing/>
        <w:rPr>
          <w:rFonts w:asciiTheme="majorHAnsi" w:hAnsiTheme="majorHAnsi" w:cs="Calibri Light"/>
        </w:rPr>
      </w:pPr>
      <w:bookmarkStart w:id="6" w:name="_Hlk65529758"/>
      <w:r w:rsidRPr="00DD2E13">
        <w:rPr>
          <w:rFonts w:asciiTheme="majorHAnsi" w:hAnsiTheme="majorHAnsi" w:cs="Calibri Light"/>
        </w:rPr>
        <w:t>What enhancements to the existing credit/collateral requirements and overall credit risk management policies are needed as a result of this event?</w:t>
      </w:r>
    </w:p>
    <w:p w14:paraId="79B6D7D7" w14:textId="77777777" w:rsidR="000640D0" w:rsidRPr="00DD2E13" w:rsidRDefault="000640D0" w:rsidP="000640D0">
      <w:pPr>
        <w:numPr>
          <w:ilvl w:val="1"/>
          <w:numId w:val="4"/>
        </w:numPr>
        <w:contextualSpacing/>
        <w:rPr>
          <w:rFonts w:asciiTheme="majorHAnsi" w:hAnsiTheme="majorHAnsi" w:cs="Calibri Light"/>
        </w:rPr>
      </w:pPr>
      <w:r w:rsidRPr="00DD2E13">
        <w:rPr>
          <w:rFonts w:asciiTheme="majorHAnsi" w:hAnsiTheme="majorHAnsi" w:cs="Calibri Light"/>
        </w:rPr>
        <w:t>Should Collateral and Settlement be netted at CP level?</w:t>
      </w:r>
      <w:bookmarkEnd w:id="6"/>
    </w:p>
    <w:p w14:paraId="23C1763F" w14:textId="77777777" w:rsidR="000640D0" w:rsidRPr="00DD2E13" w:rsidRDefault="000640D0" w:rsidP="000640D0">
      <w:pPr>
        <w:numPr>
          <w:ilvl w:val="1"/>
          <w:numId w:val="4"/>
        </w:numPr>
        <w:contextualSpacing/>
        <w:rPr>
          <w:rFonts w:asciiTheme="majorHAnsi" w:hAnsiTheme="majorHAnsi" w:cs="Calibri Light"/>
        </w:rPr>
      </w:pPr>
      <w:r w:rsidRPr="00DD2E13">
        <w:rPr>
          <w:rFonts w:asciiTheme="majorHAnsi" w:hAnsiTheme="majorHAnsi" w:cs="Calibri Light"/>
        </w:rPr>
        <w:t>Should $2.5M/monthly default uplift be revisited?</w:t>
      </w:r>
    </w:p>
    <w:p w14:paraId="4FE211A6" w14:textId="77777777" w:rsidR="000640D0" w:rsidRPr="00DD2E13" w:rsidRDefault="000640D0" w:rsidP="000640D0">
      <w:pPr>
        <w:numPr>
          <w:ilvl w:val="1"/>
          <w:numId w:val="4"/>
        </w:numPr>
        <w:contextualSpacing/>
        <w:rPr>
          <w:rFonts w:asciiTheme="majorHAnsi" w:hAnsiTheme="majorHAnsi" w:cs="Calibri Light"/>
        </w:rPr>
      </w:pPr>
      <w:r w:rsidRPr="00DD2E13">
        <w:rPr>
          <w:rFonts w:asciiTheme="majorHAnsi" w:hAnsiTheme="majorHAnsi" w:cs="Calibri Light"/>
        </w:rPr>
        <w:t>Should correct credit calcs for DC Tie import/export during EEA be corrected as RTLE is based on history of value which could be exporting power while during EEA it would be importing?</w:t>
      </w:r>
    </w:p>
    <w:p w14:paraId="7E02E5A0" w14:textId="77777777" w:rsidR="00917AA9" w:rsidRPr="00DD2E13" w:rsidRDefault="00917AA9" w:rsidP="00917AA9">
      <w:pPr>
        <w:numPr>
          <w:ilvl w:val="1"/>
          <w:numId w:val="4"/>
        </w:numPr>
        <w:contextualSpacing/>
        <w:rPr>
          <w:rFonts w:asciiTheme="majorHAnsi" w:hAnsiTheme="majorHAnsi" w:cs="Calibri Light"/>
        </w:rPr>
      </w:pPr>
      <w:r w:rsidRPr="00DD2E13">
        <w:rPr>
          <w:rFonts w:asciiTheme="majorHAnsi" w:hAnsiTheme="majorHAnsi" w:cs="Calibri Light"/>
        </w:rPr>
        <w:t>What changes to ERCOT settlements and market uplift processes are needed as a result of this event?</w:t>
      </w:r>
    </w:p>
    <w:p w14:paraId="2ECBE113" w14:textId="77777777" w:rsidR="000640D0" w:rsidRPr="00DD2E13" w:rsidRDefault="000640D0" w:rsidP="000640D0">
      <w:pPr>
        <w:numPr>
          <w:ilvl w:val="1"/>
          <w:numId w:val="4"/>
        </w:numPr>
        <w:contextualSpacing/>
        <w:rPr>
          <w:rFonts w:asciiTheme="majorHAnsi" w:hAnsiTheme="majorHAnsi" w:cs="Calibri Light"/>
        </w:rPr>
      </w:pPr>
      <w:r w:rsidRPr="00DD2E13">
        <w:rPr>
          <w:rFonts w:asciiTheme="majorHAnsi" w:hAnsiTheme="majorHAnsi" w:cs="Calibri Light"/>
        </w:rPr>
        <w:t>Should there be modifications for Validation, Editing and Estimation of meter data? What is the extend of billing error caused by this?</w:t>
      </w:r>
    </w:p>
    <w:p w14:paraId="66E6D8C7" w14:textId="77777777" w:rsidR="000640D0" w:rsidRPr="00DD2E13" w:rsidRDefault="000640D0" w:rsidP="000640D0">
      <w:pPr>
        <w:rPr>
          <w:rFonts w:asciiTheme="majorHAnsi" w:hAnsiTheme="majorHAnsi"/>
        </w:rPr>
      </w:pPr>
    </w:p>
    <w:p w14:paraId="411746E6" w14:textId="77777777" w:rsidR="000640D0" w:rsidRPr="00DD2E13" w:rsidRDefault="000640D0" w:rsidP="000640D0">
      <w:pPr>
        <w:rPr>
          <w:rFonts w:asciiTheme="majorHAnsi" w:hAnsiTheme="majorHAnsi"/>
        </w:rPr>
      </w:pPr>
    </w:p>
    <w:p w14:paraId="3507C204" w14:textId="3528DCBD" w:rsidR="000640D0" w:rsidRPr="00DD2E13" w:rsidRDefault="00316E83" w:rsidP="000640D0">
      <w:pPr>
        <w:rPr>
          <w:rFonts w:asciiTheme="majorHAnsi" w:hAnsiTheme="majorHAnsi"/>
          <w:b/>
          <w:bCs/>
        </w:rPr>
      </w:pPr>
      <w:r w:rsidRPr="00DD2E13">
        <w:rPr>
          <w:rFonts w:asciiTheme="majorHAnsi" w:hAnsiTheme="majorHAnsi"/>
          <w:b/>
          <w:bCs/>
        </w:rPr>
        <w:t xml:space="preserve">Questions on Shortfall Market Notice </w:t>
      </w:r>
      <w:r w:rsidR="007A3703" w:rsidRPr="00DD2E13">
        <w:rPr>
          <w:rFonts w:asciiTheme="majorHAnsi" w:hAnsiTheme="majorHAnsi"/>
          <w:b/>
          <w:bCs/>
        </w:rPr>
        <w:t>&amp; Settlements</w:t>
      </w:r>
    </w:p>
    <w:p w14:paraId="3CF966DA" w14:textId="77777777" w:rsidR="007A3703" w:rsidRPr="00DD2E13" w:rsidRDefault="009F0561" w:rsidP="007A3703">
      <w:pPr>
        <w:numPr>
          <w:ilvl w:val="1"/>
          <w:numId w:val="4"/>
        </w:numPr>
        <w:contextualSpacing/>
        <w:rPr>
          <w:rFonts w:asciiTheme="majorHAnsi" w:hAnsiTheme="majorHAnsi" w:cs="Calibri Light"/>
        </w:rPr>
      </w:pPr>
      <w:r w:rsidRPr="00DD2E13">
        <w:rPr>
          <w:rFonts w:asciiTheme="majorHAnsi" w:hAnsiTheme="majorHAnsi" w:cs="Calibri Light"/>
        </w:rPr>
        <w:t>Please provide clarity on</w:t>
      </w:r>
      <w:r w:rsidR="007A3703" w:rsidRPr="00DD2E13">
        <w:rPr>
          <w:rFonts w:asciiTheme="majorHAnsi" w:hAnsiTheme="majorHAnsi" w:cs="Calibri Light"/>
        </w:rPr>
        <w:t xml:space="preserve"> how</w:t>
      </w:r>
      <w:r w:rsidRPr="00DD2E13">
        <w:rPr>
          <w:rFonts w:asciiTheme="majorHAnsi" w:hAnsiTheme="majorHAnsi" w:cs="Calibri Light"/>
        </w:rPr>
        <w:t xml:space="preserve"> ERCOT is applying its discretion </w:t>
      </w:r>
      <w:proofErr w:type="gramStart"/>
      <w:r w:rsidRPr="00DD2E13">
        <w:rPr>
          <w:rFonts w:asciiTheme="majorHAnsi" w:hAnsiTheme="majorHAnsi" w:cs="Calibri Light"/>
        </w:rPr>
        <w:t>with regard to</w:t>
      </w:r>
      <w:proofErr w:type="gramEnd"/>
      <w:r w:rsidRPr="00DD2E13">
        <w:rPr>
          <w:rFonts w:asciiTheme="majorHAnsi" w:hAnsiTheme="majorHAnsi" w:cs="Calibri Light"/>
        </w:rPr>
        <w:t xml:space="preserve"> credit and settlement</w:t>
      </w:r>
    </w:p>
    <w:p w14:paraId="1796EB4A" w14:textId="45A75D13" w:rsidR="007A3703" w:rsidRPr="00DD2E13" w:rsidRDefault="007A3703" w:rsidP="007A3703">
      <w:pPr>
        <w:numPr>
          <w:ilvl w:val="1"/>
          <w:numId w:val="4"/>
        </w:numPr>
        <w:contextualSpacing/>
        <w:rPr>
          <w:rFonts w:asciiTheme="majorHAnsi" w:hAnsiTheme="majorHAnsi" w:cs="Calibri Light"/>
        </w:rPr>
      </w:pPr>
      <w:r w:rsidRPr="00DD2E13">
        <w:rPr>
          <w:rFonts w:asciiTheme="majorHAnsi" w:hAnsiTheme="majorHAnsi" w:cs="Calibri Light"/>
        </w:rPr>
        <w:t>What is the impact of bankruptcy uplift to load serving entities?</w:t>
      </w:r>
    </w:p>
    <w:p w14:paraId="05AAF2D7" w14:textId="044A64CB" w:rsidR="000640D0" w:rsidRPr="00DD2E13" w:rsidRDefault="000640D0" w:rsidP="000640D0">
      <w:pPr>
        <w:numPr>
          <w:ilvl w:val="1"/>
          <w:numId w:val="4"/>
        </w:numPr>
        <w:contextualSpacing/>
        <w:rPr>
          <w:rFonts w:asciiTheme="majorHAnsi" w:hAnsiTheme="majorHAnsi" w:cs="Calibri Light"/>
        </w:rPr>
      </w:pPr>
      <w:r w:rsidRPr="00DD2E13">
        <w:rPr>
          <w:rFonts w:asciiTheme="majorHAnsi" w:hAnsiTheme="majorHAnsi" w:cs="Calibri Light"/>
        </w:rPr>
        <w:t>What is the full scope of unpaid invoices and has ERCOT exhausted all means of collecting collateral?</w:t>
      </w:r>
    </w:p>
    <w:p w14:paraId="0A32DE5A" w14:textId="77777777" w:rsidR="000640D0" w:rsidRPr="00DD2E13" w:rsidRDefault="000640D0" w:rsidP="000640D0">
      <w:pPr>
        <w:numPr>
          <w:ilvl w:val="1"/>
          <w:numId w:val="4"/>
        </w:numPr>
        <w:contextualSpacing/>
        <w:rPr>
          <w:rFonts w:asciiTheme="majorHAnsi" w:hAnsiTheme="majorHAnsi" w:cs="Calibri Light"/>
        </w:rPr>
      </w:pPr>
      <w:r w:rsidRPr="00DD2E13">
        <w:rPr>
          <w:rFonts w:asciiTheme="majorHAnsi" w:hAnsiTheme="majorHAnsi" w:cs="Calibri Light"/>
        </w:rPr>
        <w:t xml:space="preserve">What if any actions are being taken </w:t>
      </w:r>
      <w:proofErr w:type="gramStart"/>
      <w:r w:rsidRPr="00DD2E13">
        <w:rPr>
          <w:rFonts w:asciiTheme="majorHAnsi" w:hAnsiTheme="majorHAnsi" w:cs="Calibri Light"/>
        </w:rPr>
        <w:t>in regard to</w:t>
      </w:r>
      <w:proofErr w:type="gramEnd"/>
      <w:r w:rsidRPr="00DD2E13">
        <w:rPr>
          <w:rFonts w:asciiTheme="majorHAnsi" w:hAnsiTheme="majorHAnsi" w:cs="Calibri Light"/>
        </w:rPr>
        <w:t xml:space="preserve"> the Denton Temporary Restraining Order? </w:t>
      </w:r>
    </w:p>
    <w:p w14:paraId="5C88D7AB" w14:textId="77777777" w:rsidR="000640D0" w:rsidRPr="00DD2E13" w:rsidRDefault="000640D0" w:rsidP="000640D0">
      <w:pPr>
        <w:numPr>
          <w:ilvl w:val="1"/>
          <w:numId w:val="4"/>
        </w:numPr>
        <w:contextualSpacing/>
        <w:rPr>
          <w:rFonts w:asciiTheme="majorHAnsi" w:hAnsiTheme="majorHAnsi" w:cs="Calibri Light"/>
        </w:rPr>
      </w:pPr>
      <w:r w:rsidRPr="00DD2E13">
        <w:rPr>
          <w:rFonts w:asciiTheme="majorHAnsi" w:hAnsiTheme="majorHAnsi" w:cs="Calibri Light"/>
        </w:rPr>
        <w:t xml:space="preserve">How does Brazos bankruptcy impact ERCOTs ability to collect any short pay funds from Brazos?  </w:t>
      </w:r>
    </w:p>
    <w:p w14:paraId="08C6A513" w14:textId="77777777" w:rsidR="000640D0" w:rsidRPr="00DD2E13" w:rsidRDefault="000640D0" w:rsidP="000640D0">
      <w:pPr>
        <w:numPr>
          <w:ilvl w:val="1"/>
          <w:numId w:val="4"/>
        </w:numPr>
        <w:contextualSpacing/>
        <w:rPr>
          <w:rFonts w:asciiTheme="majorHAnsi" w:hAnsiTheme="majorHAnsi" w:cs="Calibri Light"/>
        </w:rPr>
      </w:pPr>
      <w:r w:rsidRPr="00DD2E13">
        <w:rPr>
          <w:rFonts w:asciiTheme="majorHAnsi" w:hAnsiTheme="majorHAnsi" w:cs="Calibri Light"/>
        </w:rPr>
        <w:t xml:space="preserve">Has ERCOT developed any kind of credit facility to allow payment? </w:t>
      </w:r>
    </w:p>
    <w:p w14:paraId="47B7773C" w14:textId="77777777" w:rsidR="000640D0" w:rsidRPr="00DD2E13" w:rsidRDefault="000640D0" w:rsidP="000640D0">
      <w:pPr>
        <w:numPr>
          <w:ilvl w:val="1"/>
          <w:numId w:val="4"/>
        </w:numPr>
        <w:contextualSpacing/>
        <w:rPr>
          <w:rFonts w:asciiTheme="majorHAnsi" w:hAnsiTheme="majorHAnsi" w:cs="Calibri Light"/>
        </w:rPr>
      </w:pPr>
      <w:r w:rsidRPr="00DD2E13">
        <w:rPr>
          <w:rFonts w:asciiTheme="majorHAnsi" w:hAnsiTheme="majorHAnsi" w:cs="Calibri Light"/>
        </w:rPr>
        <w:t>What is the potential default uplift exposure for different entities?</w:t>
      </w:r>
    </w:p>
    <w:p w14:paraId="64660E83" w14:textId="77777777" w:rsidR="000640D0" w:rsidRPr="00DD2E13" w:rsidRDefault="000640D0" w:rsidP="000640D0">
      <w:pPr>
        <w:numPr>
          <w:ilvl w:val="2"/>
          <w:numId w:val="4"/>
        </w:numPr>
        <w:contextualSpacing/>
        <w:rPr>
          <w:rFonts w:asciiTheme="majorHAnsi" w:hAnsiTheme="majorHAnsi" w:cs="Calibri Light"/>
        </w:rPr>
      </w:pPr>
      <w:r w:rsidRPr="00DD2E13">
        <w:rPr>
          <w:rFonts w:asciiTheme="majorHAnsi" w:hAnsiTheme="majorHAnsi" w:cs="Calibri Light"/>
        </w:rPr>
        <w:t xml:space="preserve">MMARS of all counterparties that have defaulted, for </w:t>
      </w:r>
      <w:proofErr w:type="spellStart"/>
      <w:r w:rsidRPr="00DD2E13">
        <w:rPr>
          <w:rFonts w:asciiTheme="majorHAnsi" w:hAnsiTheme="majorHAnsi" w:cs="Calibri Light"/>
        </w:rPr>
        <w:t>Munis</w:t>
      </w:r>
      <w:proofErr w:type="spellEnd"/>
      <w:r w:rsidRPr="00DD2E13">
        <w:rPr>
          <w:rFonts w:asciiTheme="majorHAnsi" w:hAnsiTheme="majorHAnsi" w:cs="Calibri Light"/>
        </w:rPr>
        <w:t>, for Coops, for other entities with short pay but not defaulted.</w:t>
      </w:r>
    </w:p>
    <w:p w14:paraId="3A47B000" w14:textId="77777777" w:rsidR="000640D0" w:rsidRPr="00DD2E13" w:rsidRDefault="000640D0" w:rsidP="000640D0">
      <w:pPr>
        <w:numPr>
          <w:ilvl w:val="2"/>
          <w:numId w:val="4"/>
        </w:numPr>
        <w:contextualSpacing/>
        <w:rPr>
          <w:rFonts w:asciiTheme="majorHAnsi" w:hAnsiTheme="majorHAnsi" w:cs="Calibri Light"/>
        </w:rPr>
      </w:pPr>
      <w:r w:rsidRPr="00DD2E13">
        <w:rPr>
          <w:rFonts w:asciiTheme="majorHAnsi" w:hAnsiTheme="majorHAnsi" w:cs="Calibri Light"/>
        </w:rPr>
        <w:t xml:space="preserve">Total Accumulated Short Pay for defaulted Counterparties, for </w:t>
      </w:r>
      <w:proofErr w:type="spellStart"/>
      <w:r w:rsidRPr="00DD2E13">
        <w:rPr>
          <w:rFonts w:asciiTheme="majorHAnsi" w:hAnsiTheme="majorHAnsi" w:cs="Calibri Light"/>
        </w:rPr>
        <w:t>munis</w:t>
      </w:r>
      <w:proofErr w:type="spellEnd"/>
      <w:r w:rsidRPr="00DD2E13">
        <w:rPr>
          <w:rFonts w:asciiTheme="majorHAnsi" w:hAnsiTheme="majorHAnsi" w:cs="Calibri Light"/>
        </w:rPr>
        <w:t xml:space="preserve"> or coops that have not yet defaulted, for other Counterparties that have not yet defaulted</w:t>
      </w:r>
    </w:p>
    <w:p w14:paraId="6B37C5DE" w14:textId="44353350" w:rsidR="000640D0" w:rsidRPr="00DD2E13" w:rsidRDefault="000640D0" w:rsidP="000640D0">
      <w:pPr>
        <w:numPr>
          <w:ilvl w:val="2"/>
          <w:numId w:val="4"/>
        </w:numPr>
        <w:contextualSpacing/>
        <w:rPr>
          <w:rFonts w:asciiTheme="majorHAnsi" w:hAnsiTheme="majorHAnsi" w:cs="Calibri Light"/>
        </w:rPr>
      </w:pPr>
      <w:r w:rsidRPr="00DD2E13">
        <w:rPr>
          <w:rFonts w:asciiTheme="majorHAnsi" w:hAnsiTheme="majorHAnsi" w:cs="Calibri Light"/>
        </w:rPr>
        <w:t xml:space="preserve">Total credit instruments exercised and unexercised </w:t>
      </w:r>
    </w:p>
    <w:p w14:paraId="4A0A6E53" w14:textId="696658D1" w:rsidR="00316E83" w:rsidRPr="00DD2E13" w:rsidRDefault="00316E83" w:rsidP="005911BA">
      <w:pPr>
        <w:numPr>
          <w:ilvl w:val="1"/>
          <w:numId w:val="4"/>
        </w:numPr>
        <w:contextualSpacing/>
        <w:rPr>
          <w:rFonts w:asciiTheme="majorHAnsi" w:hAnsiTheme="majorHAnsi" w:cs="Calibri Light"/>
        </w:rPr>
      </w:pPr>
      <w:r w:rsidRPr="00DD2E13">
        <w:rPr>
          <w:rFonts w:asciiTheme="majorHAnsi" w:hAnsiTheme="majorHAnsi" w:cs="Calibri Light"/>
        </w:rPr>
        <w:t>The Brazos Electric chapter 11 filing listed a $500M line of credit to BAML in addition to the $1.8B due to ERCOT, both as unsecured claims. Is the $500M line of credit the entirety of the financial security Brazos posted to ERCOT, and if so</w:t>
      </w:r>
      <w:r w:rsidR="00D5262B">
        <w:rPr>
          <w:rFonts w:asciiTheme="majorHAnsi" w:hAnsiTheme="majorHAnsi" w:cs="Calibri Light"/>
        </w:rPr>
        <w:t>,</w:t>
      </w:r>
      <w:r w:rsidRPr="00DD2E13">
        <w:rPr>
          <w:rFonts w:asciiTheme="majorHAnsi" w:hAnsiTheme="majorHAnsi" w:cs="Calibri Light"/>
        </w:rPr>
        <w:t xml:space="preserve"> does this mean ERCOT will have difficulty recovering any of the </w:t>
      </w:r>
      <w:proofErr w:type="gramStart"/>
      <w:r w:rsidRPr="00DD2E13">
        <w:rPr>
          <w:rFonts w:asciiTheme="majorHAnsi" w:hAnsiTheme="majorHAnsi" w:cs="Calibri Light"/>
        </w:rPr>
        <w:t>short-pay</w:t>
      </w:r>
      <w:proofErr w:type="gramEnd"/>
      <w:r w:rsidRPr="00DD2E13">
        <w:rPr>
          <w:rFonts w:asciiTheme="majorHAnsi" w:hAnsiTheme="majorHAnsi" w:cs="Calibri Light"/>
        </w:rPr>
        <w:t xml:space="preserve"> from their collateral? </w:t>
      </w:r>
    </w:p>
    <w:p w14:paraId="0D37355B" w14:textId="3AA45697" w:rsidR="00316E83" w:rsidRPr="00DD2E13" w:rsidRDefault="00316E83" w:rsidP="005911BA">
      <w:pPr>
        <w:numPr>
          <w:ilvl w:val="1"/>
          <w:numId w:val="4"/>
        </w:numPr>
        <w:contextualSpacing/>
        <w:rPr>
          <w:rFonts w:asciiTheme="majorHAnsi" w:hAnsiTheme="majorHAnsi" w:cs="Calibri Light"/>
        </w:rPr>
      </w:pPr>
      <w:r w:rsidRPr="00DD2E13">
        <w:rPr>
          <w:rFonts w:asciiTheme="majorHAnsi" w:hAnsiTheme="majorHAnsi" w:cs="Calibri Light"/>
        </w:rPr>
        <w:t>Are the $800M of CRR Auction Revenues that were used to mitigate the initial short pay intended as a temporary measure, or will CARD recipients simply be short paid over the next ~3 years? Section 9.11 seems to indicate that if the CARD process is short, recipients are simply short-paid pro</w:t>
      </w:r>
      <w:r w:rsidR="00DD2E13">
        <w:rPr>
          <w:rFonts w:asciiTheme="majorHAnsi" w:hAnsiTheme="majorHAnsi" w:cs="Calibri Light"/>
        </w:rPr>
        <w:t>-</w:t>
      </w:r>
      <w:proofErr w:type="gramStart"/>
      <w:r w:rsidRPr="00DD2E13">
        <w:rPr>
          <w:rFonts w:asciiTheme="majorHAnsi" w:hAnsiTheme="majorHAnsi" w:cs="Calibri Light"/>
        </w:rPr>
        <w:t>rata</w:t>
      </w:r>
      <w:proofErr w:type="gramEnd"/>
      <w:r w:rsidRPr="00DD2E13">
        <w:rPr>
          <w:rFonts w:asciiTheme="majorHAnsi" w:hAnsiTheme="majorHAnsi" w:cs="Calibri Light"/>
        </w:rPr>
        <w:t xml:space="preserve"> and nothing goes into the default uplift process.</w:t>
      </w:r>
    </w:p>
    <w:p w14:paraId="55AEB5A1" w14:textId="40AA7D9D" w:rsidR="000640D0" w:rsidRPr="00DD2E13" w:rsidRDefault="00316E83" w:rsidP="000640D0">
      <w:pPr>
        <w:numPr>
          <w:ilvl w:val="1"/>
          <w:numId w:val="4"/>
        </w:numPr>
        <w:contextualSpacing/>
        <w:rPr>
          <w:rFonts w:asciiTheme="majorHAnsi" w:hAnsiTheme="majorHAnsi" w:cs="Calibri Light"/>
        </w:rPr>
      </w:pPr>
      <w:r w:rsidRPr="00DD2E13">
        <w:rPr>
          <w:rFonts w:asciiTheme="majorHAnsi" w:hAnsiTheme="majorHAnsi" w:cs="Calibri Light"/>
        </w:rPr>
        <w:t xml:space="preserve">Has ERCOT run any analysis on the possibility of cascading defaults due to the default allocation process, maybe something like assessing if the initial default allocation amounts would exceed some percentage of the currently posted collateral for any participants. </w:t>
      </w:r>
      <w:r w:rsidR="000640D0" w:rsidRPr="00DD2E13">
        <w:rPr>
          <w:rFonts w:asciiTheme="majorHAnsi" w:hAnsiTheme="majorHAnsi" w:cs="Calibri Light"/>
        </w:rPr>
        <w:t>Please explain as to what is and isn’t include in RDPA, ORDC, LMP and SPP in simple terms for end use customers to understand?</w:t>
      </w:r>
    </w:p>
    <w:p w14:paraId="3717323F" w14:textId="074B5BAB" w:rsidR="007A3703" w:rsidRPr="00DD2E13" w:rsidRDefault="007A3703" w:rsidP="007A3703">
      <w:pPr>
        <w:pStyle w:val="ListParagraph"/>
        <w:numPr>
          <w:ilvl w:val="1"/>
          <w:numId w:val="4"/>
        </w:numPr>
        <w:contextualSpacing w:val="0"/>
        <w:rPr>
          <w:rFonts w:asciiTheme="majorHAnsi" w:eastAsia="Times New Roman" w:hAnsiTheme="majorHAnsi" w:cs="Times New Roman"/>
        </w:rPr>
      </w:pPr>
      <w:r w:rsidRPr="00DD2E13">
        <w:rPr>
          <w:rFonts w:asciiTheme="majorHAnsi" w:eastAsia="Times New Roman" w:hAnsiTheme="majorHAnsi"/>
        </w:rPr>
        <w:t xml:space="preserve">Would there be </w:t>
      </w:r>
      <w:r w:rsidR="00A717B6">
        <w:rPr>
          <w:rFonts w:asciiTheme="majorHAnsi" w:eastAsia="Times New Roman" w:hAnsiTheme="majorHAnsi"/>
        </w:rPr>
        <w:t>m</w:t>
      </w:r>
      <w:r w:rsidRPr="00DD2E13">
        <w:rPr>
          <w:rFonts w:asciiTheme="majorHAnsi" w:eastAsia="Times New Roman" w:hAnsiTheme="majorHAnsi"/>
        </w:rPr>
        <w:t>ake whole payments for extremely high fuel costs during EEA3?</w:t>
      </w:r>
    </w:p>
    <w:p w14:paraId="1204EA04" w14:textId="6AEAA449" w:rsidR="007A3703" w:rsidRPr="00DD2E13" w:rsidRDefault="00A717B6" w:rsidP="007A3703">
      <w:pPr>
        <w:pStyle w:val="ListParagraph"/>
        <w:numPr>
          <w:ilvl w:val="1"/>
          <w:numId w:val="4"/>
        </w:numPr>
        <w:contextualSpacing w:val="0"/>
        <w:rPr>
          <w:rFonts w:asciiTheme="majorHAnsi" w:eastAsia="Times New Roman" w:hAnsiTheme="majorHAnsi" w:cs="Times New Roman"/>
        </w:rPr>
      </w:pPr>
      <w:r>
        <w:rPr>
          <w:rFonts w:asciiTheme="majorHAnsi" w:eastAsia="Times New Roman" w:hAnsiTheme="majorHAnsi"/>
        </w:rPr>
        <w:t>What is the</w:t>
      </w:r>
      <w:r w:rsidR="007A3703" w:rsidRPr="00DD2E13">
        <w:rPr>
          <w:rFonts w:asciiTheme="majorHAnsi" w:eastAsia="Times New Roman" w:hAnsiTheme="majorHAnsi"/>
        </w:rPr>
        <w:t xml:space="preserve"> market</w:t>
      </w:r>
      <w:r>
        <w:rPr>
          <w:rFonts w:asciiTheme="majorHAnsi" w:eastAsia="Times New Roman" w:hAnsiTheme="majorHAnsi"/>
        </w:rPr>
        <w:t xml:space="preserve"> impact of reactivating the</w:t>
      </w:r>
      <w:r w:rsidR="007A3703" w:rsidRPr="00DD2E13">
        <w:rPr>
          <w:rFonts w:asciiTheme="majorHAnsi" w:eastAsia="Times New Roman" w:hAnsiTheme="majorHAnsi"/>
        </w:rPr>
        <w:t xml:space="preserve"> PNM trigger?</w:t>
      </w:r>
    </w:p>
    <w:p w14:paraId="46C7BDB9" w14:textId="307F6B72" w:rsidR="00AC0F79" w:rsidRPr="00DD2E13" w:rsidRDefault="00AC0F79" w:rsidP="00AC0F79">
      <w:pPr>
        <w:pStyle w:val="ListParagraph"/>
        <w:numPr>
          <w:ilvl w:val="1"/>
          <w:numId w:val="4"/>
        </w:numPr>
        <w:rPr>
          <w:rFonts w:asciiTheme="majorHAnsi" w:eastAsia="Times New Roman" w:hAnsiTheme="majorHAnsi" w:cs="Times New Roman"/>
        </w:rPr>
      </w:pPr>
      <w:r w:rsidRPr="00DD2E13">
        <w:rPr>
          <w:rFonts w:asciiTheme="majorHAnsi" w:eastAsia="Times New Roman" w:hAnsiTheme="majorHAnsi"/>
        </w:rPr>
        <w:t>Please explain as to what is and isn’t include in RDPA, ORDC, LMP and SPP in simple terms for end use customers to understand?</w:t>
      </w:r>
    </w:p>
    <w:p w14:paraId="455F69EC" w14:textId="77777777" w:rsidR="00C50ED4" w:rsidRPr="00DD2E13" w:rsidRDefault="00C50ED4" w:rsidP="00C53C46">
      <w:pPr>
        <w:rPr>
          <w:rFonts w:asciiTheme="majorHAnsi" w:hAnsiTheme="majorHAnsi"/>
        </w:rPr>
      </w:pPr>
    </w:p>
    <w:sectPr w:rsidR="00C50ED4" w:rsidRPr="00DD2E13" w:rsidSect="00CE1E5C">
      <w:pgSz w:w="12240" w:h="15840"/>
      <w:pgMar w:top="1152"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0E45AE" w14:textId="77777777" w:rsidR="005069C2" w:rsidRDefault="005069C2" w:rsidP="004735F6">
      <w:r>
        <w:separator/>
      </w:r>
    </w:p>
  </w:endnote>
  <w:endnote w:type="continuationSeparator" w:id="0">
    <w:p w14:paraId="113B9046" w14:textId="77777777" w:rsidR="005069C2" w:rsidRDefault="005069C2" w:rsidP="00473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A83435" w14:textId="77777777" w:rsidR="005069C2" w:rsidRDefault="005069C2" w:rsidP="004735F6">
      <w:r>
        <w:separator/>
      </w:r>
    </w:p>
  </w:footnote>
  <w:footnote w:type="continuationSeparator" w:id="0">
    <w:p w14:paraId="66205BD7" w14:textId="77777777" w:rsidR="005069C2" w:rsidRDefault="005069C2" w:rsidP="004735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73FA8"/>
    <w:multiLevelType w:val="hybridMultilevel"/>
    <w:tmpl w:val="BAFCDD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5B57F7"/>
    <w:multiLevelType w:val="hybridMultilevel"/>
    <w:tmpl w:val="B21A248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13107546"/>
    <w:multiLevelType w:val="hybridMultilevel"/>
    <w:tmpl w:val="C2FA6D6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F1F2B22"/>
    <w:multiLevelType w:val="hybridMultilevel"/>
    <w:tmpl w:val="5720E7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1EC1550"/>
    <w:multiLevelType w:val="hybridMultilevel"/>
    <w:tmpl w:val="96722C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8046C8F"/>
    <w:multiLevelType w:val="hybridMultilevel"/>
    <w:tmpl w:val="F214AB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55E7599B"/>
    <w:multiLevelType w:val="hybridMultilevel"/>
    <w:tmpl w:val="083EAB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5E9B1F5F"/>
    <w:multiLevelType w:val="hybridMultilevel"/>
    <w:tmpl w:val="8A72A2F4"/>
    <w:lvl w:ilvl="0" w:tplc="E51E63F0">
      <w:numFmt w:val="bullet"/>
      <w:lvlText w:val="•"/>
      <w:lvlJc w:val="left"/>
      <w:pPr>
        <w:ind w:left="720" w:hanging="720"/>
      </w:pPr>
      <w:rPr>
        <w:rFonts w:ascii="Calibri" w:eastAsia="Calibr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0"/>
  </w:num>
  <w:num w:numId="2">
    <w:abstractNumId w:val="7"/>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5F6"/>
    <w:rsid w:val="00027DCC"/>
    <w:rsid w:val="000640D0"/>
    <w:rsid w:val="000D6D30"/>
    <w:rsid w:val="00117A94"/>
    <w:rsid w:val="00120177"/>
    <w:rsid w:val="001218CD"/>
    <w:rsid w:val="00137C69"/>
    <w:rsid w:val="001823A9"/>
    <w:rsid w:val="00187CD1"/>
    <w:rsid w:val="001C2794"/>
    <w:rsid w:val="0027248E"/>
    <w:rsid w:val="00300D34"/>
    <w:rsid w:val="00316E83"/>
    <w:rsid w:val="00370A27"/>
    <w:rsid w:val="004735F6"/>
    <w:rsid w:val="005069C2"/>
    <w:rsid w:val="00513640"/>
    <w:rsid w:val="00564C6F"/>
    <w:rsid w:val="005911BA"/>
    <w:rsid w:val="0062438A"/>
    <w:rsid w:val="00660A48"/>
    <w:rsid w:val="006F12AB"/>
    <w:rsid w:val="007634EF"/>
    <w:rsid w:val="007A3703"/>
    <w:rsid w:val="007A7AE5"/>
    <w:rsid w:val="0080367D"/>
    <w:rsid w:val="00845833"/>
    <w:rsid w:val="0087409C"/>
    <w:rsid w:val="008915B4"/>
    <w:rsid w:val="0091316E"/>
    <w:rsid w:val="00917AA9"/>
    <w:rsid w:val="00931C6E"/>
    <w:rsid w:val="009633DB"/>
    <w:rsid w:val="00974B60"/>
    <w:rsid w:val="00982655"/>
    <w:rsid w:val="009C7D97"/>
    <w:rsid w:val="009F0561"/>
    <w:rsid w:val="00A56D9D"/>
    <w:rsid w:val="00A717B6"/>
    <w:rsid w:val="00AC08D7"/>
    <w:rsid w:val="00AC0F79"/>
    <w:rsid w:val="00C50ED4"/>
    <w:rsid w:val="00C53C46"/>
    <w:rsid w:val="00CE1E5C"/>
    <w:rsid w:val="00D04D23"/>
    <w:rsid w:val="00D5262B"/>
    <w:rsid w:val="00D836A2"/>
    <w:rsid w:val="00DD2E13"/>
    <w:rsid w:val="00EE4776"/>
    <w:rsid w:val="00F11047"/>
    <w:rsid w:val="00FE36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53AC9E4"/>
  <w15:chartTrackingRefBased/>
  <w15:docId w15:val="{67B1766E-C58A-420A-AB37-06DA9D34B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0D0"/>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35F6"/>
    <w:pPr>
      <w:tabs>
        <w:tab w:val="center" w:pos="4680"/>
        <w:tab w:val="right" w:pos="9360"/>
      </w:tabs>
    </w:pPr>
  </w:style>
  <w:style w:type="character" w:customStyle="1" w:styleId="HeaderChar">
    <w:name w:val="Header Char"/>
    <w:basedOn w:val="DefaultParagraphFont"/>
    <w:link w:val="Header"/>
    <w:uiPriority w:val="99"/>
    <w:rsid w:val="004735F6"/>
  </w:style>
  <w:style w:type="paragraph" w:styleId="Footer">
    <w:name w:val="footer"/>
    <w:basedOn w:val="Normal"/>
    <w:link w:val="FooterChar"/>
    <w:uiPriority w:val="99"/>
    <w:unhideWhenUsed/>
    <w:rsid w:val="004735F6"/>
    <w:pPr>
      <w:tabs>
        <w:tab w:val="center" w:pos="4680"/>
        <w:tab w:val="right" w:pos="9360"/>
      </w:tabs>
    </w:pPr>
  </w:style>
  <w:style w:type="character" w:customStyle="1" w:styleId="FooterChar">
    <w:name w:val="Footer Char"/>
    <w:basedOn w:val="DefaultParagraphFont"/>
    <w:link w:val="Footer"/>
    <w:uiPriority w:val="99"/>
    <w:rsid w:val="004735F6"/>
  </w:style>
  <w:style w:type="paragraph" w:styleId="ListParagraph">
    <w:name w:val="List Paragraph"/>
    <w:basedOn w:val="Normal"/>
    <w:uiPriority w:val="34"/>
    <w:qFormat/>
    <w:rsid w:val="00C50ED4"/>
    <w:pPr>
      <w:ind w:left="720"/>
      <w:contextualSpacing/>
    </w:pPr>
  </w:style>
  <w:style w:type="paragraph" w:styleId="NoSpacing">
    <w:name w:val="No Spacing"/>
    <w:uiPriority w:val="1"/>
    <w:qFormat/>
    <w:rsid w:val="00CE1E5C"/>
    <w:pPr>
      <w:spacing w:after="0" w:line="240" w:lineRule="auto"/>
    </w:pPr>
  </w:style>
  <w:style w:type="paragraph" w:styleId="BalloonText">
    <w:name w:val="Balloon Text"/>
    <w:basedOn w:val="Normal"/>
    <w:link w:val="BalloonTextChar"/>
    <w:uiPriority w:val="99"/>
    <w:semiHidden/>
    <w:unhideWhenUsed/>
    <w:rsid w:val="002724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248E"/>
    <w:rPr>
      <w:rFonts w:ascii="Segoe UI" w:hAnsi="Segoe UI" w:cs="Segoe UI"/>
      <w:sz w:val="18"/>
      <w:szCs w:val="18"/>
    </w:rPr>
  </w:style>
  <w:style w:type="character" w:styleId="CommentReference">
    <w:name w:val="annotation reference"/>
    <w:basedOn w:val="DefaultParagraphFont"/>
    <w:uiPriority w:val="99"/>
    <w:semiHidden/>
    <w:unhideWhenUsed/>
    <w:rsid w:val="0062438A"/>
    <w:rPr>
      <w:sz w:val="16"/>
      <w:szCs w:val="16"/>
    </w:rPr>
  </w:style>
  <w:style w:type="paragraph" w:styleId="CommentText">
    <w:name w:val="annotation text"/>
    <w:basedOn w:val="Normal"/>
    <w:link w:val="CommentTextChar"/>
    <w:uiPriority w:val="99"/>
    <w:semiHidden/>
    <w:unhideWhenUsed/>
    <w:rsid w:val="0062438A"/>
    <w:rPr>
      <w:sz w:val="20"/>
      <w:szCs w:val="20"/>
    </w:rPr>
  </w:style>
  <w:style w:type="character" w:customStyle="1" w:styleId="CommentTextChar">
    <w:name w:val="Comment Text Char"/>
    <w:basedOn w:val="DefaultParagraphFont"/>
    <w:link w:val="CommentText"/>
    <w:uiPriority w:val="99"/>
    <w:semiHidden/>
    <w:rsid w:val="0062438A"/>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62438A"/>
    <w:rPr>
      <w:b/>
      <w:bCs/>
    </w:rPr>
  </w:style>
  <w:style w:type="character" w:customStyle="1" w:styleId="CommentSubjectChar">
    <w:name w:val="Comment Subject Char"/>
    <w:basedOn w:val="CommentTextChar"/>
    <w:link w:val="CommentSubject"/>
    <w:uiPriority w:val="99"/>
    <w:semiHidden/>
    <w:rsid w:val="0062438A"/>
    <w:rPr>
      <w:rFonts w:ascii="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084287">
      <w:bodyDiv w:val="1"/>
      <w:marLeft w:val="0"/>
      <w:marRight w:val="0"/>
      <w:marTop w:val="0"/>
      <w:marBottom w:val="0"/>
      <w:divBdr>
        <w:top w:val="none" w:sz="0" w:space="0" w:color="auto"/>
        <w:left w:val="none" w:sz="0" w:space="0" w:color="auto"/>
        <w:bottom w:val="none" w:sz="0" w:space="0" w:color="auto"/>
        <w:right w:val="none" w:sz="0" w:space="0" w:color="auto"/>
      </w:divBdr>
    </w:div>
    <w:div w:id="545876769">
      <w:bodyDiv w:val="1"/>
      <w:marLeft w:val="0"/>
      <w:marRight w:val="0"/>
      <w:marTop w:val="0"/>
      <w:marBottom w:val="0"/>
      <w:divBdr>
        <w:top w:val="none" w:sz="0" w:space="0" w:color="auto"/>
        <w:left w:val="none" w:sz="0" w:space="0" w:color="auto"/>
        <w:bottom w:val="none" w:sz="0" w:space="0" w:color="auto"/>
        <w:right w:val="none" w:sz="0" w:space="0" w:color="auto"/>
      </w:divBdr>
    </w:div>
    <w:div w:id="554436559">
      <w:bodyDiv w:val="1"/>
      <w:marLeft w:val="0"/>
      <w:marRight w:val="0"/>
      <w:marTop w:val="0"/>
      <w:marBottom w:val="0"/>
      <w:divBdr>
        <w:top w:val="none" w:sz="0" w:space="0" w:color="auto"/>
        <w:left w:val="none" w:sz="0" w:space="0" w:color="auto"/>
        <w:bottom w:val="none" w:sz="0" w:space="0" w:color="auto"/>
        <w:right w:val="none" w:sz="0" w:space="0" w:color="auto"/>
      </w:divBdr>
    </w:div>
    <w:div w:id="598607258">
      <w:bodyDiv w:val="1"/>
      <w:marLeft w:val="0"/>
      <w:marRight w:val="0"/>
      <w:marTop w:val="0"/>
      <w:marBottom w:val="0"/>
      <w:divBdr>
        <w:top w:val="none" w:sz="0" w:space="0" w:color="auto"/>
        <w:left w:val="none" w:sz="0" w:space="0" w:color="auto"/>
        <w:bottom w:val="none" w:sz="0" w:space="0" w:color="auto"/>
        <w:right w:val="none" w:sz="0" w:space="0" w:color="auto"/>
      </w:divBdr>
    </w:div>
    <w:div w:id="753824170">
      <w:bodyDiv w:val="1"/>
      <w:marLeft w:val="0"/>
      <w:marRight w:val="0"/>
      <w:marTop w:val="0"/>
      <w:marBottom w:val="0"/>
      <w:divBdr>
        <w:top w:val="none" w:sz="0" w:space="0" w:color="auto"/>
        <w:left w:val="none" w:sz="0" w:space="0" w:color="auto"/>
        <w:bottom w:val="none" w:sz="0" w:space="0" w:color="auto"/>
        <w:right w:val="none" w:sz="0" w:space="0" w:color="auto"/>
      </w:divBdr>
    </w:div>
    <w:div w:id="823549758">
      <w:bodyDiv w:val="1"/>
      <w:marLeft w:val="0"/>
      <w:marRight w:val="0"/>
      <w:marTop w:val="0"/>
      <w:marBottom w:val="0"/>
      <w:divBdr>
        <w:top w:val="none" w:sz="0" w:space="0" w:color="auto"/>
        <w:left w:val="none" w:sz="0" w:space="0" w:color="auto"/>
        <w:bottom w:val="none" w:sz="0" w:space="0" w:color="auto"/>
        <w:right w:val="none" w:sz="0" w:space="0" w:color="auto"/>
      </w:divBdr>
    </w:div>
    <w:div w:id="836386504">
      <w:bodyDiv w:val="1"/>
      <w:marLeft w:val="0"/>
      <w:marRight w:val="0"/>
      <w:marTop w:val="0"/>
      <w:marBottom w:val="0"/>
      <w:divBdr>
        <w:top w:val="none" w:sz="0" w:space="0" w:color="auto"/>
        <w:left w:val="none" w:sz="0" w:space="0" w:color="auto"/>
        <w:bottom w:val="none" w:sz="0" w:space="0" w:color="auto"/>
        <w:right w:val="none" w:sz="0" w:space="0" w:color="auto"/>
      </w:divBdr>
    </w:div>
    <w:div w:id="1041973416">
      <w:bodyDiv w:val="1"/>
      <w:marLeft w:val="0"/>
      <w:marRight w:val="0"/>
      <w:marTop w:val="0"/>
      <w:marBottom w:val="0"/>
      <w:divBdr>
        <w:top w:val="none" w:sz="0" w:space="0" w:color="auto"/>
        <w:left w:val="none" w:sz="0" w:space="0" w:color="auto"/>
        <w:bottom w:val="none" w:sz="0" w:space="0" w:color="auto"/>
        <w:right w:val="none" w:sz="0" w:space="0" w:color="auto"/>
      </w:divBdr>
    </w:div>
    <w:div w:id="1227451077">
      <w:bodyDiv w:val="1"/>
      <w:marLeft w:val="0"/>
      <w:marRight w:val="0"/>
      <w:marTop w:val="0"/>
      <w:marBottom w:val="0"/>
      <w:divBdr>
        <w:top w:val="none" w:sz="0" w:space="0" w:color="auto"/>
        <w:left w:val="none" w:sz="0" w:space="0" w:color="auto"/>
        <w:bottom w:val="none" w:sz="0" w:space="0" w:color="auto"/>
        <w:right w:val="none" w:sz="0" w:space="0" w:color="auto"/>
      </w:divBdr>
    </w:div>
    <w:div w:id="1534491549">
      <w:bodyDiv w:val="1"/>
      <w:marLeft w:val="0"/>
      <w:marRight w:val="0"/>
      <w:marTop w:val="0"/>
      <w:marBottom w:val="0"/>
      <w:divBdr>
        <w:top w:val="none" w:sz="0" w:space="0" w:color="auto"/>
        <w:left w:val="none" w:sz="0" w:space="0" w:color="auto"/>
        <w:bottom w:val="none" w:sz="0" w:space="0" w:color="auto"/>
        <w:right w:val="none" w:sz="0" w:space="0" w:color="auto"/>
      </w:divBdr>
    </w:div>
    <w:div w:id="1610311211">
      <w:bodyDiv w:val="1"/>
      <w:marLeft w:val="0"/>
      <w:marRight w:val="0"/>
      <w:marTop w:val="0"/>
      <w:marBottom w:val="0"/>
      <w:divBdr>
        <w:top w:val="none" w:sz="0" w:space="0" w:color="auto"/>
        <w:left w:val="none" w:sz="0" w:space="0" w:color="auto"/>
        <w:bottom w:val="none" w:sz="0" w:space="0" w:color="auto"/>
        <w:right w:val="none" w:sz="0" w:space="0" w:color="auto"/>
      </w:divBdr>
    </w:div>
    <w:div w:id="1914391891">
      <w:bodyDiv w:val="1"/>
      <w:marLeft w:val="0"/>
      <w:marRight w:val="0"/>
      <w:marTop w:val="0"/>
      <w:marBottom w:val="0"/>
      <w:divBdr>
        <w:top w:val="none" w:sz="0" w:space="0" w:color="auto"/>
        <w:left w:val="none" w:sz="0" w:space="0" w:color="auto"/>
        <w:bottom w:val="none" w:sz="0" w:space="0" w:color="auto"/>
        <w:right w:val="none" w:sz="0" w:space="0" w:color="auto"/>
      </w:divBdr>
    </w:div>
    <w:div w:id="1917007605">
      <w:bodyDiv w:val="1"/>
      <w:marLeft w:val="0"/>
      <w:marRight w:val="0"/>
      <w:marTop w:val="0"/>
      <w:marBottom w:val="0"/>
      <w:divBdr>
        <w:top w:val="none" w:sz="0" w:space="0" w:color="auto"/>
        <w:left w:val="none" w:sz="0" w:space="0" w:color="auto"/>
        <w:bottom w:val="none" w:sz="0" w:space="0" w:color="auto"/>
        <w:right w:val="none" w:sz="0" w:space="0" w:color="auto"/>
      </w:divBdr>
    </w:div>
    <w:div w:id="2082870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550AB4A1B11D40BA93648E453A38A9" ma:contentTypeVersion="10" ma:contentTypeDescription="Create a new document." ma:contentTypeScope="" ma:versionID="a23f2b49f195ed5706c0043339cf2995">
  <xsd:schema xmlns:xsd="http://www.w3.org/2001/XMLSchema" xmlns:xs="http://www.w3.org/2001/XMLSchema" xmlns:p="http://schemas.microsoft.com/office/2006/metadata/properties" xmlns:ns3="60b3afc9-a72a-4286-a1f6-3c61aad5d6c4" targetNamespace="http://schemas.microsoft.com/office/2006/metadata/properties" ma:root="true" ma:fieldsID="25f05895d88c426d0858f9f4f1a8fcf0" ns3:_="">
    <xsd:import namespace="60b3afc9-a72a-4286-a1f6-3c61aad5d6c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b3afc9-a72a-4286-a1f6-3c61aad5d6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isl xmlns:xsi="http://www.w3.org/2001/XMLSchema-instance" xmlns:xsd="http://www.w3.org/2001/XMLSchema" xmlns="http://www.boldonjames.com/2008/01/sie/internal/label" sislVersion="0" policy="e9c0b8d7-bdb4-4fd3-b62a-f50327aaefce" origin="defaultValue">
  <element uid="936e22d5-45a7-4cb7-95ab-1aa8c7c88789" value=""/>
</sisl>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D9EE5D-101E-495A-BD5B-1A2CBC0BE0D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47A3443-1866-41C3-8B3B-03448ED8A0D6}">
  <ds:schemaRefs>
    <ds:schemaRef ds:uri="http://schemas.microsoft.com/sharepoint/v3/contenttype/forms"/>
  </ds:schemaRefs>
</ds:datastoreItem>
</file>

<file path=customXml/itemProps3.xml><?xml version="1.0" encoding="utf-8"?>
<ds:datastoreItem xmlns:ds="http://schemas.openxmlformats.org/officeDocument/2006/customXml" ds:itemID="{555235DD-7B18-4F58-A0AF-447C444A3E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b3afc9-a72a-4286-a1f6-3c61aad5d6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AEDD2A-E772-43A6-A15E-B64209F252A7}">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FC74690B-6622-48C7-9B25-E5F224B82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4</Pages>
  <Words>1701</Words>
  <Characters>9696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American Electric Power</Company>
  <LinksUpToDate>false</LinksUpToDate>
  <CharactersWithSpaces>11375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s262089</dc:creator>
  <cp:keywords/>
  <dc:description/>
  <cp:lastModifiedBy>Surendran, Resmi SENA-STX/A/7</cp:lastModifiedBy>
  <cp:revision>12</cp:revision>
  <dcterms:created xsi:type="dcterms:W3CDTF">2021-03-03T05:41:00Z</dcterms:created>
  <dcterms:modified xsi:type="dcterms:W3CDTF">2021-03-03T08:02:00Z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5a5bdbef-15ae-4b4c-9f7f-1432e2e53343</vt:lpwstr>
  </property>
  <property fmtid="{D5CDD505-2E9C-101B-9397-08002B2CF9AE}" pid="3" name="bjDocumentLabelXML">
    <vt:lpwstr>&lt;?xml version="1.0" encoding="us-ascii"?&gt;&lt;sisl xmlns:xsi="http://www.w3.org/2001/XMLSchema-instance" xmlns:xsd="http://www.w3.org/2001/XMLSchema" sislVersion="0" policy="e9c0b8d7-bdb4-4fd3-b62a-f50327aaefce" origin="defaultValue" xmlns="http://www.boldonj</vt:lpwstr>
  </property>
  <property fmtid="{D5CDD505-2E9C-101B-9397-08002B2CF9AE}" pid="4" name="bjDocumentLabelXML-0">
    <vt:lpwstr>ames.com/2008/01/sie/internal/label"&gt;&lt;element uid="936e22d5-45a7-4cb7-95ab-1aa8c7c88789" value="" /&gt;&lt;/sisl&gt;</vt:lpwstr>
  </property>
  <property fmtid="{D5CDD505-2E9C-101B-9397-08002B2CF9AE}" pid="5" name="bjDocumentSecurityLabel">
    <vt:lpwstr>Uncategorized</vt:lpwstr>
  </property>
  <property fmtid="{D5CDD505-2E9C-101B-9397-08002B2CF9AE}" pid="6" name="bjSaver">
    <vt:lpwstr>hVeZjyyepu7wfUb3kwBo4T82bAn9HrXq</vt:lpwstr>
  </property>
  <property fmtid="{D5CDD505-2E9C-101B-9397-08002B2CF9AE}" pid="7" name="ContentTypeId">
    <vt:lpwstr>0x0101000E550AB4A1B11D40BA93648E453A38A9</vt:lpwstr>
  </property>
</Properties>
</file>