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Default="00A913D2" w:rsidP="00A913D2">
      <w:pPr>
        <w:spacing w:after="0"/>
      </w:pPr>
      <w:r w:rsidRPr="00912B70">
        <w:rPr>
          <w:b/>
          <w:sz w:val="32"/>
          <w:szCs w:val="32"/>
        </w:rPr>
        <w:t>PWG Meeting Notes</w:t>
      </w:r>
      <w:r>
        <w:t xml:space="preserve"> – </w:t>
      </w:r>
      <w:r w:rsidR="00E45D02">
        <w:t>Jan 13, 2021</w:t>
      </w:r>
      <w:bookmarkStart w:id="0" w:name="_GoBack"/>
      <w:bookmarkEnd w:id="0"/>
    </w:p>
    <w:p w:rsidR="00A913D2" w:rsidRPr="00DA1966" w:rsidRDefault="00E45D02" w:rsidP="00A913D2">
      <w:pPr>
        <w:spacing w:after="0"/>
        <w:rPr>
          <w:sz w:val="24"/>
        </w:rPr>
      </w:pPr>
      <w:r w:rsidRPr="00DA1966">
        <w:rPr>
          <w:sz w:val="24"/>
        </w:rPr>
        <w:t xml:space="preserve">Via WebEx </w:t>
      </w:r>
      <w:r w:rsidR="00D449BC" w:rsidRPr="00DA1966">
        <w:rPr>
          <w:sz w:val="24"/>
        </w:rPr>
        <w:t>9:30 AM</w:t>
      </w:r>
      <w:r w:rsidR="00A913D2" w:rsidRPr="00DA1966">
        <w:rPr>
          <w:sz w:val="24"/>
        </w:rPr>
        <w:t xml:space="preserve"> </w:t>
      </w:r>
    </w:p>
    <w:p w:rsidR="00A913D2" w:rsidRPr="00DA1966" w:rsidRDefault="00A913D2" w:rsidP="00A913D2">
      <w:pPr>
        <w:spacing w:after="0"/>
        <w:rPr>
          <w:sz w:val="24"/>
        </w:rPr>
      </w:pPr>
      <w:r w:rsidRPr="00DA1966">
        <w:rPr>
          <w:sz w:val="24"/>
          <w:u w:val="single"/>
        </w:rPr>
        <w:t>Attendees:</w:t>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618"/>
        <w:gridCol w:w="3586"/>
      </w:tblGrid>
      <w:tr w:rsidR="00A913D2" w:rsidRPr="00DA1966" w:rsidTr="00CA7714">
        <w:tc>
          <w:tcPr>
            <w:tcW w:w="3586" w:type="dxa"/>
            <w:shd w:val="clear" w:color="auto" w:fill="auto"/>
          </w:tcPr>
          <w:p w:rsidR="00A913D2" w:rsidRPr="002313F7" w:rsidRDefault="00A913D2" w:rsidP="00661AA2">
            <w:pPr>
              <w:spacing w:after="0"/>
              <w:rPr>
                <w:color w:val="FF0000"/>
                <w:sz w:val="24"/>
              </w:rPr>
            </w:pPr>
            <w:r w:rsidRPr="002313F7">
              <w:rPr>
                <w:sz w:val="24"/>
              </w:rPr>
              <w:t>Sam Pak – Oncor</w:t>
            </w:r>
          </w:p>
        </w:tc>
        <w:tc>
          <w:tcPr>
            <w:tcW w:w="3618" w:type="dxa"/>
            <w:shd w:val="clear" w:color="auto" w:fill="auto"/>
          </w:tcPr>
          <w:p w:rsidR="00A913D2" w:rsidRPr="002313F7" w:rsidRDefault="00A913D2" w:rsidP="00661AA2">
            <w:pPr>
              <w:spacing w:after="0"/>
              <w:rPr>
                <w:sz w:val="24"/>
              </w:rPr>
            </w:pPr>
            <w:r w:rsidRPr="002313F7">
              <w:rPr>
                <w:sz w:val="24"/>
              </w:rPr>
              <w:t>Bill Boswell - ERCOT</w:t>
            </w:r>
          </w:p>
        </w:tc>
        <w:tc>
          <w:tcPr>
            <w:tcW w:w="3586" w:type="dxa"/>
            <w:shd w:val="clear" w:color="auto" w:fill="auto"/>
          </w:tcPr>
          <w:p w:rsidR="00A913D2" w:rsidRPr="002313F7" w:rsidRDefault="00CA7714" w:rsidP="00661AA2">
            <w:pPr>
              <w:spacing w:after="0"/>
              <w:rPr>
                <w:sz w:val="24"/>
              </w:rPr>
            </w:pPr>
            <w:r w:rsidRPr="002313F7">
              <w:rPr>
                <w:sz w:val="24"/>
              </w:rPr>
              <w:t>Jim Lee – AEP</w:t>
            </w:r>
          </w:p>
        </w:tc>
      </w:tr>
      <w:tr w:rsidR="00CA7714" w:rsidRPr="00DA1966" w:rsidTr="00CA7714">
        <w:tc>
          <w:tcPr>
            <w:tcW w:w="3586" w:type="dxa"/>
            <w:shd w:val="clear" w:color="auto" w:fill="auto"/>
          </w:tcPr>
          <w:p w:rsidR="00CA7714" w:rsidRPr="002313F7" w:rsidRDefault="00CA7714" w:rsidP="00CA7714">
            <w:pPr>
              <w:spacing w:after="0"/>
              <w:rPr>
                <w:sz w:val="24"/>
              </w:rPr>
            </w:pPr>
            <w:r w:rsidRPr="002313F7">
              <w:rPr>
                <w:sz w:val="24"/>
              </w:rPr>
              <w:t>Sheri Wiegand – TXU</w:t>
            </w:r>
          </w:p>
        </w:tc>
        <w:tc>
          <w:tcPr>
            <w:tcW w:w="3618" w:type="dxa"/>
            <w:shd w:val="clear" w:color="auto" w:fill="auto"/>
          </w:tcPr>
          <w:p w:rsidR="00CA7714" w:rsidRPr="002313F7" w:rsidRDefault="00CA7714" w:rsidP="00CA7714">
            <w:pPr>
              <w:spacing w:after="0"/>
              <w:rPr>
                <w:sz w:val="24"/>
              </w:rPr>
            </w:pPr>
            <w:r w:rsidRPr="002313F7">
              <w:rPr>
                <w:sz w:val="24"/>
              </w:rPr>
              <w:t>Calvin Opheim - ERCOT</w:t>
            </w:r>
          </w:p>
        </w:tc>
        <w:tc>
          <w:tcPr>
            <w:tcW w:w="3586" w:type="dxa"/>
            <w:shd w:val="clear" w:color="auto" w:fill="auto"/>
          </w:tcPr>
          <w:p w:rsidR="00CA7714" w:rsidRPr="002313F7" w:rsidRDefault="00CA7714" w:rsidP="00CA7714">
            <w:pPr>
              <w:spacing w:after="0"/>
              <w:rPr>
                <w:sz w:val="24"/>
              </w:rPr>
            </w:pPr>
            <w:r w:rsidRPr="002313F7">
              <w:rPr>
                <w:sz w:val="24"/>
              </w:rPr>
              <w:t xml:space="preserve">Eric Blakey – Just </w:t>
            </w:r>
            <w:r w:rsidR="00934EDD" w:rsidRPr="002313F7">
              <w:rPr>
                <w:sz w:val="24"/>
              </w:rPr>
              <w:t>Energy</w:t>
            </w:r>
          </w:p>
        </w:tc>
      </w:tr>
      <w:tr w:rsidR="00CA7714" w:rsidRPr="00DA1966" w:rsidTr="00CA7714">
        <w:tc>
          <w:tcPr>
            <w:tcW w:w="3586" w:type="dxa"/>
            <w:shd w:val="clear" w:color="auto" w:fill="auto"/>
          </w:tcPr>
          <w:p w:rsidR="00CA7714" w:rsidRPr="002313F7" w:rsidRDefault="00CA7714" w:rsidP="00CA7714">
            <w:pPr>
              <w:spacing w:after="0"/>
              <w:rPr>
                <w:sz w:val="24"/>
              </w:rPr>
            </w:pPr>
            <w:r w:rsidRPr="002313F7">
              <w:rPr>
                <w:sz w:val="24"/>
              </w:rPr>
              <w:t>Kathy Scott – CNP</w:t>
            </w:r>
          </w:p>
        </w:tc>
        <w:tc>
          <w:tcPr>
            <w:tcW w:w="3618" w:type="dxa"/>
            <w:shd w:val="clear" w:color="auto" w:fill="auto"/>
          </w:tcPr>
          <w:p w:rsidR="00CA7714" w:rsidRPr="002313F7" w:rsidRDefault="00CA7714" w:rsidP="00CA7714">
            <w:pPr>
              <w:spacing w:after="0"/>
              <w:rPr>
                <w:sz w:val="24"/>
              </w:rPr>
            </w:pPr>
            <w:r w:rsidRPr="002313F7">
              <w:rPr>
                <w:sz w:val="24"/>
              </w:rPr>
              <w:t>Randy Roberts - ERCOT</w:t>
            </w:r>
          </w:p>
        </w:tc>
        <w:tc>
          <w:tcPr>
            <w:tcW w:w="3586" w:type="dxa"/>
            <w:shd w:val="clear" w:color="auto" w:fill="auto"/>
          </w:tcPr>
          <w:p w:rsidR="00CA7714" w:rsidRPr="002313F7" w:rsidRDefault="00E45D02" w:rsidP="00CA7714">
            <w:pPr>
              <w:spacing w:after="0"/>
              <w:rPr>
                <w:sz w:val="24"/>
              </w:rPr>
            </w:pPr>
            <w:r w:rsidRPr="002313F7">
              <w:rPr>
                <w:sz w:val="24"/>
              </w:rPr>
              <w:t>John Ritch - NextEra</w:t>
            </w:r>
          </w:p>
        </w:tc>
      </w:tr>
      <w:tr w:rsidR="00934EDD" w:rsidRPr="00DA1966" w:rsidTr="00CA7714">
        <w:tc>
          <w:tcPr>
            <w:tcW w:w="3586" w:type="dxa"/>
            <w:shd w:val="clear" w:color="auto" w:fill="auto"/>
          </w:tcPr>
          <w:p w:rsidR="00934EDD" w:rsidRPr="002313F7" w:rsidRDefault="00934EDD" w:rsidP="00934EDD">
            <w:pPr>
              <w:spacing w:after="0"/>
              <w:rPr>
                <w:sz w:val="24"/>
              </w:rPr>
            </w:pPr>
            <w:r w:rsidRPr="002313F7">
              <w:rPr>
                <w:sz w:val="24"/>
              </w:rPr>
              <w:t>Andrea Couch - TNMP</w:t>
            </w:r>
          </w:p>
        </w:tc>
        <w:tc>
          <w:tcPr>
            <w:tcW w:w="3618" w:type="dxa"/>
            <w:shd w:val="clear" w:color="auto" w:fill="auto"/>
          </w:tcPr>
          <w:p w:rsidR="00934EDD" w:rsidRPr="002313F7" w:rsidRDefault="00934EDD" w:rsidP="00934EDD">
            <w:pPr>
              <w:spacing w:after="0"/>
              <w:ind w:left="720" w:hanging="720"/>
              <w:rPr>
                <w:sz w:val="24"/>
              </w:rPr>
            </w:pPr>
            <w:r w:rsidRPr="002313F7">
              <w:rPr>
                <w:sz w:val="24"/>
              </w:rPr>
              <w:t>Jordan Troublefield – ERCOT</w:t>
            </w:r>
          </w:p>
        </w:tc>
        <w:tc>
          <w:tcPr>
            <w:tcW w:w="3586" w:type="dxa"/>
            <w:shd w:val="clear" w:color="auto" w:fill="auto"/>
          </w:tcPr>
          <w:p w:rsidR="00934EDD" w:rsidRPr="002313F7" w:rsidRDefault="00934EDD" w:rsidP="00934EDD">
            <w:pPr>
              <w:spacing w:after="0"/>
              <w:rPr>
                <w:sz w:val="24"/>
              </w:rPr>
            </w:pPr>
            <w:r w:rsidRPr="002313F7">
              <w:rPr>
                <w:sz w:val="24"/>
              </w:rPr>
              <w:t>Angela Ghormley –Calpine Energy</w:t>
            </w:r>
          </w:p>
        </w:tc>
      </w:tr>
      <w:tr w:rsidR="00934EDD" w:rsidRPr="00DA1966" w:rsidTr="00CA7714">
        <w:tc>
          <w:tcPr>
            <w:tcW w:w="3586" w:type="dxa"/>
            <w:shd w:val="clear" w:color="auto" w:fill="auto"/>
          </w:tcPr>
          <w:p w:rsidR="00934EDD" w:rsidRPr="002313F7" w:rsidRDefault="00934EDD" w:rsidP="00934EDD">
            <w:pPr>
              <w:spacing w:after="0"/>
              <w:rPr>
                <w:sz w:val="24"/>
              </w:rPr>
            </w:pPr>
            <w:r w:rsidRPr="002313F7">
              <w:rPr>
                <w:sz w:val="24"/>
              </w:rPr>
              <w:t>Bill Barnes - NRG</w:t>
            </w:r>
          </w:p>
        </w:tc>
        <w:tc>
          <w:tcPr>
            <w:tcW w:w="3618" w:type="dxa"/>
            <w:shd w:val="clear" w:color="auto" w:fill="auto"/>
          </w:tcPr>
          <w:p w:rsidR="00934EDD" w:rsidRPr="002313F7" w:rsidRDefault="00E45D02" w:rsidP="00934EDD">
            <w:pPr>
              <w:spacing w:after="0"/>
              <w:rPr>
                <w:sz w:val="24"/>
              </w:rPr>
            </w:pPr>
            <w:r w:rsidRPr="002313F7">
              <w:rPr>
                <w:sz w:val="24"/>
              </w:rPr>
              <w:t xml:space="preserve">Carl </w:t>
            </w:r>
            <w:proofErr w:type="spellStart"/>
            <w:r w:rsidRPr="002313F7">
              <w:rPr>
                <w:sz w:val="24"/>
              </w:rPr>
              <w:t>Raisch</w:t>
            </w:r>
            <w:proofErr w:type="spellEnd"/>
            <w:r w:rsidRPr="002313F7">
              <w:rPr>
                <w:sz w:val="24"/>
              </w:rPr>
              <w:t xml:space="preserve"> - ERCOT</w:t>
            </w:r>
          </w:p>
        </w:tc>
        <w:tc>
          <w:tcPr>
            <w:tcW w:w="3586" w:type="dxa"/>
            <w:shd w:val="clear" w:color="auto" w:fill="auto"/>
          </w:tcPr>
          <w:p w:rsidR="00934EDD" w:rsidRPr="002313F7" w:rsidRDefault="00934EDD" w:rsidP="00934EDD">
            <w:pPr>
              <w:spacing w:after="0"/>
              <w:rPr>
                <w:sz w:val="24"/>
              </w:rPr>
            </w:pPr>
            <w:r w:rsidRPr="002313F7">
              <w:rPr>
                <w:sz w:val="24"/>
              </w:rPr>
              <w:t>Diana Rehfeldt - TNMP</w:t>
            </w:r>
          </w:p>
        </w:tc>
      </w:tr>
      <w:tr w:rsidR="00BB11E5" w:rsidRPr="00DA1966" w:rsidTr="00CA7714">
        <w:tc>
          <w:tcPr>
            <w:tcW w:w="3586" w:type="dxa"/>
            <w:shd w:val="clear" w:color="auto" w:fill="auto"/>
          </w:tcPr>
          <w:p w:rsidR="00BB11E5" w:rsidRPr="002313F7" w:rsidRDefault="00E45D02" w:rsidP="00B8792A">
            <w:pPr>
              <w:spacing w:after="0"/>
              <w:rPr>
                <w:sz w:val="24"/>
              </w:rPr>
            </w:pPr>
            <w:r w:rsidRPr="002313F7">
              <w:rPr>
                <w:sz w:val="24"/>
              </w:rPr>
              <w:t>Sarah Andrews - Oncor</w:t>
            </w:r>
          </w:p>
        </w:tc>
        <w:tc>
          <w:tcPr>
            <w:tcW w:w="3618" w:type="dxa"/>
            <w:shd w:val="clear" w:color="auto" w:fill="auto"/>
          </w:tcPr>
          <w:p w:rsidR="00BB11E5" w:rsidRPr="002313F7" w:rsidRDefault="00E45D02" w:rsidP="00934EDD">
            <w:pPr>
              <w:spacing w:after="0"/>
              <w:rPr>
                <w:sz w:val="24"/>
              </w:rPr>
            </w:pPr>
            <w:r w:rsidRPr="002313F7">
              <w:rPr>
                <w:sz w:val="24"/>
              </w:rPr>
              <w:t>Amar Khalifeh - ERCOT</w:t>
            </w:r>
          </w:p>
        </w:tc>
        <w:tc>
          <w:tcPr>
            <w:tcW w:w="3586" w:type="dxa"/>
            <w:shd w:val="clear" w:color="auto" w:fill="auto"/>
          </w:tcPr>
          <w:p w:rsidR="00BB11E5" w:rsidRPr="002313F7" w:rsidRDefault="00E45D02" w:rsidP="00934EDD">
            <w:pPr>
              <w:spacing w:after="0"/>
              <w:rPr>
                <w:sz w:val="24"/>
              </w:rPr>
            </w:pPr>
            <w:r w:rsidRPr="002313F7">
              <w:rPr>
                <w:sz w:val="24"/>
              </w:rPr>
              <w:t>Karen Malkey - CNP</w:t>
            </w:r>
          </w:p>
        </w:tc>
      </w:tr>
      <w:tr w:rsidR="00E45D02" w:rsidRPr="00DA1966" w:rsidTr="00CA7714">
        <w:tc>
          <w:tcPr>
            <w:tcW w:w="3586" w:type="dxa"/>
            <w:shd w:val="clear" w:color="auto" w:fill="auto"/>
          </w:tcPr>
          <w:p w:rsidR="00E45D02" w:rsidRPr="002313F7" w:rsidRDefault="00E45D02" w:rsidP="00E45D02">
            <w:pPr>
              <w:spacing w:after="0"/>
              <w:rPr>
                <w:sz w:val="24"/>
              </w:rPr>
            </w:pPr>
            <w:r w:rsidRPr="002313F7">
              <w:rPr>
                <w:sz w:val="24"/>
              </w:rPr>
              <w:t>Chris Rowley - Oncor</w:t>
            </w:r>
          </w:p>
        </w:tc>
        <w:tc>
          <w:tcPr>
            <w:tcW w:w="3618" w:type="dxa"/>
            <w:shd w:val="clear" w:color="auto" w:fill="auto"/>
          </w:tcPr>
          <w:p w:rsidR="00E45D02" w:rsidRPr="002313F7" w:rsidRDefault="00E45D02" w:rsidP="00E45D02">
            <w:pPr>
              <w:spacing w:after="0"/>
              <w:rPr>
                <w:sz w:val="24"/>
              </w:rPr>
            </w:pPr>
            <w:r w:rsidRPr="002313F7">
              <w:rPr>
                <w:sz w:val="24"/>
              </w:rPr>
              <w:t>Clayton Stice - ERCOT</w:t>
            </w:r>
          </w:p>
        </w:tc>
        <w:tc>
          <w:tcPr>
            <w:tcW w:w="3586" w:type="dxa"/>
            <w:shd w:val="clear" w:color="auto" w:fill="auto"/>
          </w:tcPr>
          <w:p w:rsidR="00E45D02" w:rsidRPr="002313F7" w:rsidRDefault="00E45D02" w:rsidP="00E45D02">
            <w:pPr>
              <w:spacing w:after="0"/>
              <w:rPr>
                <w:sz w:val="24"/>
              </w:rPr>
            </w:pPr>
            <w:r w:rsidRPr="002313F7">
              <w:rPr>
                <w:sz w:val="24"/>
              </w:rPr>
              <w:t>Kyle Patrick - NRG</w:t>
            </w:r>
          </w:p>
        </w:tc>
      </w:tr>
      <w:tr w:rsidR="00E45D02" w:rsidRPr="00DA1966" w:rsidTr="00CA7714">
        <w:tc>
          <w:tcPr>
            <w:tcW w:w="3586" w:type="dxa"/>
            <w:shd w:val="clear" w:color="auto" w:fill="auto"/>
          </w:tcPr>
          <w:p w:rsidR="00E45D02" w:rsidRPr="002313F7" w:rsidRDefault="00E45D02" w:rsidP="00E45D02">
            <w:pPr>
              <w:spacing w:after="0"/>
              <w:rPr>
                <w:sz w:val="24"/>
              </w:rPr>
            </w:pPr>
            <w:r w:rsidRPr="002313F7">
              <w:rPr>
                <w:sz w:val="24"/>
              </w:rPr>
              <w:t>Lauren Damen - NRG</w:t>
            </w:r>
          </w:p>
        </w:tc>
        <w:tc>
          <w:tcPr>
            <w:tcW w:w="3618" w:type="dxa"/>
            <w:shd w:val="clear" w:color="auto" w:fill="auto"/>
          </w:tcPr>
          <w:p w:rsidR="00E45D02" w:rsidRPr="002313F7" w:rsidRDefault="00E45D02" w:rsidP="00E45D02">
            <w:pPr>
              <w:spacing w:after="0"/>
              <w:rPr>
                <w:sz w:val="24"/>
              </w:rPr>
            </w:pPr>
            <w:r w:rsidRPr="002313F7">
              <w:rPr>
                <w:sz w:val="24"/>
              </w:rPr>
              <w:t>Mark Ruane - ERCOT</w:t>
            </w:r>
          </w:p>
        </w:tc>
        <w:tc>
          <w:tcPr>
            <w:tcW w:w="3586" w:type="dxa"/>
            <w:shd w:val="clear" w:color="auto" w:fill="auto"/>
          </w:tcPr>
          <w:p w:rsidR="00E45D02" w:rsidRPr="002313F7" w:rsidRDefault="00E45D02" w:rsidP="00E45D02">
            <w:pPr>
              <w:spacing w:after="0"/>
              <w:rPr>
                <w:sz w:val="24"/>
              </w:rPr>
            </w:pPr>
            <w:r w:rsidRPr="002313F7">
              <w:rPr>
                <w:sz w:val="24"/>
              </w:rPr>
              <w:t>Rebecca DuPont – Evolve Energy</w:t>
            </w:r>
          </w:p>
        </w:tc>
      </w:tr>
    </w:tbl>
    <w:p w:rsidR="00A913D2" w:rsidRPr="00DA1966" w:rsidRDefault="00A913D2" w:rsidP="00A913D2">
      <w:pPr>
        <w:spacing w:after="0"/>
        <w:rPr>
          <w:sz w:val="24"/>
        </w:rPr>
      </w:pP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r w:rsidRPr="00DA1966">
        <w:rPr>
          <w:sz w:val="24"/>
        </w:rPr>
        <w:tab/>
      </w:r>
    </w:p>
    <w:p w:rsidR="00DA1966" w:rsidRPr="00DA1966" w:rsidRDefault="00DA1966" w:rsidP="00DA1966">
      <w:pPr>
        <w:pStyle w:val="ListParagraph"/>
        <w:numPr>
          <w:ilvl w:val="0"/>
          <w:numId w:val="26"/>
        </w:numPr>
        <w:spacing w:after="0"/>
        <w:rPr>
          <w:sz w:val="24"/>
        </w:rPr>
      </w:pPr>
      <w:r w:rsidRPr="00DA1966">
        <w:rPr>
          <w:sz w:val="24"/>
        </w:rPr>
        <w:t xml:space="preserve">Jordan Troublefield </w:t>
      </w:r>
      <w:r w:rsidR="00A913D2" w:rsidRPr="00DA1966">
        <w:rPr>
          <w:sz w:val="24"/>
        </w:rPr>
        <w:t>read Antitrust Admonition</w:t>
      </w:r>
      <w:r w:rsidRPr="00DA1966">
        <w:rPr>
          <w:sz w:val="24"/>
        </w:rPr>
        <w:t xml:space="preserve"> and then proceeded with 2021 elections of PWG Chair and Vice Chair.</w:t>
      </w:r>
    </w:p>
    <w:p w:rsidR="00DA1966" w:rsidRPr="00DA1966" w:rsidRDefault="00DA1966" w:rsidP="00DA1966">
      <w:pPr>
        <w:pStyle w:val="ListParagraph"/>
        <w:numPr>
          <w:ilvl w:val="0"/>
          <w:numId w:val="26"/>
        </w:numPr>
        <w:spacing w:after="0"/>
        <w:rPr>
          <w:sz w:val="24"/>
        </w:rPr>
      </w:pPr>
      <w:r>
        <w:rPr>
          <w:sz w:val="24"/>
        </w:rPr>
        <w:t>By</w:t>
      </w:r>
      <w:r w:rsidRPr="00DA1966">
        <w:rPr>
          <w:sz w:val="24"/>
        </w:rPr>
        <w:t xml:space="preserve"> acclamation</w:t>
      </w:r>
      <w:r>
        <w:rPr>
          <w:sz w:val="24"/>
        </w:rPr>
        <w:t xml:space="preserve">, </w:t>
      </w:r>
      <w:r w:rsidRPr="00DA1966">
        <w:rPr>
          <w:sz w:val="24"/>
        </w:rPr>
        <w:t>Sam Pak (Oncor)</w:t>
      </w:r>
      <w:r>
        <w:rPr>
          <w:sz w:val="24"/>
        </w:rPr>
        <w:t xml:space="preserve"> and Sheri Wiegand (TXU) will continue as Chair and Vice Chair, respectively.</w:t>
      </w:r>
      <w:r w:rsidRPr="00DA1966">
        <w:rPr>
          <w:sz w:val="24"/>
        </w:rPr>
        <w:t xml:space="preserve"> </w:t>
      </w:r>
    </w:p>
    <w:p w:rsidR="00DA1966" w:rsidRDefault="00DA1966" w:rsidP="00A913D2">
      <w:pPr>
        <w:numPr>
          <w:ilvl w:val="0"/>
          <w:numId w:val="1"/>
        </w:numPr>
        <w:spacing w:after="0"/>
        <w:rPr>
          <w:sz w:val="24"/>
        </w:rPr>
      </w:pPr>
      <w:r>
        <w:rPr>
          <w:sz w:val="24"/>
        </w:rPr>
        <w:t>Sam Pak reviewed Nov 6</w:t>
      </w:r>
      <w:r w:rsidRPr="00DA1966">
        <w:rPr>
          <w:sz w:val="24"/>
          <w:vertAlign w:val="superscript"/>
        </w:rPr>
        <w:t>th</w:t>
      </w:r>
      <w:r>
        <w:rPr>
          <w:sz w:val="24"/>
        </w:rPr>
        <w:t xml:space="preserve"> meeting notes for approval</w:t>
      </w:r>
    </w:p>
    <w:p w:rsidR="00A913D2" w:rsidRDefault="00A913D2" w:rsidP="00A913D2">
      <w:pPr>
        <w:spacing w:after="0"/>
        <w:ind w:left="720"/>
        <w:rPr>
          <w:b/>
          <w:u w:val="single"/>
        </w:rPr>
      </w:pPr>
    </w:p>
    <w:p w:rsidR="00DA1966" w:rsidRPr="002313F7" w:rsidRDefault="00DA1966" w:rsidP="001F650B">
      <w:pPr>
        <w:numPr>
          <w:ilvl w:val="0"/>
          <w:numId w:val="2"/>
        </w:numPr>
        <w:spacing w:after="0"/>
        <w:rPr>
          <w:b/>
          <w:sz w:val="24"/>
          <w:szCs w:val="24"/>
          <w:u w:val="single"/>
        </w:rPr>
      </w:pPr>
      <w:r w:rsidRPr="002313F7">
        <w:rPr>
          <w:b/>
          <w:sz w:val="24"/>
          <w:szCs w:val="24"/>
          <w:u w:val="single"/>
        </w:rPr>
        <w:t xml:space="preserve">Follow up on the </w:t>
      </w:r>
      <w:r w:rsidR="002313F7" w:rsidRPr="002313F7">
        <w:rPr>
          <w:b/>
          <w:sz w:val="24"/>
          <w:szCs w:val="24"/>
          <w:u w:val="single"/>
        </w:rPr>
        <w:t>U</w:t>
      </w:r>
      <w:r w:rsidRPr="002313F7">
        <w:rPr>
          <w:b/>
          <w:sz w:val="24"/>
          <w:szCs w:val="24"/>
          <w:u w:val="single"/>
        </w:rPr>
        <w:t>sage of O&amp;G Flat Profiles:</w:t>
      </w:r>
    </w:p>
    <w:p w:rsidR="00DA1966" w:rsidRDefault="00C041A0" w:rsidP="00DA1966">
      <w:pPr>
        <w:numPr>
          <w:ilvl w:val="1"/>
          <w:numId w:val="2"/>
        </w:numPr>
        <w:spacing w:after="0"/>
        <w:rPr>
          <w:b/>
          <w:u w:val="single"/>
        </w:rPr>
      </w:pPr>
      <w:r>
        <w:rPr>
          <w:sz w:val="24"/>
          <w:szCs w:val="24"/>
        </w:rPr>
        <w:t xml:space="preserve">Bill Barnes (NRG), who initially raised the topic for review, mentioned they would be providing enhanced training within their shops and their brokers in evaluating customers with the OGFLT load profiles and their usage.  Other REPs also suggested they would do the same particularly as it comes to pricing an OGFLT customer whose usage may </w:t>
      </w:r>
      <w:r w:rsidR="00A40DDB">
        <w:rPr>
          <w:sz w:val="24"/>
          <w:szCs w:val="24"/>
        </w:rPr>
        <w:t>not necessarily conform</w:t>
      </w:r>
      <w:r>
        <w:rPr>
          <w:sz w:val="24"/>
          <w:szCs w:val="24"/>
        </w:rPr>
        <w:t xml:space="preserve"> to a “flat” load shape.</w:t>
      </w:r>
    </w:p>
    <w:p w:rsidR="002313F7" w:rsidRPr="005E6E26" w:rsidRDefault="00A40DDB" w:rsidP="00DA1966">
      <w:pPr>
        <w:numPr>
          <w:ilvl w:val="1"/>
          <w:numId w:val="2"/>
        </w:numPr>
        <w:spacing w:after="0"/>
        <w:rPr>
          <w:b/>
          <w:u w:val="single"/>
        </w:rPr>
      </w:pPr>
      <w:r w:rsidRPr="005E6E26">
        <w:t>ERCOT</w:t>
      </w:r>
      <w:r w:rsidR="005E6E26" w:rsidRPr="005E6E26">
        <w:t xml:space="preserve"> however did agree to provide a “warning label” for all OGFLT profile requests if the historical load appears to be weather sensitive or not.  ERCOT noted a majority of the request have little or no historical information and if so, that will be noted on the response.  Carl explained the OGLFT profile was also intended as an indicator of a random profile as erratic usage could be expected.  </w:t>
      </w:r>
      <w:r w:rsidRPr="005E6E26">
        <w:t xml:space="preserve"> </w:t>
      </w:r>
    </w:p>
    <w:p w:rsidR="007054E5" w:rsidRPr="002313F7" w:rsidRDefault="007054E5" w:rsidP="001F650B">
      <w:pPr>
        <w:numPr>
          <w:ilvl w:val="0"/>
          <w:numId w:val="2"/>
        </w:numPr>
        <w:spacing w:after="0"/>
        <w:rPr>
          <w:b/>
          <w:sz w:val="24"/>
          <w:szCs w:val="24"/>
          <w:u w:val="single"/>
        </w:rPr>
      </w:pPr>
      <w:r w:rsidRPr="002313F7">
        <w:rPr>
          <w:b/>
          <w:sz w:val="24"/>
          <w:szCs w:val="24"/>
          <w:u w:val="single"/>
        </w:rPr>
        <w:t xml:space="preserve">Annual Weather Sensitivity </w:t>
      </w:r>
      <w:r w:rsidR="002313F7" w:rsidRPr="002313F7">
        <w:rPr>
          <w:b/>
          <w:sz w:val="24"/>
          <w:szCs w:val="24"/>
          <w:u w:val="single"/>
        </w:rPr>
        <w:t>Update</w:t>
      </w:r>
    </w:p>
    <w:p w:rsidR="002313F7" w:rsidRDefault="001F650B" w:rsidP="009A1FAB">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ERCOT </w:t>
      </w:r>
      <w:r w:rsidR="002313F7">
        <w:rPr>
          <w:rFonts w:ascii="Arial" w:eastAsia="Times New Roman" w:hAnsi="Arial" w:cs="Arial"/>
          <w:color w:val="000000"/>
          <w:sz w:val="21"/>
          <w:szCs w:val="21"/>
        </w:rPr>
        <w:t>provided an update to the WS changes with an updated status report as of 01/02/21 (see chart below).  Due date is 1/31/21.</w:t>
      </w:r>
    </w:p>
    <w:p w:rsidR="002313F7" w:rsidRDefault="002313F7" w:rsidP="009A1FAB">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ERCOT will provide an updated report </w:t>
      </w:r>
      <w:r w:rsidR="00391B0A">
        <w:rPr>
          <w:rFonts w:ascii="Arial" w:eastAsia="Times New Roman" w:hAnsi="Arial" w:cs="Arial"/>
          <w:color w:val="000000"/>
          <w:sz w:val="21"/>
          <w:szCs w:val="21"/>
        </w:rPr>
        <w:t>on</w:t>
      </w:r>
      <w:r>
        <w:rPr>
          <w:rFonts w:ascii="Arial" w:eastAsia="Times New Roman" w:hAnsi="Arial" w:cs="Arial"/>
          <w:color w:val="000000"/>
          <w:sz w:val="21"/>
          <w:szCs w:val="21"/>
        </w:rPr>
        <w:t xml:space="preserve"> completion status in early February.</w:t>
      </w:r>
    </w:p>
    <w:p w:rsidR="002313F7" w:rsidRDefault="002313F7" w:rsidP="002313F7">
      <w:pPr>
        <w:shd w:val="clear" w:color="auto" w:fill="FFFFFF"/>
        <w:spacing w:after="45" w:line="240" w:lineRule="auto"/>
        <w:ind w:left="1080"/>
        <w:rPr>
          <w:rFonts w:ascii="Arial" w:eastAsia="Times New Roman" w:hAnsi="Arial" w:cs="Arial"/>
          <w:color w:val="000000"/>
          <w:sz w:val="21"/>
          <w:szCs w:val="21"/>
        </w:rPr>
      </w:pPr>
    </w:p>
    <w:p w:rsidR="002313F7" w:rsidRDefault="002313F7" w:rsidP="002313F7">
      <w:pPr>
        <w:shd w:val="clear" w:color="auto" w:fill="FFFFFF"/>
        <w:spacing w:after="45" w:line="240" w:lineRule="auto"/>
        <w:ind w:left="1080"/>
        <w:rPr>
          <w:rFonts w:ascii="Arial" w:eastAsia="Times New Roman" w:hAnsi="Arial" w:cs="Arial"/>
          <w:color w:val="000000"/>
          <w:sz w:val="21"/>
          <w:szCs w:val="21"/>
        </w:rPr>
      </w:pPr>
      <w:r>
        <w:rPr>
          <w:noProof/>
        </w:rPr>
        <w:lastRenderedPageBreak/>
        <w:drawing>
          <wp:inline distT="0" distB="0" distL="0" distR="0" wp14:anchorId="4D237A08" wp14:editId="14D0F9E3">
            <wp:extent cx="5737826" cy="2501900"/>
            <wp:effectExtent l="19050" t="19050" r="1587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5310" cy="2535686"/>
                    </a:xfrm>
                    <a:prstGeom prst="rect">
                      <a:avLst/>
                    </a:prstGeom>
                    <a:ln w="22225">
                      <a:solidFill>
                        <a:schemeClr val="tx1"/>
                      </a:solidFill>
                    </a:ln>
                  </pic:spPr>
                </pic:pic>
              </a:graphicData>
            </a:graphic>
          </wp:inline>
        </w:drawing>
      </w:r>
    </w:p>
    <w:p w:rsidR="00336C01" w:rsidRPr="00336C01" w:rsidRDefault="00336C01" w:rsidP="00336C01">
      <w:pPr>
        <w:pStyle w:val="ListParagraph"/>
        <w:numPr>
          <w:ilvl w:val="0"/>
          <w:numId w:val="4"/>
        </w:numPr>
        <w:spacing w:after="0" w:line="240" w:lineRule="auto"/>
        <w:rPr>
          <w:b/>
          <w:sz w:val="24"/>
          <w:szCs w:val="24"/>
          <w:u w:val="single"/>
        </w:rPr>
      </w:pPr>
      <w:r w:rsidRPr="00336C01">
        <w:rPr>
          <w:b/>
          <w:sz w:val="24"/>
          <w:szCs w:val="24"/>
          <w:u w:val="single"/>
        </w:rPr>
        <w:t>Discussion on Pending Revision Requests:</w:t>
      </w:r>
    </w:p>
    <w:p w:rsidR="005B7FFB" w:rsidRDefault="005B7FFB" w:rsidP="005B7FFB">
      <w:pPr>
        <w:pStyle w:val="ListParagraph"/>
        <w:numPr>
          <w:ilvl w:val="1"/>
          <w:numId w:val="4"/>
        </w:numPr>
        <w:spacing w:after="0" w:line="240" w:lineRule="auto"/>
        <w:rPr>
          <w:sz w:val="24"/>
          <w:szCs w:val="24"/>
        </w:rPr>
      </w:pPr>
      <w:r>
        <w:rPr>
          <w:sz w:val="24"/>
          <w:szCs w:val="24"/>
        </w:rPr>
        <w:t>Assuming happy path, the RMGRR &amp; NPRR should be approved by the end of Q1:</w:t>
      </w:r>
    </w:p>
    <w:p w:rsidR="00AC639F" w:rsidRPr="005B7FFB" w:rsidRDefault="00AC639F" w:rsidP="005B7FFB">
      <w:pPr>
        <w:numPr>
          <w:ilvl w:val="2"/>
          <w:numId w:val="4"/>
        </w:numPr>
        <w:shd w:val="clear" w:color="auto" w:fill="FFFFFF"/>
        <w:spacing w:after="45" w:line="240" w:lineRule="auto"/>
        <w:rPr>
          <w:sz w:val="24"/>
          <w:szCs w:val="24"/>
        </w:rPr>
      </w:pPr>
      <w:r w:rsidRPr="005B7FFB">
        <w:rPr>
          <w:sz w:val="24"/>
          <w:szCs w:val="24"/>
        </w:rPr>
        <w:t>Draft RMGRR Eliminate Section 7.13, IDR Meter Removal and Installation Process</w:t>
      </w:r>
    </w:p>
    <w:p w:rsidR="00AC639F" w:rsidRPr="005B7FFB" w:rsidRDefault="00AC639F" w:rsidP="005B7FFB">
      <w:pPr>
        <w:numPr>
          <w:ilvl w:val="2"/>
          <w:numId w:val="4"/>
        </w:numPr>
        <w:shd w:val="clear" w:color="auto" w:fill="FFFFFF"/>
        <w:spacing w:after="45" w:line="240" w:lineRule="auto"/>
        <w:rPr>
          <w:sz w:val="24"/>
          <w:szCs w:val="24"/>
        </w:rPr>
      </w:pPr>
      <w:r w:rsidRPr="005B7FFB">
        <w:rPr>
          <w:sz w:val="24"/>
          <w:szCs w:val="24"/>
        </w:rPr>
        <w:t>Draft NPRR Modify IDR Meter Requirement and Eliminate IDR Meter Requirement Report</w:t>
      </w:r>
    </w:p>
    <w:p w:rsidR="00AC639F" w:rsidRDefault="00AC639F" w:rsidP="00AC639F">
      <w:pPr>
        <w:numPr>
          <w:ilvl w:val="1"/>
          <w:numId w:val="4"/>
        </w:numPr>
        <w:shd w:val="clear" w:color="auto" w:fill="FFFFFF"/>
        <w:spacing w:after="45" w:line="240" w:lineRule="auto"/>
        <w:rPr>
          <w:sz w:val="24"/>
          <w:szCs w:val="24"/>
        </w:rPr>
      </w:pPr>
      <w:r w:rsidRPr="005B7FFB">
        <w:rPr>
          <w:sz w:val="24"/>
          <w:szCs w:val="24"/>
        </w:rPr>
        <w:t>Draft LPGRR Creation of New BUSLRG and BUSLRGDG Profile Types</w:t>
      </w:r>
      <w:r w:rsidR="005B7FFB">
        <w:rPr>
          <w:sz w:val="24"/>
          <w:szCs w:val="24"/>
        </w:rPr>
        <w:t xml:space="preserve"> will take longer as the IA involves groups and additional input within ERCOT but potentially Board approval in June.</w:t>
      </w:r>
    </w:p>
    <w:p w:rsidR="005B7FFB" w:rsidRDefault="005B7FFB" w:rsidP="005B7FFB">
      <w:pPr>
        <w:numPr>
          <w:ilvl w:val="2"/>
          <w:numId w:val="4"/>
        </w:numPr>
        <w:shd w:val="clear" w:color="auto" w:fill="FFFFFF"/>
        <w:spacing w:after="45" w:line="240" w:lineRule="auto"/>
        <w:rPr>
          <w:sz w:val="24"/>
          <w:szCs w:val="24"/>
        </w:rPr>
      </w:pPr>
      <w:r>
        <w:rPr>
          <w:sz w:val="24"/>
          <w:szCs w:val="24"/>
        </w:rPr>
        <w:t>Randy Roberts did mention there would be a necessary 150 day waiting period after Board approval before implementation so most likely a 2022 Q1, at the earliest, for adoption into the market.</w:t>
      </w:r>
    </w:p>
    <w:p w:rsidR="005B7FFB" w:rsidRDefault="005B7FFB" w:rsidP="005B7FFB">
      <w:pPr>
        <w:pStyle w:val="ListParagraph"/>
        <w:shd w:val="clear" w:color="auto" w:fill="FFFFFF"/>
        <w:spacing w:after="45" w:line="240" w:lineRule="auto"/>
        <w:rPr>
          <w:b/>
          <w:sz w:val="24"/>
          <w:szCs w:val="24"/>
          <w:u w:val="single"/>
        </w:rPr>
      </w:pPr>
    </w:p>
    <w:p w:rsidR="005B7FFB" w:rsidRDefault="005B7FFB" w:rsidP="005B7FFB">
      <w:pPr>
        <w:pStyle w:val="ListParagraph"/>
        <w:numPr>
          <w:ilvl w:val="0"/>
          <w:numId w:val="4"/>
        </w:numPr>
        <w:shd w:val="clear" w:color="auto" w:fill="FFFFFF"/>
        <w:spacing w:after="45" w:line="240" w:lineRule="auto"/>
        <w:rPr>
          <w:b/>
          <w:sz w:val="24"/>
          <w:szCs w:val="24"/>
          <w:u w:val="single"/>
        </w:rPr>
      </w:pPr>
      <w:r>
        <w:rPr>
          <w:b/>
          <w:sz w:val="24"/>
          <w:szCs w:val="24"/>
          <w:u w:val="single"/>
        </w:rPr>
        <w:t>Oncor Tran</w:t>
      </w:r>
      <w:r w:rsidRPr="005B7FFB">
        <w:rPr>
          <w:b/>
          <w:sz w:val="24"/>
          <w:szCs w:val="24"/>
          <w:u w:val="single"/>
        </w:rPr>
        <w:t>s</w:t>
      </w:r>
      <w:r>
        <w:rPr>
          <w:b/>
          <w:sz w:val="24"/>
          <w:szCs w:val="24"/>
          <w:u w:val="single"/>
        </w:rPr>
        <w:t>ition of BUSIDRRQ Customers to AMS Daily Settlement</w:t>
      </w:r>
    </w:p>
    <w:p w:rsidR="00AC639F" w:rsidRPr="00ED4865" w:rsidRDefault="005B7FFB" w:rsidP="006A122A">
      <w:pPr>
        <w:pStyle w:val="ListParagraph"/>
        <w:numPr>
          <w:ilvl w:val="1"/>
          <w:numId w:val="4"/>
        </w:numPr>
        <w:shd w:val="clear" w:color="auto" w:fill="FFFFFF"/>
        <w:spacing w:after="45" w:line="240" w:lineRule="auto"/>
        <w:rPr>
          <w:b/>
          <w:u w:val="single"/>
        </w:rPr>
      </w:pPr>
      <w:r w:rsidRPr="005B7FFB">
        <w:rPr>
          <w:sz w:val="24"/>
          <w:szCs w:val="24"/>
        </w:rPr>
        <w:t>Oncor mentioned ramp</w:t>
      </w:r>
      <w:r w:rsidR="002012DB">
        <w:rPr>
          <w:sz w:val="24"/>
          <w:szCs w:val="24"/>
        </w:rPr>
        <w:t>ing of</w:t>
      </w:r>
      <w:r w:rsidRPr="005B7FFB">
        <w:rPr>
          <w:sz w:val="24"/>
          <w:szCs w:val="24"/>
        </w:rPr>
        <w:t xml:space="preserve"> BUSIDRRQ customers transitioning in March/April to AMS daily settlement.  REPs and ERCOT will be provided a 45 day MT notice and 814</w:t>
      </w:r>
      <w:r>
        <w:rPr>
          <w:sz w:val="24"/>
          <w:szCs w:val="24"/>
        </w:rPr>
        <w:t xml:space="preserve">_20 updates as they default to the BUSLO load profile.  Oncor will continue to scale in efforts to transition almost all </w:t>
      </w:r>
      <w:r w:rsidRPr="00ED4865">
        <w:rPr>
          <w:sz w:val="24"/>
          <w:szCs w:val="24"/>
        </w:rPr>
        <w:t>these</w:t>
      </w:r>
      <w:r w:rsidR="00D5133A" w:rsidRPr="00ED4865">
        <w:rPr>
          <w:sz w:val="24"/>
          <w:szCs w:val="24"/>
        </w:rPr>
        <w:t xml:space="preserve"> BUSIDRRQ</w:t>
      </w:r>
      <w:r w:rsidRPr="00ED4865">
        <w:rPr>
          <w:sz w:val="24"/>
          <w:szCs w:val="24"/>
        </w:rPr>
        <w:t xml:space="preserve"> customers by 2022.  Oncor is also planning to provide access to interval data via their Historical Usage Portal </w:t>
      </w:r>
      <w:r w:rsidR="00ED4865">
        <w:rPr>
          <w:sz w:val="24"/>
          <w:szCs w:val="24"/>
        </w:rPr>
        <w:t>possibly by late 2021</w:t>
      </w:r>
      <w:r w:rsidRPr="00ED4865">
        <w:rPr>
          <w:sz w:val="24"/>
          <w:szCs w:val="24"/>
        </w:rPr>
        <w:t>.</w:t>
      </w:r>
    </w:p>
    <w:p w:rsidR="005B7FFB" w:rsidRPr="00ED4865" w:rsidRDefault="005B7FFB" w:rsidP="006A122A">
      <w:pPr>
        <w:pStyle w:val="ListParagraph"/>
        <w:numPr>
          <w:ilvl w:val="1"/>
          <w:numId w:val="4"/>
        </w:numPr>
        <w:shd w:val="clear" w:color="auto" w:fill="FFFFFF"/>
        <w:spacing w:after="45" w:line="240" w:lineRule="auto"/>
        <w:rPr>
          <w:b/>
          <w:u w:val="single"/>
        </w:rPr>
      </w:pPr>
      <w:r w:rsidRPr="00ED4865">
        <w:rPr>
          <w:sz w:val="24"/>
          <w:szCs w:val="24"/>
        </w:rPr>
        <w:t xml:space="preserve">Once the new BUSLRG and BUSLRGDG </w:t>
      </w:r>
      <w:r w:rsidR="00D5133A" w:rsidRPr="00ED4865">
        <w:rPr>
          <w:sz w:val="24"/>
          <w:szCs w:val="24"/>
        </w:rPr>
        <w:t xml:space="preserve">profiles </w:t>
      </w:r>
      <w:r w:rsidRPr="00ED4865">
        <w:rPr>
          <w:sz w:val="24"/>
          <w:szCs w:val="24"/>
        </w:rPr>
        <w:t>are avail</w:t>
      </w:r>
      <w:r w:rsidR="002012DB" w:rsidRPr="00ED4865">
        <w:rPr>
          <w:sz w:val="24"/>
          <w:szCs w:val="24"/>
        </w:rPr>
        <w:t xml:space="preserve">able, those will be </w:t>
      </w:r>
      <w:r w:rsidR="005E6E26" w:rsidRPr="00ED4865">
        <w:rPr>
          <w:sz w:val="24"/>
          <w:szCs w:val="24"/>
        </w:rPr>
        <w:t>transitioned</w:t>
      </w:r>
      <w:r w:rsidR="002012DB" w:rsidRPr="00ED4865">
        <w:rPr>
          <w:sz w:val="24"/>
          <w:szCs w:val="24"/>
        </w:rPr>
        <w:t xml:space="preserve"> accordingly.</w:t>
      </w:r>
    </w:p>
    <w:p w:rsidR="002012DB" w:rsidRPr="00ED4865" w:rsidRDefault="002012DB" w:rsidP="002012DB">
      <w:pPr>
        <w:pStyle w:val="ListParagraph"/>
        <w:shd w:val="clear" w:color="auto" w:fill="FFFFFF"/>
        <w:spacing w:after="45" w:line="240" w:lineRule="auto"/>
        <w:ind w:left="1440"/>
        <w:rPr>
          <w:b/>
          <w:u w:val="single"/>
        </w:rPr>
      </w:pPr>
    </w:p>
    <w:p w:rsidR="001435F1" w:rsidRPr="00ED4865" w:rsidRDefault="001435F1" w:rsidP="001435F1">
      <w:pPr>
        <w:pStyle w:val="ListParagraph"/>
        <w:numPr>
          <w:ilvl w:val="0"/>
          <w:numId w:val="4"/>
        </w:numPr>
        <w:spacing w:after="0" w:line="240" w:lineRule="auto"/>
        <w:rPr>
          <w:b/>
          <w:sz w:val="24"/>
          <w:szCs w:val="24"/>
          <w:u w:val="single"/>
        </w:rPr>
      </w:pPr>
      <w:r w:rsidRPr="00ED4865">
        <w:rPr>
          <w:b/>
          <w:sz w:val="24"/>
          <w:szCs w:val="24"/>
          <w:u w:val="single"/>
        </w:rPr>
        <w:t>NPRR1059, Ability for MOUs and ECs to Send Non-BUSIDRRQ Interval Data</w:t>
      </w:r>
    </w:p>
    <w:p w:rsidR="001435F1" w:rsidRPr="00ED4865" w:rsidRDefault="001435F1" w:rsidP="001435F1">
      <w:pPr>
        <w:pStyle w:val="ListParagraph"/>
        <w:numPr>
          <w:ilvl w:val="1"/>
          <w:numId w:val="4"/>
        </w:numPr>
        <w:spacing w:after="0" w:line="240" w:lineRule="auto"/>
        <w:rPr>
          <w:sz w:val="24"/>
          <w:szCs w:val="24"/>
        </w:rPr>
      </w:pPr>
      <w:r w:rsidRPr="00ED4865">
        <w:rPr>
          <w:sz w:val="24"/>
          <w:szCs w:val="24"/>
        </w:rPr>
        <w:t>This Nodal Protocol Revision Request (NPRR) creates the ability to send interval readings for non-Interval Data Recorder (IDR) Meters, such as residential accounts with consumption under 700 kW, to be able to settle on actual usage/generation instead of the Load Profile.</w:t>
      </w:r>
    </w:p>
    <w:p w:rsidR="001435F1" w:rsidRPr="00ED4865" w:rsidRDefault="001435F1" w:rsidP="001435F1">
      <w:pPr>
        <w:pStyle w:val="ListParagraph"/>
        <w:numPr>
          <w:ilvl w:val="1"/>
          <w:numId w:val="4"/>
        </w:numPr>
        <w:spacing w:after="0" w:line="240" w:lineRule="auto"/>
        <w:rPr>
          <w:b/>
          <w:sz w:val="24"/>
          <w:szCs w:val="24"/>
          <w:u w:val="single"/>
        </w:rPr>
      </w:pPr>
      <w:r w:rsidRPr="00ED4865">
        <w:rPr>
          <w:sz w:val="24"/>
          <w:szCs w:val="24"/>
        </w:rPr>
        <w:t>While not necessarily in PWG’s purview, this was brought to PWG’s attention as a pending NPRR.</w:t>
      </w:r>
    </w:p>
    <w:p w:rsidR="005E6E26" w:rsidRPr="00ED4865" w:rsidRDefault="005E6E26" w:rsidP="001435F1">
      <w:pPr>
        <w:pStyle w:val="ListParagraph"/>
        <w:numPr>
          <w:ilvl w:val="1"/>
          <w:numId w:val="4"/>
        </w:numPr>
        <w:spacing w:after="0" w:line="240" w:lineRule="auto"/>
        <w:rPr>
          <w:b/>
          <w:sz w:val="24"/>
          <w:szCs w:val="24"/>
          <w:u w:val="single"/>
        </w:rPr>
      </w:pPr>
      <w:r w:rsidRPr="00ED4865">
        <w:rPr>
          <w:sz w:val="24"/>
          <w:szCs w:val="24"/>
        </w:rPr>
        <w:t xml:space="preserve">Randy did explain the creation of the new definition indicating ERCOT Legal had advised to keep the existing definition intact as it referenced PUC substantive rule that was </w:t>
      </w:r>
      <w:r w:rsidR="00DC00AD" w:rsidRPr="00ED4865">
        <w:rPr>
          <w:sz w:val="24"/>
          <w:szCs w:val="24"/>
        </w:rPr>
        <w:t>applicable to other TDSPs in non-ERCOT territories.</w:t>
      </w:r>
      <w:r w:rsidRPr="00ED4865">
        <w:rPr>
          <w:sz w:val="24"/>
          <w:szCs w:val="24"/>
        </w:rPr>
        <w:t xml:space="preserve"> </w:t>
      </w:r>
    </w:p>
    <w:p w:rsidR="006564AD" w:rsidRDefault="006564AD" w:rsidP="00D22A08">
      <w:pPr>
        <w:pStyle w:val="ListParagraph"/>
        <w:spacing w:after="0"/>
        <w:ind w:left="1080"/>
      </w:pPr>
    </w:p>
    <w:p w:rsidR="00E14B8D" w:rsidRPr="00E14B8D" w:rsidRDefault="00D22A08" w:rsidP="00D22A08">
      <w:pPr>
        <w:pStyle w:val="ListParagraph"/>
        <w:numPr>
          <w:ilvl w:val="0"/>
          <w:numId w:val="4"/>
        </w:numPr>
        <w:spacing w:after="0" w:line="240" w:lineRule="auto"/>
        <w:rPr>
          <w:b/>
          <w:sz w:val="24"/>
          <w:szCs w:val="24"/>
          <w:u w:val="single"/>
        </w:rPr>
      </w:pPr>
      <w:r w:rsidRPr="00E14B8D">
        <w:rPr>
          <w:b/>
          <w:sz w:val="24"/>
          <w:szCs w:val="24"/>
          <w:u w:val="single"/>
        </w:rPr>
        <w:t>Propos</w:t>
      </w:r>
      <w:r w:rsidR="00E14B8D" w:rsidRPr="00E14B8D">
        <w:rPr>
          <w:b/>
          <w:sz w:val="24"/>
          <w:szCs w:val="24"/>
          <w:u w:val="single"/>
        </w:rPr>
        <w:t xml:space="preserve">ed changes and modifications to the DG Template </w:t>
      </w:r>
      <w:r w:rsidR="00E14B8D">
        <w:rPr>
          <w:b/>
          <w:sz w:val="24"/>
          <w:szCs w:val="24"/>
          <w:u w:val="single"/>
        </w:rPr>
        <w:t xml:space="preserve">Spreadsheet </w:t>
      </w:r>
      <w:r w:rsidR="00E14B8D" w:rsidRPr="00E14B8D">
        <w:rPr>
          <w:b/>
          <w:sz w:val="24"/>
          <w:szCs w:val="24"/>
          <w:u w:val="single"/>
        </w:rPr>
        <w:t>for Unregistered DG</w:t>
      </w:r>
    </w:p>
    <w:p w:rsidR="00E14B8D" w:rsidRPr="00480F22" w:rsidRDefault="008B2916" w:rsidP="001C4981">
      <w:pPr>
        <w:pStyle w:val="ListParagraph"/>
        <w:numPr>
          <w:ilvl w:val="0"/>
          <w:numId w:val="24"/>
        </w:numPr>
        <w:spacing w:after="0"/>
        <w:rPr>
          <w:sz w:val="24"/>
          <w:szCs w:val="24"/>
        </w:rPr>
      </w:pPr>
      <w:r w:rsidRPr="00480F22">
        <w:rPr>
          <w:sz w:val="24"/>
          <w:szCs w:val="24"/>
        </w:rPr>
        <w:t xml:space="preserve">Clayton Stice, ERCOT, </w:t>
      </w:r>
      <w:r w:rsidR="00E14B8D" w:rsidRPr="00480F22">
        <w:rPr>
          <w:sz w:val="24"/>
          <w:szCs w:val="24"/>
        </w:rPr>
        <w:t xml:space="preserve">provided an update that there have been ongoing constructive discussions and dialogue with the TDSPs on paving a path forward to provide ERCOT additional </w:t>
      </w:r>
      <w:r w:rsidR="00E14B8D" w:rsidRPr="00480F22">
        <w:rPr>
          <w:sz w:val="24"/>
          <w:szCs w:val="24"/>
        </w:rPr>
        <w:lastRenderedPageBreak/>
        <w:t xml:space="preserve">information and data </w:t>
      </w:r>
      <w:r w:rsidRPr="00480F22">
        <w:rPr>
          <w:sz w:val="24"/>
          <w:szCs w:val="24"/>
        </w:rPr>
        <w:t>related to unregistered DG</w:t>
      </w:r>
      <w:r w:rsidR="00E14B8D" w:rsidRPr="00480F22">
        <w:rPr>
          <w:sz w:val="24"/>
          <w:szCs w:val="24"/>
        </w:rPr>
        <w:t xml:space="preserve">.  While the original proposal suggested leveraging and expanding for </w:t>
      </w:r>
      <w:proofErr w:type="spellStart"/>
      <w:r w:rsidR="00E14B8D" w:rsidRPr="00480F22">
        <w:rPr>
          <w:sz w:val="24"/>
          <w:szCs w:val="24"/>
        </w:rPr>
        <w:t>addl</w:t>
      </w:r>
      <w:proofErr w:type="spellEnd"/>
      <w:r w:rsidR="00E14B8D" w:rsidRPr="00480F22">
        <w:rPr>
          <w:sz w:val="24"/>
          <w:szCs w:val="24"/>
        </w:rPr>
        <w:t>’ data elements (</w:t>
      </w:r>
      <w:proofErr w:type="spellStart"/>
      <w:r w:rsidR="00E14B8D" w:rsidRPr="00480F22">
        <w:rPr>
          <w:sz w:val="24"/>
          <w:szCs w:val="24"/>
        </w:rPr>
        <w:t>ie</w:t>
      </w:r>
      <w:proofErr w:type="spellEnd"/>
      <w:r w:rsidR="00E14B8D" w:rsidRPr="00480F22">
        <w:rPr>
          <w:sz w:val="24"/>
          <w:szCs w:val="24"/>
        </w:rPr>
        <w:t xml:space="preserve"> columns) within </w:t>
      </w:r>
      <w:r w:rsidRPr="00480F22">
        <w:rPr>
          <w:sz w:val="24"/>
          <w:szCs w:val="24"/>
        </w:rPr>
        <w:t>the DG Load Profile Template spreadsheet</w:t>
      </w:r>
      <w:r w:rsidR="00E14B8D" w:rsidRPr="00480F22">
        <w:rPr>
          <w:sz w:val="24"/>
          <w:szCs w:val="24"/>
        </w:rPr>
        <w:t>, discussions evolved around a more efficient means of delivery given the added complexity and granularity of the data.</w:t>
      </w:r>
    </w:p>
    <w:p w:rsidR="00E14B8D" w:rsidRPr="00480F22" w:rsidRDefault="00E14B8D" w:rsidP="00E14B8D">
      <w:pPr>
        <w:pStyle w:val="ListParagraph"/>
        <w:numPr>
          <w:ilvl w:val="0"/>
          <w:numId w:val="24"/>
        </w:numPr>
        <w:spacing w:after="0"/>
        <w:rPr>
          <w:sz w:val="24"/>
          <w:szCs w:val="24"/>
        </w:rPr>
      </w:pPr>
      <w:r w:rsidRPr="00480F22">
        <w:rPr>
          <w:sz w:val="24"/>
          <w:szCs w:val="24"/>
        </w:rPr>
        <w:t>For now, ERCOT and TDSPs will continue discussions outside PWG meetings on a collaborative delivery mechanism for the requested data.</w:t>
      </w:r>
    </w:p>
    <w:p w:rsidR="00E14B8D" w:rsidRPr="00480F22" w:rsidRDefault="00E14B8D" w:rsidP="00E14B8D">
      <w:pPr>
        <w:pStyle w:val="ListParagraph"/>
        <w:numPr>
          <w:ilvl w:val="0"/>
          <w:numId w:val="24"/>
        </w:numPr>
        <w:spacing w:after="0"/>
        <w:rPr>
          <w:sz w:val="24"/>
          <w:szCs w:val="24"/>
        </w:rPr>
      </w:pPr>
      <w:r w:rsidRPr="00480F22">
        <w:rPr>
          <w:sz w:val="24"/>
          <w:szCs w:val="24"/>
        </w:rPr>
        <w:t>ERCOT is targeting around 2023 or 2024 for this data from the TDSPs.  The purpose of this data is for enhanced modeling and forecasting by ERCOT especially given growth projection of unregistered DG.</w:t>
      </w:r>
    </w:p>
    <w:p w:rsidR="003636F9" w:rsidRDefault="00E14B8D" w:rsidP="00480F22">
      <w:pPr>
        <w:spacing w:after="0"/>
        <w:ind w:left="720"/>
      </w:pPr>
      <w:r>
        <w:rPr>
          <w:noProof/>
        </w:rPr>
        <w:drawing>
          <wp:inline distT="0" distB="0" distL="0" distR="0" wp14:anchorId="37A4857C" wp14:editId="3DA1ADD4">
            <wp:extent cx="4774762" cy="2546350"/>
            <wp:effectExtent l="19050" t="19050" r="26035"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3389" cy="2556284"/>
                    </a:xfrm>
                    <a:prstGeom prst="rect">
                      <a:avLst/>
                    </a:prstGeom>
                    <a:ln w="22225">
                      <a:solidFill>
                        <a:schemeClr val="tx1"/>
                      </a:solidFill>
                    </a:ln>
                  </pic:spPr>
                </pic:pic>
              </a:graphicData>
            </a:graphic>
          </wp:inline>
        </w:drawing>
      </w:r>
      <w:r w:rsidR="00480F22">
        <w:t xml:space="preserve"> </w:t>
      </w:r>
    </w:p>
    <w:p w:rsidR="009B5895" w:rsidRDefault="009B5895" w:rsidP="009B5895">
      <w:pPr>
        <w:shd w:val="clear" w:color="auto" w:fill="FFFFFF"/>
        <w:spacing w:after="45" w:line="240" w:lineRule="auto"/>
        <w:ind w:left="1080"/>
        <w:rPr>
          <w:rFonts w:ascii="Arial" w:eastAsia="Times New Roman" w:hAnsi="Arial" w:cs="Arial"/>
          <w:color w:val="000000"/>
          <w:sz w:val="21"/>
          <w:szCs w:val="21"/>
        </w:rPr>
      </w:pPr>
    </w:p>
    <w:p w:rsidR="00A074DF" w:rsidRDefault="00A074DF" w:rsidP="0093184C">
      <w:pPr>
        <w:shd w:val="clear" w:color="auto" w:fill="FFFFFF"/>
        <w:spacing w:after="45" w:line="240" w:lineRule="auto"/>
        <w:ind w:left="1080"/>
        <w:rPr>
          <w:rFonts w:ascii="Arial" w:eastAsia="Times New Roman" w:hAnsi="Arial" w:cs="Arial"/>
          <w:color w:val="000000"/>
          <w:sz w:val="21"/>
          <w:szCs w:val="21"/>
        </w:rPr>
      </w:pPr>
    </w:p>
    <w:p w:rsidR="00A074DF" w:rsidRDefault="00A074DF" w:rsidP="00A074DF">
      <w:pPr>
        <w:pStyle w:val="ListParagraph"/>
        <w:numPr>
          <w:ilvl w:val="0"/>
          <w:numId w:val="25"/>
        </w:numPr>
        <w:spacing w:after="0" w:line="240" w:lineRule="auto"/>
        <w:rPr>
          <w:b/>
          <w:sz w:val="24"/>
          <w:szCs w:val="24"/>
          <w:u w:val="single"/>
        </w:rPr>
      </w:pPr>
      <w:r>
        <w:rPr>
          <w:b/>
          <w:sz w:val="24"/>
          <w:szCs w:val="24"/>
          <w:u w:val="single"/>
        </w:rPr>
        <w:t>2021 Goals and 2020 Accomplishments:</w:t>
      </w:r>
    </w:p>
    <w:p w:rsidR="00A074DF" w:rsidRDefault="00A074DF" w:rsidP="00A074DF">
      <w:pPr>
        <w:pStyle w:val="ListParagraph"/>
        <w:numPr>
          <w:ilvl w:val="0"/>
          <w:numId w:val="24"/>
        </w:numPr>
        <w:spacing w:after="0"/>
        <w:rPr>
          <w:sz w:val="24"/>
          <w:szCs w:val="24"/>
        </w:rPr>
      </w:pPr>
      <w:r>
        <w:rPr>
          <w:sz w:val="24"/>
          <w:szCs w:val="24"/>
        </w:rPr>
        <w:t>Reviewed 2020 goals below and agreed most of these were accomplished</w:t>
      </w:r>
    </w:p>
    <w:p w:rsidR="00A074DF" w:rsidRPr="00A074DF" w:rsidRDefault="00A074DF" w:rsidP="00A074DF">
      <w:pPr>
        <w:pStyle w:val="ListParagraph"/>
        <w:numPr>
          <w:ilvl w:val="0"/>
          <w:numId w:val="24"/>
        </w:numPr>
        <w:spacing w:after="0"/>
        <w:rPr>
          <w:sz w:val="24"/>
          <w:szCs w:val="24"/>
        </w:rPr>
      </w:pPr>
      <w:r>
        <w:rPr>
          <w:sz w:val="24"/>
          <w:szCs w:val="24"/>
        </w:rPr>
        <w:t xml:space="preserve">Most of these similar goals will be carrying over into 2021 in addition to the </w:t>
      </w:r>
      <w:r w:rsidRPr="00A074DF">
        <w:rPr>
          <w:i/>
          <w:sz w:val="24"/>
          <w:szCs w:val="24"/>
        </w:rPr>
        <w:t>transition and planning</w:t>
      </w:r>
      <w:r>
        <w:rPr>
          <w:sz w:val="24"/>
          <w:szCs w:val="24"/>
        </w:rPr>
        <w:t xml:space="preserve"> related to </w:t>
      </w:r>
      <w:proofErr w:type="spellStart"/>
      <w:r>
        <w:rPr>
          <w:sz w:val="24"/>
          <w:szCs w:val="24"/>
        </w:rPr>
        <w:t>LPGRRxxx</w:t>
      </w:r>
      <w:proofErr w:type="spellEnd"/>
      <w:r>
        <w:rPr>
          <w:sz w:val="24"/>
          <w:szCs w:val="24"/>
        </w:rPr>
        <w:t>, Add BUSLRG and BUSLRGDG Profile Types</w:t>
      </w:r>
    </w:p>
    <w:p w:rsidR="00A074DF" w:rsidRPr="00A074DF" w:rsidRDefault="00A074DF" w:rsidP="00A074DF">
      <w:pPr>
        <w:pStyle w:val="ListParagraph"/>
        <w:ind w:left="1170"/>
        <w:rPr>
          <w:noProof/>
          <w:u w:val="single"/>
        </w:rPr>
      </w:pPr>
    </w:p>
    <w:p w:rsidR="00A074DF" w:rsidRPr="00A074DF" w:rsidRDefault="00A074DF" w:rsidP="00A074DF">
      <w:pPr>
        <w:pStyle w:val="ListParagraph"/>
        <w:numPr>
          <w:ilvl w:val="0"/>
          <w:numId w:val="28"/>
        </w:numPr>
        <w:rPr>
          <w:noProof/>
          <w:u w:val="single"/>
        </w:rPr>
      </w:pPr>
      <w:r>
        <w:rPr>
          <w:noProof/>
        </w:rPr>
        <w:drawing>
          <wp:inline distT="0" distB="0" distL="0" distR="0" wp14:anchorId="3C64CBA9" wp14:editId="01E5F2FB">
            <wp:extent cx="4456943" cy="24828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5659" cy="2498847"/>
                    </a:xfrm>
                    <a:prstGeom prst="rect">
                      <a:avLst/>
                    </a:prstGeom>
                  </pic:spPr>
                </pic:pic>
              </a:graphicData>
            </a:graphic>
          </wp:inline>
        </w:drawing>
      </w:r>
    </w:p>
    <w:p w:rsidR="00A074DF" w:rsidRPr="004E15E6" w:rsidRDefault="00A074DF" w:rsidP="00F81429">
      <w:pPr>
        <w:pStyle w:val="ListParagraph"/>
        <w:numPr>
          <w:ilvl w:val="0"/>
          <w:numId w:val="25"/>
        </w:numPr>
        <w:rPr>
          <w:noProof/>
          <w:u w:val="single"/>
        </w:rPr>
      </w:pPr>
      <w:r w:rsidRPr="004E15E6">
        <w:rPr>
          <w:b/>
          <w:noProof/>
          <w:sz w:val="24"/>
          <w:szCs w:val="24"/>
          <w:u w:val="single"/>
        </w:rPr>
        <w:t>Next Meeting:</w:t>
      </w:r>
      <w:r w:rsidRPr="004E15E6">
        <w:rPr>
          <w:noProof/>
          <w:sz w:val="24"/>
          <w:szCs w:val="24"/>
        </w:rPr>
        <w:t xml:space="preserve"> Next meeting will be Feb 10</w:t>
      </w:r>
      <w:r w:rsidRPr="004E15E6">
        <w:rPr>
          <w:noProof/>
          <w:sz w:val="24"/>
          <w:szCs w:val="24"/>
          <w:vertAlign w:val="superscript"/>
        </w:rPr>
        <w:t>th</w:t>
      </w:r>
      <w:r w:rsidRPr="004E15E6">
        <w:rPr>
          <w:noProof/>
          <w:sz w:val="24"/>
          <w:szCs w:val="24"/>
        </w:rPr>
        <w:t xml:space="preserve"> at 9:30am via Webex.</w:t>
      </w:r>
    </w:p>
    <w:sectPr w:rsidR="00A074DF" w:rsidRPr="004E15E6" w:rsidSect="00123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474F"/>
    <w:multiLevelType w:val="hybridMultilevel"/>
    <w:tmpl w:val="F0546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7A8"/>
    <w:multiLevelType w:val="hybridMultilevel"/>
    <w:tmpl w:val="C5AE368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43FA9"/>
    <w:multiLevelType w:val="hybridMultilevel"/>
    <w:tmpl w:val="CB620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F58BA"/>
    <w:multiLevelType w:val="multilevel"/>
    <w:tmpl w:val="2A4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BE2"/>
    <w:multiLevelType w:val="hybridMultilevel"/>
    <w:tmpl w:val="E586E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134A"/>
    <w:multiLevelType w:val="hybridMultilevel"/>
    <w:tmpl w:val="559EE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A57FE"/>
    <w:multiLevelType w:val="hybridMultilevel"/>
    <w:tmpl w:val="D3F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92A59"/>
    <w:multiLevelType w:val="hybridMultilevel"/>
    <w:tmpl w:val="DD546C8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22E4B"/>
    <w:multiLevelType w:val="hybridMultilevel"/>
    <w:tmpl w:val="59EE8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B72108"/>
    <w:multiLevelType w:val="hybridMultilevel"/>
    <w:tmpl w:val="20BEA0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6D3F30"/>
    <w:multiLevelType w:val="multilevel"/>
    <w:tmpl w:val="9A1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921A1"/>
    <w:multiLevelType w:val="hybridMultilevel"/>
    <w:tmpl w:val="9E269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543AB8"/>
    <w:multiLevelType w:val="hybridMultilevel"/>
    <w:tmpl w:val="D79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A2084"/>
    <w:multiLevelType w:val="hybridMultilevel"/>
    <w:tmpl w:val="54CECE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3E05FFE"/>
    <w:multiLevelType w:val="hybridMultilevel"/>
    <w:tmpl w:val="DCE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578A7"/>
    <w:multiLevelType w:val="hybridMultilevel"/>
    <w:tmpl w:val="54A80B5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021FD"/>
    <w:multiLevelType w:val="hybridMultilevel"/>
    <w:tmpl w:val="FC88AA9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739F7"/>
    <w:multiLevelType w:val="hybridMultilevel"/>
    <w:tmpl w:val="14DEE5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9725616"/>
    <w:multiLevelType w:val="hybridMultilevel"/>
    <w:tmpl w:val="B8124128"/>
    <w:lvl w:ilvl="0" w:tplc="043E3F86">
      <w:start w:val="1"/>
      <w:numFmt w:val="bullet"/>
      <w:lvlText w:val="–"/>
      <w:lvlJc w:val="left"/>
      <w:pPr>
        <w:tabs>
          <w:tab w:val="num" w:pos="720"/>
        </w:tabs>
        <w:ind w:left="720" w:hanging="360"/>
      </w:pPr>
      <w:rPr>
        <w:rFonts w:ascii="Times New Roman" w:hAnsi="Times New Roman" w:hint="default"/>
      </w:rPr>
    </w:lvl>
    <w:lvl w:ilvl="1" w:tplc="88524E3A">
      <w:start w:val="1"/>
      <w:numFmt w:val="bullet"/>
      <w:lvlText w:val="–"/>
      <w:lvlJc w:val="left"/>
      <w:pPr>
        <w:tabs>
          <w:tab w:val="num" w:pos="1440"/>
        </w:tabs>
        <w:ind w:left="1440" w:hanging="360"/>
      </w:pPr>
      <w:rPr>
        <w:rFonts w:ascii="Times New Roman" w:hAnsi="Times New Roman" w:hint="default"/>
      </w:rPr>
    </w:lvl>
    <w:lvl w:ilvl="2" w:tplc="7DAEE044" w:tentative="1">
      <w:start w:val="1"/>
      <w:numFmt w:val="bullet"/>
      <w:lvlText w:val="–"/>
      <w:lvlJc w:val="left"/>
      <w:pPr>
        <w:tabs>
          <w:tab w:val="num" w:pos="2160"/>
        </w:tabs>
        <w:ind w:left="2160" w:hanging="360"/>
      </w:pPr>
      <w:rPr>
        <w:rFonts w:ascii="Times New Roman" w:hAnsi="Times New Roman" w:hint="default"/>
      </w:rPr>
    </w:lvl>
    <w:lvl w:ilvl="3" w:tplc="0CAC9118" w:tentative="1">
      <w:start w:val="1"/>
      <w:numFmt w:val="bullet"/>
      <w:lvlText w:val="–"/>
      <w:lvlJc w:val="left"/>
      <w:pPr>
        <w:tabs>
          <w:tab w:val="num" w:pos="2880"/>
        </w:tabs>
        <w:ind w:left="2880" w:hanging="360"/>
      </w:pPr>
      <w:rPr>
        <w:rFonts w:ascii="Times New Roman" w:hAnsi="Times New Roman" w:hint="default"/>
      </w:rPr>
    </w:lvl>
    <w:lvl w:ilvl="4" w:tplc="E6889F58" w:tentative="1">
      <w:start w:val="1"/>
      <w:numFmt w:val="bullet"/>
      <w:lvlText w:val="–"/>
      <w:lvlJc w:val="left"/>
      <w:pPr>
        <w:tabs>
          <w:tab w:val="num" w:pos="3600"/>
        </w:tabs>
        <w:ind w:left="3600" w:hanging="360"/>
      </w:pPr>
      <w:rPr>
        <w:rFonts w:ascii="Times New Roman" w:hAnsi="Times New Roman" w:hint="default"/>
      </w:rPr>
    </w:lvl>
    <w:lvl w:ilvl="5" w:tplc="592C66E8" w:tentative="1">
      <w:start w:val="1"/>
      <w:numFmt w:val="bullet"/>
      <w:lvlText w:val="–"/>
      <w:lvlJc w:val="left"/>
      <w:pPr>
        <w:tabs>
          <w:tab w:val="num" w:pos="4320"/>
        </w:tabs>
        <w:ind w:left="4320" w:hanging="360"/>
      </w:pPr>
      <w:rPr>
        <w:rFonts w:ascii="Times New Roman" w:hAnsi="Times New Roman" w:hint="default"/>
      </w:rPr>
    </w:lvl>
    <w:lvl w:ilvl="6" w:tplc="4C32A46A" w:tentative="1">
      <w:start w:val="1"/>
      <w:numFmt w:val="bullet"/>
      <w:lvlText w:val="–"/>
      <w:lvlJc w:val="left"/>
      <w:pPr>
        <w:tabs>
          <w:tab w:val="num" w:pos="5040"/>
        </w:tabs>
        <w:ind w:left="5040" w:hanging="360"/>
      </w:pPr>
      <w:rPr>
        <w:rFonts w:ascii="Times New Roman" w:hAnsi="Times New Roman" w:hint="default"/>
      </w:rPr>
    </w:lvl>
    <w:lvl w:ilvl="7" w:tplc="25DCB72A" w:tentative="1">
      <w:start w:val="1"/>
      <w:numFmt w:val="bullet"/>
      <w:lvlText w:val="–"/>
      <w:lvlJc w:val="left"/>
      <w:pPr>
        <w:tabs>
          <w:tab w:val="num" w:pos="5760"/>
        </w:tabs>
        <w:ind w:left="5760" w:hanging="360"/>
      </w:pPr>
      <w:rPr>
        <w:rFonts w:ascii="Times New Roman" w:hAnsi="Times New Roman" w:hint="default"/>
      </w:rPr>
    </w:lvl>
    <w:lvl w:ilvl="8" w:tplc="3F4A625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2"/>
  </w:num>
  <w:num w:numId="3">
    <w:abstractNumId w:val="14"/>
  </w:num>
  <w:num w:numId="4">
    <w:abstractNumId w:val="22"/>
  </w:num>
  <w:num w:numId="5">
    <w:abstractNumId w:val="25"/>
  </w:num>
  <w:num w:numId="6">
    <w:abstractNumId w:val="6"/>
  </w:num>
  <w:num w:numId="7">
    <w:abstractNumId w:val="27"/>
  </w:num>
  <w:num w:numId="8">
    <w:abstractNumId w:val="18"/>
  </w:num>
  <w:num w:numId="9">
    <w:abstractNumId w:val="10"/>
  </w:num>
  <w:num w:numId="10">
    <w:abstractNumId w:val="17"/>
  </w:num>
  <w:num w:numId="11">
    <w:abstractNumId w:val="8"/>
  </w:num>
  <w:num w:numId="12">
    <w:abstractNumId w:val="16"/>
  </w:num>
  <w:num w:numId="13">
    <w:abstractNumId w:val="13"/>
  </w:num>
  <w:num w:numId="14">
    <w:abstractNumId w:val="21"/>
  </w:num>
  <w:num w:numId="15">
    <w:abstractNumId w:val="7"/>
  </w:num>
  <w:num w:numId="16">
    <w:abstractNumId w:val="3"/>
  </w:num>
  <w:num w:numId="17">
    <w:abstractNumId w:val="23"/>
  </w:num>
  <w:num w:numId="18">
    <w:abstractNumId w:val="15"/>
  </w:num>
  <w:num w:numId="19">
    <w:abstractNumId w:val="0"/>
  </w:num>
  <w:num w:numId="20">
    <w:abstractNumId w:val="11"/>
  </w:num>
  <w:num w:numId="21">
    <w:abstractNumId w:val="9"/>
  </w:num>
  <w:num w:numId="22">
    <w:abstractNumId w:val="24"/>
  </w:num>
  <w:num w:numId="23">
    <w:abstractNumId w:val="20"/>
  </w:num>
  <w:num w:numId="24">
    <w:abstractNumId w:val="4"/>
  </w:num>
  <w:num w:numId="25">
    <w:abstractNumId w:val="26"/>
  </w:num>
  <w:num w:numId="26">
    <w:abstractNumId w:val="1"/>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44222"/>
    <w:rsid w:val="000A696E"/>
    <w:rsid w:val="00115AF1"/>
    <w:rsid w:val="00130133"/>
    <w:rsid w:val="001435F1"/>
    <w:rsid w:val="001534DB"/>
    <w:rsid w:val="00156BBC"/>
    <w:rsid w:val="001C4981"/>
    <w:rsid w:val="001D7649"/>
    <w:rsid w:val="001F650B"/>
    <w:rsid w:val="0020079F"/>
    <w:rsid w:val="002012DB"/>
    <w:rsid w:val="0020423B"/>
    <w:rsid w:val="00225FCD"/>
    <w:rsid w:val="002313F7"/>
    <w:rsid w:val="0025643E"/>
    <w:rsid w:val="0027109C"/>
    <w:rsid w:val="002A04E7"/>
    <w:rsid w:val="002D2F39"/>
    <w:rsid w:val="002D453E"/>
    <w:rsid w:val="00300295"/>
    <w:rsid w:val="003171E2"/>
    <w:rsid w:val="00325638"/>
    <w:rsid w:val="00336C01"/>
    <w:rsid w:val="0034356D"/>
    <w:rsid w:val="003636F9"/>
    <w:rsid w:val="003643B4"/>
    <w:rsid w:val="00391B0A"/>
    <w:rsid w:val="00397A08"/>
    <w:rsid w:val="003A517C"/>
    <w:rsid w:val="003B7BE2"/>
    <w:rsid w:val="003F25AD"/>
    <w:rsid w:val="00415CAA"/>
    <w:rsid w:val="00422D07"/>
    <w:rsid w:val="00480F22"/>
    <w:rsid w:val="004938A8"/>
    <w:rsid w:val="00494D44"/>
    <w:rsid w:val="004B75CA"/>
    <w:rsid w:val="004C4622"/>
    <w:rsid w:val="004E15E6"/>
    <w:rsid w:val="00527A5F"/>
    <w:rsid w:val="005B362C"/>
    <w:rsid w:val="005B7FFB"/>
    <w:rsid w:val="005C0942"/>
    <w:rsid w:val="005C6145"/>
    <w:rsid w:val="005E6E26"/>
    <w:rsid w:val="005F0D0F"/>
    <w:rsid w:val="005F65D0"/>
    <w:rsid w:val="00602C15"/>
    <w:rsid w:val="00612EDD"/>
    <w:rsid w:val="006564AD"/>
    <w:rsid w:val="00684EBB"/>
    <w:rsid w:val="00686961"/>
    <w:rsid w:val="006954D3"/>
    <w:rsid w:val="006D6D0D"/>
    <w:rsid w:val="006F6C24"/>
    <w:rsid w:val="007054E5"/>
    <w:rsid w:val="00730027"/>
    <w:rsid w:val="007B1AA9"/>
    <w:rsid w:val="007F26B7"/>
    <w:rsid w:val="00811E20"/>
    <w:rsid w:val="0087181C"/>
    <w:rsid w:val="008A7614"/>
    <w:rsid w:val="008B2916"/>
    <w:rsid w:val="008E0501"/>
    <w:rsid w:val="009042C9"/>
    <w:rsid w:val="00921756"/>
    <w:rsid w:val="0093184C"/>
    <w:rsid w:val="00934EDD"/>
    <w:rsid w:val="00962CF2"/>
    <w:rsid w:val="009A1FAB"/>
    <w:rsid w:val="009B5895"/>
    <w:rsid w:val="009D5394"/>
    <w:rsid w:val="00A074DF"/>
    <w:rsid w:val="00A112BB"/>
    <w:rsid w:val="00A23E45"/>
    <w:rsid w:val="00A40DDB"/>
    <w:rsid w:val="00A913D2"/>
    <w:rsid w:val="00AC639F"/>
    <w:rsid w:val="00B07436"/>
    <w:rsid w:val="00B138FE"/>
    <w:rsid w:val="00B13962"/>
    <w:rsid w:val="00B35DD7"/>
    <w:rsid w:val="00B603D1"/>
    <w:rsid w:val="00B801D2"/>
    <w:rsid w:val="00B83A3F"/>
    <w:rsid w:val="00B84F6C"/>
    <w:rsid w:val="00B8792A"/>
    <w:rsid w:val="00BA1574"/>
    <w:rsid w:val="00BB11E5"/>
    <w:rsid w:val="00BE1D5A"/>
    <w:rsid w:val="00BF1E35"/>
    <w:rsid w:val="00C041A0"/>
    <w:rsid w:val="00C060EF"/>
    <w:rsid w:val="00C44B4F"/>
    <w:rsid w:val="00C472A5"/>
    <w:rsid w:val="00C4734F"/>
    <w:rsid w:val="00C544AD"/>
    <w:rsid w:val="00CA7714"/>
    <w:rsid w:val="00D127B1"/>
    <w:rsid w:val="00D22A08"/>
    <w:rsid w:val="00D42B2C"/>
    <w:rsid w:val="00D449BC"/>
    <w:rsid w:val="00D5133A"/>
    <w:rsid w:val="00D62BBC"/>
    <w:rsid w:val="00D9460F"/>
    <w:rsid w:val="00DA1966"/>
    <w:rsid w:val="00DC00AD"/>
    <w:rsid w:val="00DD77CA"/>
    <w:rsid w:val="00DE492A"/>
    <w:rsid w:val="00E05A3E"/>
    <w:rsid w:val="00E14B8D"/>
    <w:rsid w:val="00E422B4"/>
    <w:rsid w:val="00E45D02"/>
    <w:rsid w:val="00E471B9"/>
    <w:rsid w:val="00E4794E"/>
    <w:rsid w:val="00E74B3A"/>
    <w:rsid w:val="00E81584"/>
    <w:rsid w:val="00ED4865"/>
    <w:rsid w:val="00EE1261"/>
    <w:rsid w:val="00EE6B82"/>
    <w:rsid w:val="00EF0405"/>
    <w:rsid w:val="00F06E43"/>
    <w:rsid w:val="00F53BE3"/>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D549-3427-4D60-BD6B-B76240F9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3</cp:revision>
  <dcterms:created xsi:type="dcterms:W3CDTF">2021-02-09T15:25:00Z</dcterms:created>
  <dcterms:modified xsi:type="dcterms:W3CDTF">2021-02-09T15:26:00Z</dcterms:modified>
</cp:coreProperties>
</file>