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1D600" w14:textId="77777777" w:rsidR="00A14FEB" w:rsidRDefault="00A14FEB" w:rsidP="00A14FEB">
      <w:pPr>
        <w:pStyle w:val="Footnotes"/>
        <w:rPr>
          <w:noProof/>
        </w:rPr>
      </w:pPr>
    </w:p>
    <w:p w14:paraId="780B9E94" w14:textId="77777777" w:rsidR="00276BDF" w:rsidRDefault="00276BDF" w:rsidP="00A14FEB">
      <w:pPr>
        <w:pStyle w:val="Footnotes"/>
        <w:rPr>
          <w:noProof/>
        </w:rPr>
      </w:pPr>
    </w:p>
    <w:p w14:paraId="70CF9923" w14:textId="6EB8223C" w:rsidR="00276BDF" w:rsidRDefault="00C06F00" w:rsidP="00C06F00">
      <w:pPr>
        <w:pStyle w:val="Footnotes"/>
        <w:jc w:val="right"/>
        <w:rPr>
          <w:noProof/>
        </w:rPr>
      </w:pPr>
      <w:r w:rsidRPr="00863DE2">
        <w:rPr>
          <w:noProof/>
        </w:rPr>
        <w:drawing>
          <wp:inline distT="0" distB="0" distL="0" distR="0" wp14:anchorId="29065454" wp14:editId="72DDF028">
            <wp:extent cx="2231430" cy="899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478" cy="911886"/>
                    </a:xfrm>
                    <a:prstGeom prst="rect">
                      <a:avLst/>
                    </a:prstGeom>
                    <a:noFill/>
                  </pic:spPr>
                </pic:pic>
              </a:graphicData>
            </a:graphic>
          </wp:inline>
        </w:drawing>
      </w:r>
    </w:p>
    <w:p w14:paraId="6732B9D7" w14:textId="1AB23744" w:rsidR="00A14FEB" w:rsidRDefault="00A14FEB" w:rsidP="00A14FEB">
      <w:pPr>
        <w:pStyle w:val="Footnotes"/>
      </w:pPr>
    </w:p>
    <w:p w14:paraId="20105D20" w14:textId="77777777" w:rsidR="00A14FEB" w:rsidRDefault="00A14FEB" w:rsidP="00A14FEB">
      <w:pPr>
        <w:pStyle w:val="Footnotes"/>
      </w:pPr>
    </w:p>
    <w:p w14:paraId="2ED15D4F" w14:textId="77777777" w:rsidR="00A14FEB" w:rsidRDefault="00A14FEB" w:rsidP="00A14FEB">
      <w:pPr>
        <w:pStyle w:val="Footnotes"/>
      </w:pPr>
    </w:p>
    <w:p w14:paraId="30F55A85" w14:textId="77777777" w:rsidR="00A14FEB" w:rsidRDefault="00A14FEB" w:rsidP="00A14FEB">
      <w:pPr>
        <w:pStyle w:val="Footnotes"/>
      </w:pPr>
    </w:p>
    <w:p w14:paraId="4F9E6A58" w14:textId="77777777" w:rsidR="00A14FEB" w:rsidRDefault="00A14FEB" w:rsidP="00A14FEB"/>
    <w:p w14:paraId="0B629D7F" w14:textId="77777777" w:rsidR="00A14FEB" w:rsidRDefault="00A14FEB" w:rsidP="00A14FEB"/>
    <w:p w14:paraId="6140B759" w14:textId="77777777" w:rsidR="00A14FEB" w:rsidRDefault="00A14FEB" w:rsidP="00A14FEB"/>
    <w:p w14:paraId="0AC6C39A" w14:textId="77777777" w:rsidR="00A14FEB" w:rsidRDefault="00A14FEB" w:rsidP="00A14FEB"/>
    <w:p w14:paraId="064A9E80" w14:textId="77777777" w:rsidR="00A14FEB" w:rsidRDefault="00A14FEB" w:rsidP="00A14FEB"/>
    <w:p w14:paraId="77AF46C6" w14:textId="77777777" w:rsidR="00A14FEB" w:rsidRDefault="00A14FEB" w:rsidP="00A14FEB"/>
    <w:p w14:paraId="1A3B1590" w14:textId="77777777" w:rsidR="00A14FEB" w:rsidRDefault="00A14FEB" w:rsidP="00A14FEB"/>
    <w:p w14:paraId="67B7040F" w14:textId="77777777" w:rsidR="00A14FEB" w:rsidRDefault="00A14FEB" w:rsidP="00A14FEB"/>
    <w:p w14:paraId="7323AFFA" w14:textId="77777777" w:rsidR="00A14FEB" w:rsidRDefault="00A14FEB" w:rsidP="00A14FEB"/>
    <w:p w14:paraId="3B2305AD" w14:textId="77777777" w:rsidR="007E2393" w:rsidRPr="007E2393" w:rsidRDefault="00A14FEB" w:rsidP="007E2393">
      <w:pPr>
        <w:pStyle w:val="TitleLine1"/>
      </w:pPr>
      <w:r>
        <w:tab/>
      </w:r>
      <w:r>
        <w:tab/>
      </w:r>
      <w:r>
        <w:tab/>
      </w:r>
      <w:r>
        <w:tab/>
      </w:r>
      <w:r>
        <w:tab/>
      </w:r>
      <w:r>
        <w:tab/>
      </w:r>
      <w:r>
        <w:tab/>
      </w:r>
      <w:r>
        <w:tab/>
      </w:r>
      <w:r>
        <w:tab/>
      </w:r>
      <w:r>
        <w:tab/>
      </w:r>
      <w:r w:rsidR="00090BCB">
        <w:t xml:space="preserve">Subsynchronous Resonance (SSR) </w:t>
      </w:r>
      <w:r w:rsidR="007E2393">
        <w:br/>
      </w:r>
      <w:r w:rsidR="00BE7F5F">
        <w:t>Study Scope Guideline</w:t>
      </w:r>
    </w:p>
    <w:p w14:paraId="499DA16D" w14:textId="73764EFB" w:rsidR="00F94CCF" w:rsidRDefault="007F229B" w:rsidP="00BE7F5F">
      <w:pPr>
        <w:pStyle w:val="DateLine"/>
      </w:pPr>
      <w:r>
        <w:t>October</w:t>
      </w:r>
      <w:r w:rsidR="00CC2F1F">
        <w:t xml:space="preserve"> 2020</w:t>
      </w:r>
    </w:p>
    <w:p w14:paraId="3F46BBCC" w14:textId="77777777" w:rsidR="00BE7F5F" w:rsidRDefault="00BE7F5F" w:rsidP="00BE7F5F"/>
    <w:p w14:paraId="179F5BDA" w14:textId="77777777" w:rsidR="00BE7F5F" w:rsidRDefault="00BE7F5F">
      <w:r>
        <w:br w:type="page"/>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120"/>
        <w:gridCol w:w="4410"/>
        <w:gridCol w:w="2184"/>
      </w:tblGrid>
      <w:tr w:rsidR="00BE7F5F" w:rsidRPr="00FA1221" w14:paraId="2BA2BED9" w14:textId="77777777" w:rsidTr="00B17EAF">
        <w:tc>
          <w:tcPr>
            <w:tcW w:w="2030" w:type="dxa"/>
            <w:tcBorders>
              <w:bottom w:val="single" w:sz="4" w:space="0" w:color="auto"/>
            </w:tcBorders>
            <w:shd w:val="clear" w:color="auto" w:fill="E6E6E6"/>
            <w:vAlign w:val="center"/>
          </w:tcPr>
          <w:p w14:paraId="57936C65" w14:textId="77777777" w:rsidR="00BE7F5F" w:rsidRPr="00FA1221" w:rsidRDefault="00BE7F5F" w:rsidP="00B17EAF">
            <w:pPr>
              <w:pStyle w:val="tablehead"/>
            </w:pPr>
            <w:r w:rsidRPr="00FA1221">
              <w:lastRenderedPageBreak/>
              <w:t>Date</w:t>
            </w:r>
          </w:p>
        </w:tc>
        <w:tc>
          <w:tcPr>
            <w:tcW w:w="1120" w:type="dxa"/>
            <w:tcBorders>
              <w:bottom w:val="single" w:sz="4" w:space="0" w:color="auto"/>
            </w:tcBorders>
            <w:shd w:val="clear" w:color="auto" w:fill="E6E6E6"/>
            <w:vAlign w:val="center"/>
          </w:tcPr>
          <w:p w14:paraId="4DB2535B" w14:textId="77777777" w:rsidR="00BE7F5F" w:rsidRPr="00FA1221" w:rsidRDefault="00BE7F5F" w:rsidP="00B17EAF">
            <w:pPr>
              <w:pStyle w:val="tablehead"/>
            </w:pPr>
            <w:r w:rsidRPr="00FA1221">
              <w:t>Version</w:t>
            </w:r>
          </w:p>
        </w:tc>
        <w:tc>
          <w:tcPr>
            <w:tcW w:w="4410" w:type="dxa"/>
            <w:tcBorders>
              <w:bottom w:val="single" w:sz="4" w:space="0" w:color="auto"/>
            </w:tcBorders>
            <w:shd w:val="clear" w:color="auto" w:fill="E6E6E6"/>
            <w:vAlign w:val="center"/>
          </w:tcPr>
          <w:p w14:paraId="4D349CC7" w14:textId="77777777" w:rsidR="00BE7F5F" w:rsidRPr="00FA1221" w:rsidRDefault="00BE7F5F" w:rsidP="00B17EAF">
            <w:pPr>
              <w:pStyle w:val="tablehead"/>
            </w:pPr>
            <w:r w:rsidRPr="00FA1221">
              <w:t>Description</w:t>
            </w:r>
          </w:p>
        </w:tc>
        <w:tc>
          <w:tcPr>
            <w:tcW w:w="2184" w:type="dxa"/>
            <w:tcBorders>
              <w:bottom w:val="single" w:sz="4" w:space="0" w:color="auto"/>
            </w:tcBorders>
            <w:shd w:val="clear" w:color="auto" w:fill="E6E6E6"/>
            <w:vAlign w:val="center"/>
          </w:tcPr>
          <w:p w14:paraId="766F6C82" w14:textId="77777777" w:rsidR="00BE7F5F" w:rsidRPr="00FA1221" w:rsidRDefault="00BE7F5F" w:rsidP="00B17EAF">
            <w:pPr>
              <w:pStyle w:val="tablehead"/>
            </w:pPr>
            <w:r w:rsidRPr="00FA1221">
              <w:t>Author(s)</w:t>
            </w:r>
          </w:p>
        </w:tc>
      </w:tr>
      <w:tr w:rsidR="00BE7F5F" w14:paraId="69461C50" w14:textId="77777777" w:rsidTr="00511DF0">
        <w:tc>
          <w:tcPr>
            <w:tcW w:w="2030" w:type="dxa"/>
            <w:shd w:val="clear" w:color="auto" w:fill="auto"/>
            <w:vAlign w:val="center"/>
          </w:tcPr>
          <w:p w14:paraId="1D805BFB" w14:textId="77777777" w:rsidR="00BE7F5F" w:rsidRDefault="00BE7F5F" w:rsidP="00B17EAF">
            <w:pPr>
              <w:pStyle w:val="tablehead"/>
              <w:rPr>
                <w:rFonts w:cs="Arial"/>
                <w:b w:val="0"/>
                <w:snapToGrid w:val="0"/>
                <w:szCs w:val="18"/>
              </w:rPr>
            </w:pPr>
            <w:r>
              <w:rPr>
                <w:rFonts w:cs="Arial"/>
                <w:b w:val="0"/>
                <w:snapToGrid w:val="0"/>
                <w:szCs w:val="18"/>
              </w:rPr>
              <w:t>May 30, 2015</w:t>
            </w:r>
          </w:p>
        </w:tc>
        <w:tc>
          <w:tcPr>
            <w:tcW w:w="1120" w:type="dxa"/>
            <w:shd w:val="clear" w:color="auto" w:fill="auto"/>
            <w:vAlign w:val="center"/>
          </w:tcPr>
          <w:p w14:paraId="60557B28" w14:textId="77777777" w:rsidR="00BE7F5F" w:rsidRDefault="00BE7F5F" w:rsidP="00B17EAF">
            <w:pPr>
              <w:pStyle w:val="tablehead"/>
              <w:rPr>
                <w:rFonts w:cs="Arial"/>
                <w:b w:val="0"/>
                <w:snapToGrid w:val="0"/>
                <w:szCs w:val="18"/>
              </w:rPr>
            </w:pPr>
            <w:r>
              <w:rPr>
                <w:rFonts w:cs="Arial"/>
                <w:b w:val="0"/>
                <w:snapToGrid w:val="0"/>
                <w:szCs w:val="18"/>
              </w:rPr>
              <w:t>1.0</w:t>
            </w:r>
          </w:p>
        </w:tc>
        <w:tc>
          <w:tcPr>
            <w:tcW w:w="4410" w:type="dxa"/>
            <w:shd w:val="clear" w:color="auto" w:fill="auto"/>
            <w:vAlign w:val="center"/>
          </w:tcPr>
          <w:p w14:paraId="4A62989A" w14:textId="77777777" w:rsidR="00BE7F5F" w:rsidRDefault="00BE7F5F" w:rsidP="00B17EAF">
            <w:pPr>
              <w:pStyle w:val="tablehead"/>
              <w:rPr>
                <w:rFonts w:cs="Arial"/>
                <w:b w:val="0"/>
                <w:snapToGrid w:val="0"/>
                <w:szCs w:val="18"/>
              </w:rPr>
            </w:pPr>
            <w:r>
              <w:rPr>
                <w:rFonts w:cs="Arial"/>
                <w:b w:val="0"/>
                <w:snapToGrid w:val="0"/>
                <w:szCs w:val="18"/>
              </w:rPr>
              <w:t>Original draft</w:t>
            </w:r>
          </w:p>
        </w:tc>
        <w:tc>
          <w:tcPr>
            <w:tcW w:w="2184" w:type="dxa"/>
            <w:shd w:val="clear" w:color="auto" w:fill="auto"/>
            <w:vAlign w:val="center"/>
          </w:tcPr>
          <w:p w14:paraId="43853B70" w14:textId="77777777" w:rsidR="00BE7F5F" w:rsidRDefault="00BE7F5F" w:rsidP="00B17EAF">
            <w:pPr>
              <w:pStyle w:val="tablehead"/>
              <w:rPr>
                <w:rFonts w:cs="Arial"/>
                <w:b w:val="0"/>
                <w:snapToGrid w:val="0"/>
                <w:szCs w:val="18"/>
              </w:rPr>
            </w:pPr>
            <w:r>
              <w:rPr>
                <w:rFonts w:cs="Arial"/>
                <w:b w:val="0"/>
                <w:snapToGrid w:val="0"/>
                <w:szCs w:val="18"/>
              </w:rPr>
              <w:t>ERCOT System Planning</w:t>
            </w:r>
          </w:p>
        </w:tc>
      </w:tr>
      <w:tr w:rsidR="00CB0230" w14:paraId="030DB119" w14:textId="77777777" w:rsidTr="005333D6">
        <w:tc>
          <w:tcPr>
            <w:tcW w:w="2030" w:type="dxa"/>
            <w:shd w:val="clear" w:color="auto" w:fill="auto"/>
            <w:vAlign w:val="center"/>
          </w:tcPr>
          <w:p w14:paraId="4CB784AC" w14:textId="70656A59" w:rsidR="00CB0230" w:rsidRDefault="006F3B4F" w:rsidP="006F3B4F">
            <w:pPr>
              <w:pStyle w:val="tablehead"/>
              <w:rPr>
                <w:rFonts w:cs="Arial"/>
                <w:b w:val="0"/>
                <w:snapToGrid w:val="0"/>
                <w:szCs w:val="18"/>
              </w:rPr>
            </w:pPr>
            <w:r>
              <w:rPr>
                <w:rFonts w:cs="Arial"/>
                <w:b w:val="0"/>
                <w:snapToGrid w:val="0"/>
                <w:szCs w:val="18"/>
              </w:rPr>
              <w:t>November 30</w:t>
            </w:r>
            <w:r w:rsidR="0072727E">
              <w:rPr>
                <w:rFonts w:cs="Arial"/>
                <w:b w:val="0"/>
                <w:snapToGrid w:val="0"/>
                <w:szCs w:val="18"/>
              </w:rPr>
              <w:t>,</w:t>
            </w:r>
            <w:r w:rsidR="00CB0230">
              <w:rPr>
                <w:rFonts w:cs="Arial"/>
                <w:b w:val="0"/>
                <w:snapToGrid w:val="0"/>
                <w:szCs w:val="18"/>
              </w:rPr>
              <w:t xml:space="preserve"> 2015</w:t>
            </w:r>
          </w:p>
        </w:tc>
        <w:tc>
          <w:tcPr>
            <w:tcW w:w="1120" w:type="dxa"/>
            <w:shd w:val="clear" w:color="auto" w:fill="auto"/>
            <w:vAlign w:val="center"/>
          </w:tcPr>
          <w:p w14:paraId="37698B68" w14:textId="40521DD8" w:rsidR="00CB0230" w:rsidRDefault="006F121F" w:rsidP="00B17EAF">
            <w:pPr>
              <w:pStyle w:val="tablehead"/>
              <w:rPr>
                <w:rFonts w:cs="Arial"/>
                <w:b w:val="0"/>
                <w:snapToGrid w:val="0"/>
                <w:szCs w:val="18"/>
              </w:rPr>
            </w:pPr>
            <w:r>
              <w:rPr>
                <w:rFonts w:cs="Arial"/>
                <w:b w:val="0"/>
                <w:snapToGrid w:val="0"/>
                <w:szCs w:val="18"/>
              </w:rPr>
              <w:t>2.0</w:t>
            </w:r>
          </w:p>
        </w:tc>
        <w:tc>
          <w:tcPr>
            <w:tcW w:w="4410" w:type="dxa"/>
            <w:shd w:val="clear" w:color="auto" w:fill="auto"/>
            <w:vAlign w:val="center"/>
          </w:tcPr>
          <w:p w14:paraId="6715F536" w14:textId="4E0667FB" w:rsidR="00CB0230" w:rsidRDefault="006F3B4F" w:rsidP="00426FF7">
            <w:pPr>
              <w:pStyle w:val="tablehead"/>
              <w:rPr>
                <w:rFonts w:cs="Arial"/>
                <w:b w:val="0"/>
                <w:snapToGrid w:val="0"/>
                <w:szCs w:val="18"/>
              </w:rPr>
            </w:pPr>
            <w:r>
              <w:rPr>
                <w:rFonts w:cs="Arial"/>
                <w:b w:val="0"/>
                <w:snapToGrid w:val="0"/>
                <w:szCs w:val="18"/>
              </w:rPr>
              <w:t>Revision based on received stakeholders’ comments</w:t>
            </w:r>
          </w:p>
        </w:tc>
        <w:tc>
          <w:tcPr>
            <w:tcW w:w="2184" w:type="dxa"/>
            <w:shd w:val="clear" w:color="auto" w:fill="auto"/>
            <w:vAlign w:val="center"/>
          </w:tcPr>
          <w:p w14:paraId="506D100D" w14:textId="77777777" w:rsidR="00CB0230" w:rsidRDefault="00CB0230" w:rsidP="00B17EAF">
            <w:pPr>
              <w:pStyle w:val="tablehead"/>
              <w:rPr>
                <w:rFonts w:cs="Arial"/>
                <w:b w:val="0"/>
                <w:snapToGrid w:val="0"/>
                <w:szCs w:val="18"/>
              </w:rPr>
            </w:pPr>
            <w:r>
              <w:rPr>
                <w:rFonts w:cs="Arial"/>
                <w:b w:val="0"/>
                <w:snapToGrid w:val="0"/>
                <w:szCs w:val="18"/>
              </w:rPr>
              <w:t>ERCOT System Planning</w:t>
            </w:r>
          </w:p>
        </w:tc>
      </w:tr>
      <w:tr w:rsidR="00662B7D" w14:paraId="22CB301C" w14:textId="77777777" w:rsidTr="00942FD4">
        <w:tc>
          <w:tcPr>
            <w:tcW w:w="2030" w:type="dxa"/>
            <w:shd w:val="clear" w:color="auto" w:fill="auto"/>
            <w:vAlign w:val="center"/>
          </w:tcPr>
          <w:p w14:paraId="6224D617" w14:textId="49185F88" w:rsidR="00662B7D" w:rsidRDefault="00274AB8" w:rsidP="00274AB8">
            <w:pPr>
              <w:pStyle w:val="tablehead"/>
              <w:rPr>
                <w:rFonts w:cs="Arial"/>
                <w:b w:val="0"/>
                <w:snapToGrid w:val="0"/>
                <w:szCs w:val="18"/>
              </w:rPr>
            </w:pPr>
            <w:r>
              <w:rPr>
                <w:rFonts w:cs="Arial"/>
                <w:b w:val="0"/>
                <w:snapToGrid w:val="0"/>
                <w:szCs w:val="18"/>
              </w:rPr>
              <w:t>May</w:t>
            </w:r>
            <w:r w:rsidR="00662B7D">
              <w:rPr>
                <w:rFonts w:cs="Arial"/>
                <w:b w:val="0"/>
                <w:snapToGrid w:val="0"/>
                <w:szCs w:val="18"/>
              </w:rPr>
              <w:t xml:space="preserve"> </w:t>
            </w:r>
            <w:r>
              <w:rPr>
                <w:rFonts w:cs="Arial"/>
                <w:b w:val="0"/>
                <w:snapToGrid w:val="0"/>
                <w:szCs w:val="18"/>
              </w:rPr>
              <w:t>2</w:t>
            </w:r>
            <w:r w:rsidR="00662B7D">
              <w:rPr>
                <w:rFonts w:cs="Arial"/>
                <w:b w:val="0"/>
                <w:snapToGrid w:val="0"/>
                <w:szCs w:val="18"/>
              </w:rPr>
              <w:t>, 2017</w:t>
            </w:r>
          </w:p>
        </w:tc>
        <w:tc>
          <w:tcPr>
            <w:tcW w:w="1120" w:type="dxa"/>
            <w:shd w:val="clear" w:color="auto" w:fill="auto"/>
            <w:vAlign w:val="center"/>
          </w:tcPr>
          <w:p w14:paraId="3A362E3C" w14:textId="18FFD34B" w:rsidR="00662B7D" w:rsidRDefault="00662B7D" w:rsidP="00B17EAF">
            <w:pPr>
              <w:pStyle w:val="tablehead"/>
              <w:rPr>
                <w:rFonts w:cs="Arial"/>
                <w:b w:val="0"/>
                <w:snapToGrid w:val="0"/>
                <w:szCs w:val="18"/>
              </w:rPr>
            </w:pPr>
            <w:r>
              <w:rPr>
                <w:rFonts w:cs="Arial"/>
                <w:b w:val="0"/>
                <w:snapToGrid w:val="0"/>
                <w:szCs w:val="18"/>
              </w:rPr>
              <w:t>2.1</w:t>
            </w:r>
          </w:p>
        </w:tc>
        <w:tc>
          <w:tcPr>
            <w:tcW w:w="4410" w:type="dxa"/>
            <w:shd w:val="clear" w:color="auto" w:fill="auto"/>
            <w:vAlign w:val="center"/>
          </w:tcPr>
          <w:p w14:paraId="4B9893A1" w14:textId="2959B16D" w:rsidR="00662B7D" w:rsidRDefault="00662B7D" w:rsidP="00426FF7">
            <w:pPr>
              <w:pStyle w:val="tablehead"/>
              <w:rPr>
                <w:rFonts w:cs="Arial"/>
                <w:b w:val="0"/>
                <w:snapToGrid w:val="0"/>
                <w:szCs w:val="18"/>
              </w:rPr>
            </w:pPr>
            <w:r>
              <w:rPr>
                <w:rFonts w:cs="Arial"/>
                <w:b w:val="0"/>
                <w:snapToGrid w:val="0"/>
                <w:szCs w:val="18"/>
              </w:rPr>
              <w:t>Minor updates</w:t>
            </w:r>
          </w:p>
        </w:tc>
        <w:tc>
          <w:tcPr>
            <w:tcW w:w="2184" w:type="dxa"/>
            <w:shd w:val="clear" w:color="auto" w:fill="auto"/>
            <w:vAlign w:val="center"/>
          </w:tcPr>
          <w:p w14:paraId="37646D8B" w14:textId="70F85984" w:rsidR="00662B7D" w:rsidRDefault="00662B7D" w:rsidP="00B17EAF">
            <w:pPr>
              <w:pStyle w:val="tablehead"/>
              <w:rPr>
                <w:rFonts w:cs="Arial"/>
                <w:b w:val="0"/>
                <w:snapToGrid w:val="0"/>
                <w:szCs w:val="18"/>
              </w:rPr>
            </w:pPr>
            <w:r>
              <w:rPr>
                <w:rFonts w:cs="Arial"/>
                <w:b w:val="0"/>
                <w:snapToGrid w:val="0"/>
                <w:szCs w:val="18"/>
              </w:rPr>
              <w:t>ERCOT System Planning</w:t>
            </w:r>
          </w:p>
        </w:tc>
      </w:tr>
      <w:tr w:rsidR="00942FD4" w14:paraId="7489326F" w14:textId="77777777" w:rsidTr="009C3940">
        <w:tc>
          <w:tcPr>
            <w:tcW w:w="2030" w:type="dxa"/>
            <w:shd w:val="clear" w:color="auto" w:fill="auto"/>
            <w:vAlign w:val="center"/>
          </w:tcPr>
          <w:p w14:paraId="3A9E1DF0" w14:textId="18C61D40" w:rsidR="00942FD4" w:rsidRDefault="00DB3E71" w:rsidP="00274AB8">
            <w:pPr>
              <w:pStyle w:val="tablehead"/>
              <w:rPr>
                <w:rFonts w:cs="Arial"/>
                <w:b w:val="0"/>
                <w:snapToGrid w:val="0"/>
                <w:szCs w:val="18"/>
              </w:rPr>
            </w:pPr>
            <w:r>
              <w:rPr>
                <w:rFonts w:cs="Arial"/>
                <w:b w:val="0"/>
                <w:snapToGrid w:val="0"/>
                <w:szCs w:val="18"/>
              </w:rPr>
              <w:t>June</w:t>
            </w:r>
            <w:r w:rsidR="00942FD4">
              <w:rPr>
                <w:rFonts w:cs="Arial"/>
                <w:b w:val="0"/>
                <w:snapToGrid w:val="0"/>
                <w:szCs w:val="18"/>
              </w:rPr>
              <w:t xml:space="preserve"> 2018</w:t>
            </w:r>
          </w:p>
        </w:tc>
        <w:tc>
          <w:tcPr>
            <w:tcW w:w="1120" w:type="dxa"/>
            <w:shd w:val="clear" w:color="auto" w:fill="auto"/>
            <w:vAlign w:val="center"/>
          </w:tcPr>
          <w:p w14:paraId="5EEF4711" w14:textId="71C1524E" w:rsidR="00942FD4" w:rsidRDefault="00942FD4" w:rsidP="00B17EAF">
            <w:pPr>
              <w:pStyle w:val="tablehead"/>
              <w:rPr>
                <w:rFonts w:cs="Arial"/>
                <w:b w:val="0"/>
                <w:snapToGrid w:val="0"/>
                <w:szCs w:val="18"/>
              </w:rPr>
            </w:pPr>
            <w:r>
              <w:rPr>
                <w:rFonts w:cs="Arial"/>
                <w:b w:val="0"/>
                <w:snapToGrid w:val="0"/>
                <w:szCs w:val="18"/>
              </w:rPr>
              <w:t>2.2</w:t>
            </w:r>
          </w:p>
        </w:tc>
        <w:tc>
          <w:tcPr>
            <w:tcW w:w="4410" w:type="dxa"/>
            <w:shd w:val="clear" w:color="auto" w:fill="auto"/>
            <w:vAlign w:val="center"/>
          </w:tcPr>
          <w:p w14:paraId="1C8650F0" w14:textId="61F8C5B5" w:rsidR="00942FD4" w:rsidRDefault="00942FD4" w:rsidP="00426FF7">
            <w:pPr>
              <w:pStyle w:val="tablehead"/>
              <w:rPr>
                <w:rFonts w:cs="Arial"/>
                <w:b w:val="0"/>
                <w:snapToGrid w:val="0"/>
                <w:szCs w:val="18"/>
              </w:rPr>
            </w:pPr>
            <w:r>
              <w:rPr>
                <w:rFonts w:cs="Arial"/>
                <w:b w:val="0"/>
                <w:snapToGrid w:val="0"/>
                <w:szCs w:val="18"/>
              </w:rPr>
              <w:t>Minor updates considering nearby generation</w:t>
            </w:r>
            <w:r w:rsidR="00DB3E71">
              <w:rPr>
                <w:rFonts w:cs="Arial"/>
                <w:b w:val="0"/>
                <w:snapToGrid w:val="0"/>
                <w:szCs w:val="18"/>
              </w:rPr>
              <w:t xml:space="preserve"> and request generator-side impedance table</w:t>
            </w:r>
          </w:p>
        </w:tc>
        <w:tc>
          <w:tcPr>
            <w:tcW w:w="2184" w:type="dxa"/>
            <w:shd w:val="clear" w:color="auto" w:fill="auto"/>
            <w:vAlign w:val="center"/>
          </w:tcPr>
          <w:p w14:paraId="67DBC108" w14:textId="50E9A75E" w:rsidR="00942FD4" w:rsidRDefault="00942FD4" w:rsidP="00B17EAF">
            <w:pPr>
              <w:pStyle w:val="tablehead"/>
              <w:rPr>
                <w:rFonts w:cs="Arial"/>
                <w:b w:val="0"/>
                <w:snapToGrid w:val="0"/>
                <w:szCs w:val="18"/>
              </w:rPr>
            </w:pPr>
            <w:r>
              <w:rPr>
                <w:rFonts w:cs="Arial"/>
                <w:b w:val="0"/>
                <w:snapToGrid w:val="0"/>
                <w:szCs w:val="18"/>
              </w:rPr>
              <w:t>ERCOT System Planning</w:t>
            </w:r>
          </w:p>
        </w:tc>
      </w:tr>
      <w:tr w:rsidR="009C3940" w14:paraId="64535496" w14:textId="77777777" w:rsidTr="00B17EAF">
        <w:tc>
          <w:tcPr>
            <w:tcW w:w="2030" w:type="dxa"/>
            <w:tcBorders>
              <w:bottom w:val="single" w:sz="4" w:space="0" w:color="auto"/>
            </w:tcBorders>
            <w:shd w:val="clear" w:color="auto" w:fill="auto"/>
            <w:vAlign w:val="center"/>
          </w:tcPr>
          <w:p w14:paraId="793FF1B5" w14:textId="08BA2130" w:rsidR="009C3940" w:rsidRDefault="007F229B" w:rsidP="00274AB8">
            <w:pPr>
              <w:pStyle w:val="tablehead"/>
              <w:rPr>
                <w:rFonts w:cs="Arial"/>
                <w:b w:val="0"/>
                <w:snapToGrid w:val="0"/>
                <w:szCs w:val="18"/>
              </w:rPr>
            </w:pPr>
            <w:r>
              <w:rPr>
                <w:rFonts w:cs="Arial"/>
                <w:b w:val="0"/>
                <w:snapToGrid w:val="0"/>
                <w:szCs w:val="18"/>
              </w:rPr>
              <w:t>October</w:t>
            </w:r>
            <w:r w:rsidR="00CC2F1F">
              <w:rPr>
                <w:rFonts w:cs="Arial"/>
                <w:b w:val="0"/>
                <w:snapToGrid w:val="0"/>
                <w:szCs w:val="18"/>
              </w:rPr>
              <w:t xml:space="preserve"> 2020</w:t>
            </w:r>
          </w:p>
        </w:tc>
        <w:tc>
          <w:tcPr>
            <w:tcW w:w="1120" w:type="dxa"/>
            <w:tcBorders>
              <w:bottom w:val="single" w:sz="4" w:space="0" w:color="auto"/>
            </w:tcBorders>
            <w:shd w:val="clear" w:color="auto" w:fill="auto"/>
            <w:vAlign w:val="center"/>
          </w:tcPr>
          <w:p w14:paraId="2528AD08" w14:textId="3E6BFE14" w:rsidR="009C3940" w:rsidRDefault="00CC2F1F" w:rsidP="00285DBF">
            <w:pPr>
              <w:pStyle w:val="tablehead"/>
              <w:rPr>
                <w:rFonts w:cs="Arial"/>
                <w:b w:val="0"/>
                <w:snapToGrid w:val="0"/>
                <w:szCs w:val="18"/>
              </w:rPr>
            </w:pPr>
            <w:r>
              <w:rPr>
                <w:rFonts w:cs="Arial"/>
                <w:b w:val="0"/>
                <w:snapToGrid w:val="0"/>
                <w:szCs w:val="18"/>
              </w:rPr>
              <w:t>2.</w:t>
            </w:r>
            <w:r w:rsidR="00285DBF">
              <w:rPr>
                <w:rFonts w:cs="Arial"/>
                <w:b w:val="0"/>
                <w:snapToGrid w:val="0"/>
                <w:szCs w:val="18"/>
              </w:rPr>
              <w:t>3</w:t>
            </w:r>
          </w:p>
        </w:tc>
        <w:tc>
          <w:tcPr>
            <w:tcW w:w="4410" w:type="dxa"/>
            <w:tcBorders>
              <w:bottom w:val="single" w:sz="4" w:space="0" w:color="auto"/>
            </w:tcBorders>
            <w:shd w:val="clear" w:color="auto" w:fill="auto"/>
            <w:vAlign w:val="center"/>
          </w:tcPr>
          <w:p w14:paraId="2482E48C" w14:textId="022910C1" w:rsidR="009C3940" w:rsidRDefault="009C3940" w:rsidP="00426FF7">
            <w:pPr>
              <w:pStyle w:val="tablehead"/>
              <w:rPr>
                <w:rFonts w:cs="Arial"/>
                <w:b w:val="0"/>
                <w:snapToGrid w:val="0"/>
                <w:szCs w:val="18"/>
              </w:rPr>
            </w:pPr>
            <w:r>
              <w:rPr>
                <w:rFonts w:cs="Arial"/>
                <w:b w:val="0"/>
                <w:snapToGrid w:val="0"/>
                <w:szCs w:val="18"/>
              </w:rPr>
              <w:t>Streamline study scenarios</w:t>
            </w:r>
            <w:r w:rsidR="00CC2F1F">
              <w:rPr>
                <w:rFonts w:cs="Arial"/>
                <w:b w:val="0"/>
                <w:snapToGrid w:val="0"/>
                <w:szCs w:val="18"/>
              </w:rPr>
              <w:t>; minor updates</w:t>
            </w:r>
          </w:p>
        </w:tc>
        <w:tc>
          <w:tcPr>
            <w:tcW w:w="2184" w:type="dxa"/>
            <w:tcBorders>
              <w:bottom w:val="single" w:sz="4" w:space="0" w:color="auto"/>
            </w:tcBorders>
            <w:shd w:val="clear" w:color="auto" w:fill="auto"/>
            <w:vAlign w:val="center"/>
          </w:tcPr>
          <w:p w14:paraId="4C86A421" w14:textId="7BD17CE6" w:rsidR="009C3940" w:rsidRDefault="009C3940" w:rsidP="00B17EAF">
            <w:pPr>
              <w:pStyle w:val="tablehead"/>
              <w:rPr>
                <w:rFonts w:cs="Arial"/>
                <w:b w:val="0"/>
                <w:snapToGrid w:val="0"/>
                <w:szCs w:val="18"/>
              </w:rPr>
            </w:pPr>
            <w:r>
              <w:rPr>
                <w:rFonts w:cs="Arial"/>
                <w:b w:val="0"/>
                <w:snapToGrid w:val="0"/>
                <w:szCs w:val="18"/>
              </w:rPr>
              <w:t>ERCOT System Planning</w:t>
            </w:r>
          </w:p>
        </w:tc>
      </w:tr>
    </w:tbl>
    <w:p w14:paraId="3F4FAE8D" w14:textId="77777777" w:rsidR="00BE7F5F" w:rsidRDefault="00BE7F5F" w:rsidP="00BE7F5F"/>
    <w:p w14:paraId="6EE81FFA" w14:textId="77777777" w:rsidR="00BE7F5F" w:rsidRDefault="00BE7F5F" w:rsidP="00BE7F5F"/>
    <w:p w14:paraId="5A1FB8F9" w14:textId="77777777" w:rsidR="00BE7F5F" w:rsidRDefault="00BE7F5F" w:rsidP="00BE7F5F"/>
    <w:p w14:paraId="0E080BBE" w14:textId="77777777" w:rsidR="00BE7F5F" w:rsidRDefault="00BE7F5F" w:rsidP="00BE7F5F"/>
    <w:p w14:paraId="65B71EFC" w14:textId="77777777" w:rsidR="00BE7F5F" w:rsidRDefault="00BE7F5F" w:rsidP="00BE7F5F"/>
    <w:p w14:paraId="3D2C94C5" w14:textId="77777777" w:rsidR="00BE7F5F" w:rsidRDefault="00BE7F5F" w:rsidP="00BE7F5F"/>
    <w:p w14:paraId="725420A1" w14:textId="77777777" w:rsidR="00BE7F5F" w:rsidRDefault="00BE7F5F" w:rsidP="00BE7F5F"/>
    <w:p w14:paraId="2074C33E" w14:textId="77777777" w:rsidR="00BE7F5F" w:rsidRDefault="00BE7F5F" w:rsidP="00BE7F5F"/>
    <w:p w14:paraId="3A72D3A7" w14:textId="77777777" w:rsidR="00BE7F5F" w:rsidRDefault="00BE7F5F" w:rsidP="00BE7F5F"/>
    <w:p w14:paraId="622E74FF" w14:textId="77777777" w:rsidR="00BE7F5F" w:rsidRPr="00BE7F5F" w:rsidRDefault="00BE7F5F" w:rsidP="00BE7F5F">
      <w:pPr>
        <w:sectPr w:rsidR="00BE7F5F" w:rsidRPr="00BE7F5F" w:rsidSect="00D805EB">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docGrid w:linePitch="326"/>
        </w:sectPr>
      </w:pPr>
    </w:p>
    <w:bookmarkStart w:id="0" w:name="_Toc409100151" w:displacedByCustomXml="next"/>
    <w:bookmarkStart w:id="1" w:name="_Toc149720771" w:displacedByCustomXml="next"/>
    <w:sdt>
      <w:sdtPr>
        <w:rPr>
          <w:rFonts w:asciiTheme="minorHAnsi" w:eastAsiaTheme="minorEastAsia" w:hAnsiTheme="minorHAnsi" w:cstheme="minorBidi"/>
          <w:b w:val="0"/>
          <w:bCs w:val="0"/>
          <w:color w:val="auto"/>
          <w:sz w:val="22"/>
          <w:szCs w:val="22"/>
        </w:rPr>
        <w:id w:val="-127631045"/>
        <w:docPartObj>
          <w:docPartGallery w:val="Table of Contents"/>
          <w:docPartUnique/>
        </w:docPartObj>
      </w:sdtPr>
      <w:sdtEndPr>
        <w:rPr>
          <w:noProof/>
        </w:rPr>
      </w:sdtEndPr>
      <w:sdtContent>
        <w:p w14:paraId="2B4B57D8" w14:textId="77777777" w:rsidR="00511DF0" w:rsidRDefault="00511DF0" w:rsidP="00511DF0">
          <w:pPr>
            <w:pStyle w:val="TOCHeading"/>
            <w:numPr>
              <w:ilvl w:val="0"/>
              <w:numId w:val="0"/>
            </w:numPr>
            <w:ind w:left="432" w:hanging="432"/>
          </w:pPr>
          <w:r>
            <w:t>Table of Contents</w:t>
          </w:r>
        </w:p>
        <w:p w14:paraId="5A9DE5D0" w14:textId="77777777" w:rsidR="007F229B" w:rsidRDefault="00511DF0">
          <w:pPr>
            <w:pStyle w:val="TOC1"/>
            <w:tabs>
              <w:tab w:val="left" w:pos="360"/>
              <w:tab w:val="right" w:leader="dot" w:pos="9350"/>
            </w:tabs>
            <w:rPr>
              <w:noProof/>
            </w:rPr>
          </w:pPr>
          <w:r>
            <w:fldChar w:fldCharType="begin"/>
          </w:r>
          <w:r>
            <w:instrText xml:space="preserve"> TOC \o "1-3" \h \z \u </w:instrText>
          </w:r>
          <w:r>
            <w:fldChar w:fldCharType="separate"/>
          </w:r>
          <w:hyperlink w:anchor="_Toc54680623" w:history="1">
            <w:r w:rsidR="007F229B" w:rsidRPr="009A6A7F">
              <w:rPr>
                <w:rStyle w:val="Hyperlink"/>
                <w:noProof/>
              </w:rPr>
              <w:t>1</w:t>
            </w:r>
            <w:r w:rsidR="007F229B">
              <w:rPr>
                <w:noProof/>
              </w:rPr>
              <w:tab/>
            </w:r>
            <w:r w:rsidR="007F229B" w:rsidRPr="009A6A7F">
              <w:rPr>
                <w:rStyle w:val="Hyperlink"/>
                <w:noProof/>
              </w:rPr>
              <w:t>Purpose</w:t>
            </w:r>
            <w:r w:rsidR="007F229B">
              <w:rPr>
                <w:noProof/>
                <w:webHidden/>
              </w:rPr>
              <w:tab/>
            </w:r>
            <w:r w:rsidR="007F229B">
              <w:rPr>
                <w:noProof/>
                <w:webHidden/>
              </w:rPr>
              <w:fldChar w:fldCharType="begin"/>
            </w:r>
            <w:r w:rsidR="007F229B">
              <w:rPr>
                <w:noProof/>
                <w:webHidden/>
              </w:rPr>
              <w:instrText xml:space="preserve"> PAGEREF _Toc54680623 \h </w:instrText>
            </w:r>
            <w:r w:rsidR="007F229B">
              <w:rPr>
                <w:noProof/>
                <w:webHidden/>
              </w:rPr>
            </w:r>
            <w:r w:rsidR="007F229B">
              <w:rPr>
                <w:noProof/>
                <w:webHidden/>
              </w:rPr>
              <w:fldChar w:fldCharType="separate"/>
            </w:r>
            <w:r w:rsidR="007F229B">
              <w:rPr>
                <w:noProof/>
                <w:webHidden/>
              </w:rPr>
              <w:t>4</w:t>
            </w:r>
            <w:r w:rsidR="007F229B">
              <w:rPr>
                <w:noProof/>
                <w:webHidden/>
              </w:rPr>
              <w:fldChar w:fldCharType="end"/>
            </w:r>
          </w:hyperlink>
        </w:p>
        <w:p w14:paraId="768651D3" w14:textId="77777777" w:rsidR="007F229B" w:rsidRDefault="00F82B42">
          <w:pPr>
            <w:pStyle w:val="TOC1"/>
            <w:tabs>
              <w:tab w:val="left" w:pos="360"/>
              <w:tab w:val="right" w:leader="dot" w:pos="9350"/>
            </w:tabs>
            <w:rPr>
              <w:noProof/>
            </w:rPr>
          </w:pPr>
          <w:hyperlink w:anchor="_Toc54680624" w:history="1">
            <w:r w:rsidR="007F229B" w:rsidRPr="009A6A7F">
              <w:rPr>
                <w:rStyle w:val="Hyperlink"/>
                <w:noProof/>
              </w:rPr>
              <w:t>2</w:t>
            </w:r>
            <w:r w:rsidR="007F229B">
              <w:rPr>
                <w:noProof/>
              </w:rPr>
              <w:tab/>
            </w:r>
            <w:r w:rsidR="007F229B" w:rsidRPr="009A6A7F">
              <w:rPr>
                <w:rStyle w:val="Hyperlink"/>
                <w:noProof/>
              </w:rPr>
              <w:t>General SSR Scope</w:t>
            </w:r>
            <w:r w:rsidR="007F229B">
              <w:rPr>
                <w:noProof/>
                <w:webHidden/>
              </w:rPr>
              <w:tab/>
            </w:r>
            <w:r w:rsidR="007F229B">
              <w:rPr>
                <w:noProof/>
                <w:webHidden/>
              </w:rPr>
              <w:fldChar w:fldCharType="begin"/>
            </w:r>
            <w:r w:rsidR="007F229B">
              <w:rPr>
                <w:noProof/>
                <w:webHidden/>
              </w:rPr>
              <w:instrText xml:space="preserve"> PAGEREF _Toc54680624 \h </w:instrText>
            </w:r>
            <w:r w:rsidR="007F229B">
              <w:rPr>
                <w:noProof/>
                <w:webHidden/>
              </w:rPr>
            </w:r>
            <w:r w:rsidR="007F229B">
              <w:rPr>
                <w:noProof/>
                <w:webHidden/>
              </w:rPr>
              <w:fldChar w:fldCharType="separate"/>
            </w:r>
            <w:r w:rsidR="007F229B">
              <w:rPr>
                <w:noProof/>
                <w:webHidden/>
              </w:rPr>
              <w:t>4</w:t>
            </w:r>
            <w:r w:rsidR="007F229B">
              <w:rPr>
                <w:noProof/>
                <w:webHidden/>
              </w:rPr>
              <w:fldChar w:fldCharType="end"/>
            </w:r>
          </w:hyperlink>
        </w:p>
        <w:p w14:paraId="19FDEFC2" w14:textId="77777777" w:rsidR="007F229B" w:rsidRDefault="00F82B42">
          <w:pPr>
            <w:pStyle w:val="TOC2"/>
          </w:pPr>
          <w:hyperlink w:anchor="_Toc54680625" w:history="1">
            <w:r w:rsidR="007F229B" w:rsidRPr="009A6A7F">
              <w:rPr>
                <w:rStyle w:val="Hyperlink"/>
              </w:rPr>
              <w:t>2.1</w:t>
            </w:r>
            <w:r w:rsidR="007F229B">
              <w:tab/>
            </w:r>
            <w:r w:rsidR="007F229B" w:rsidRPr="009A6A7F">
              <w:rPr>
                <w:rStyle w:val="Hyperlink"/>
              </w:rPr>
              <w:t>Conventional Generator SSR Studies</w:t>
            </w:r>
            <w:r w:rsidR="007F229B">
              <w:rPr>
                <w:webHidden/>
              </w:rPr>
              <w:tab/>
            </w:r>
            <w:r w:rsidR="007F229B">
              <w:rPr>
                <w:webHidden/>
              </w:rPr>
              <w:fldChar w:fldCharType="begin"/>
            </w:r>
            <w:r w:rsidR="007F229B">
              <w:rPr>
                <w:webHidden/>
              </w:rPr>
              <w:instrText xml:space="preserve"> PAGEREF _Toc54680625 \h </w:instrText>
            </w:r>
            <w:r w:rsidR="007F229B">
              <w:rPr>
                <w:webHidden/>
              </w:rPr>
            </w:r>
            <w:r w:rsidR="007F229B">
              <w:rPr>
                <w:webHidden/>
              </w:rPr>
              <w:fldChar w:fldCharType="separate"/>
            </w:r>
            <w:r w:rsidR="007F229B">
              <w:rPr>
                <w:webHidden/>
              </w:rPr>
              <w:t>4</w:t>
            </w:r>
            <w:r w:rsidR="007F229B">
              <w:rPr>
                <w:webHidden/>
              </w:rPr>
              <w:fldChar w:fldCharType="end"/>
            </w:r>
          </w:hyperlink>
        </w:p>
        <w:p w14:paraId="3DE3B2BA" w14:textId="77777777" w:rsidR="007F229B" w:rsidRDefault="00F82B42">
          <w:pPr>
            <w:pStyle w:val="TOC2"/>
          </w:pPr>
          <w:hyperlink w:anchor="_Toc54680626" w:history="1">
            <w:r w:rsidR="007F229B" w:rsidRPr="009A6A7F">
              <w:rPr>
                <w:rStyle w:val="Hyperlink"/>
              </w:rPr>
              <w:t>2.2</w:t>
            </w:r>
            <w:r w:rsidR="007F229B">
              <w:tab/>
            </w:r>
            <w:r w:rsidR="007F229B" w:rsidRPr="009A6A7F">
              <w:rPr>
                <w:rStyle w:val="Hyperlink"/>
              </w:rPr>
              <w:t>Inverter Based Resources (IBR):</w:t>
            </w:r>
            <w:r w:rsidR="007F229B">
              <w:rPr>
                <w:webHidden/>
              </w:rPr>
              <w:tab/>
            </w:r>
            <w:r w:rsidR="007F229B">
              <w:rPr>
                <w:webHidden/>
              </w:rPr>
              <w:fldChar w:fldCharType="begin"/>
            </w:r>
            <w:r w:rsidR="007F229B">
              <w:rPr>
                <w:webHidden/>
              </w:rPr>
              <w:instrText xml:space="preserve"> PAGEREF _Toc54680626 \h </w:instrText>
            </w:r>
            <w:r w:rsidR="007F229B">
              <w:rPr>
                <w:webHidden/>
              </w:rPr>
            </w:r>
            <w:r w:rsidR="007F229B">
              <w:rPr>
                <w:webHidden/>
              </w:rPr>
              <w:fldChar w:fldCharType="separate"/>
            </w:r>
            <w:r w:rsidR="007F229B">
              <w:rPr>
                <w:webHidden/>
              </w:rPr>
              <w:t>4</w:t>
            </w:r>
            <w:r w:rsidR="007F229B">
              <w:rPr>
                <w:webHidden/>
              </w:rPr>
              <w:fldChar w:fldCharType="end"/>
            </w:r>
          </w:hyperlink>
        </w:p>
        <w:p w14:paraId="634C6DD3" w14:textId="77777777" w:rsidR="007F229B" w:rsidRDefault="00F82B42">
          <w:pPr>
            <w:pStyle w:val="TOC1"/>
            <w:tabs>
              <w:tab w:val="left" w:pos="360"/>
              <w:tab w:val="right" w:leader="dot" w:pos="9350"/>
            </w:tabs>
            <w:rPr>
              <w:noProof/>
            </w:rPr>
          </w:pPr>
          <w:hyperlink w:anchor="_Toc54680627" w:history="1">
            <w:r w:rsidR="007F229B" w:rsidRPr="009A6A7F">
              <w:rPr>
                <w:rStyle w:val="Hyperlink"/>
                <w:noProof/>
              </w:rPr>
              <w:t>3</w:t>
            </w:r>
            <w:r w:rsidR="007F229B">
              <w:rPr>
                <w:noProof/>
              </w:rPr>
              <w:tab/>
            </w:r>
            <w:r w:rsidR="007F229B" w:rsidRPr="009A6A7F">
              <w:rPr>
                <w:rStyle w:val="Hyperlink"/>
                <w:noProof/>
              </w:rPr>
              <w:t>Study Development</w:t>
            </w:r>
            <w:r w:rsidR="007F229B">
              <w:rPr>
                <w:noProof/>
                <w:webHidden/>
              </w:rPr>
              <w:tab/>
            </w:r>
            <w:r w:rsidR="007F229B">
              <w:rPr>
                <w:noProof/>
                <w:webHidden/>
              </w:rPr>
              <w:fldChar w:fldCharType="begin"/>
            </w:r>
            <w:r w:rsidR="007F229B">
              <w:rPr>
                <w:noProof/>
                <w:webHidden/>
              </w:rPr>
              <w:instrText xml:space="preserve"> PAGEREF _Toc54680627 \h </w:instrText>
            </w:r>
            <w:r w:rsidR="007F229B">
              <w:rPr>
                <w:noProof/>
                <w:webHidden/>
              </w:rPr>
            </w:r>
            <w:r w:rsidR="007F229B">
              <w:rPr>
                <w:noProof/>
                <w:webHidden/>
              </w:rPr>
              <w:fldChar w:fldCharType="separate"/>
            </w:r>
            <w:r w:rsidR="007F229B">
              <w:rPr>
                <w:noProof/>
                <w:webHidden/>
              </w:rPr>
              <w:t>5</w:t>
            </w:r>
            <w:r w:rsidR="007F229B">
              <w:rPr>
                <w:noProof/>
                <w:webHidden/>
              </w:rPr>
              <w:fldChar w:fldCharType="end"/>
            </w:r>
          </w:hyperlink>
        </w:p>
        <w:p w14:paraId="061E12D8" w14:textId="77777777" w:rsidR="007F229B" w:rsidRDefault="00F82B42">
          <w:pPr>
            <w:pStyle w:val="TOC2"/>
          </w:pPr>
          <w:hyperlink w:anchor="_Toc54680628" w:history="1">
            <w:r w:rsidR="007F229B" w:rsidRPr="009A6A7F">
              <w:rPr>
                <w:rStyle w:val="Hyperlink"/>
              </w:rPr>
              <w:t>3.1</w:t>
            </w:r>
            <w:r w:rsidR="007F229B">
              <w:tab/>
            </w:r>
            <w:r w:rsidR="007F229B" w:rsidRPr="009A6A7F">
              <w:rPr>
                <w:rStyle w:val="Hyperlink"/>
              </w:rPr>
              <w:t>Base Case</w:t>
            </w:r>
            <w:r w:rsidR="007F229B">
              <w:rPr>
                <w:webHidden/>
              </w:rPr>
              <w:tab/>
            </w:r>
            <w:r w:rsidR="007F229B">
              <w:rPr>
                <w:webHidden/>
              </w:rPr>
              <w:fldChar w:fldCharType="begin"/>
            </w:r>
            <w:r w:rsidR="007F229B">
              <w:rPr>
                <w:webHidden/>
              </w:rPr>
              <w:instrText xml:space="preserve"> PAGEREF _Toc54680628 \h </w:instrText>
            </w:r>
            <w:r w:rsidR="007F229B">
              <w:rPr>
                <w:webHidden/>
              </w:rPr>
            </w:r>
            <w:r w:rsidR="007F229B">
              <w:rPr>
                <w:webHidden/>
              </w:rPr>
              <w:fldChar w:fldCharType="separate"/>
            </w:r>
            <w:r w:rsidR="007F229B">
              <w:rPr>
                <w:webHidden/>
              </w:rPr>
              <w:t>5</w:t>
            </w:r>
            <w:r w:rsidR="007F229B">
              <w:rPr>
                <w:webHidden/>
              </w:rPr>
              <w:fldChar w:fldCharType="end"/>
            </w:r>
          </w:hyperlink>
        </w:p>
        <w:p w14:paraId="4AC59E1E" w14:textId="77777777" w:rsidR="007F229B" w:rsidRDefault="00F82B42">
          <w:pPr>
            <w:pStyle w:val="TOC2"/>
          </w:pPr>
          <w:hyperlink w:anchor="_Toc54680629" w:history="1">
            <w:r w:rsidR="007F229B" w:rsidRPr="009A6A7F">
              <w:rPr>
                <w:rStyle w:val="Hyperlink"/>
              </w:rPr>
              <w:t>3.2</w:t>
            </w:r>
            <w:r w:rsidR="007F229B">
              <w:tab/>
            </w:r>
            <w:r w:rsidR="007F229B" w:rsidRPr="009A6A7F">
              <w:rPr>
                <w:rStyle w:val="Hyperlink"/>
              </w:rPr>
              <w:t>Contingencies</w:t>
            </w:r>
            <w:r w:rsidR="007F229B">
              <w:rPr>
                <w:webHidden/>
              </w:rPr>
              <w:tab/>
            </w:r>
            <w:r w:rsidR="007F229B">
              <w:rPr>
                <w:webHidden/>
              </w:rPr>
              <w:fldChar w:fldCharType="begin"/>
            </w:r>
            <w:r w:rsidR="007F229B">
              <w:rPr>
                <w:webHidden/>
              </w:rPr>
              <w:instrText xml:space="preserve"> PAGEREF _Toc54680629 \h </w:instrText>
            </w:r>
            <w:r w:rsidR="007F229B">
              <w:rPr>
                <w:webHidden/>
              </w:rPr>
            </w:r>
            <w:r w:rsidR="007F229B">
              <w:rPr>
                <w:webHidden/>
              </w:rPr>
              <w:fldChar w:fldCharType="separate"/>
            </w:r>
            <w:r w:rsidR="007F229B">
              <w:rPr>
                <w:webHidden/>
              </w:rPr>
              <w:t>5</w:t>
            </w:r>
            <w:r w:rsidR="007F229B">
              <w:rPr>
                <w:webHidden/>
              </w:rPr>
              <w:fldChar w:fldCharType="end"/>
            </w:r>
          </w:hyperlink>
        </w:p>
        <w:p w14:paraId="1A4FC0D7" w14:textId="77777777" w:rsidR="007F229B" w:rsidRDefault="00F82B42">
          <w:pPr>
            <w:pStyle w:val="TOC2"/>
          </w:pPr>
          <w:hyperlink w:anchor="_Toc54680630" w:history="1">
            <w:r w:rsidR="007F229B" w:rsidRPr="009A6A7F">
              <w:rPr>
                <w:rStyle w:val="Hyperlink"/>
              </w:rPr>
              <w:t>3.3</w:t>
            </w:r>
            <w:r w:rsidR="007F229B">
              <w:tab/>
            </w:r>
            <w:r w:rsidR="007F229B" w:rsidRPr="009A6A7F">
              <w:rPr>
                <w:rStyle w:val="Hyperlink"/>
              </w:rPr>
              <w:t>Sensitivities</w:t>
            </w:r>
            <w:r w:rsidR="007F229B">
              <w:rPr>
                <w:webHidden/>
              </w:rPr>
              <w:tab/>
            </w:r>
            <w:r w:rsidR="007F229B">
              <w:rPr>
                <w:webHidden/>
              </w:rPr>
              <w:fldChar w:fldCharType="begin"/>
            </w:r>
            <w:r w:rsidR="007F229B">
              <w:rPr>
                <w:webHidden/>
              </w:rPr>
              <w:instrText xml:space="preserve"> PAGEREF _Toc54680630 \h </w:instrText>
            </w:r>
            <w:r w:rsidR="007F229B">
              <w:rPr>
                <w:webHidden/>
              </w:rPr>
            </w:r>
            <w:r w:rsidR="007F229B">
              <w:rPr>
                <w:webHidden/>
              </w:rPr>
              <w:fldChar w:fldCharType="separate"/>
            </w:r>
            <w:r w:rsidR="007F229B">
              <w:rPr>
                <w:webHidden/>
              </w:rPr>
              <w:t>5</w:t>
            </w:r>
            <w:r w:rsidR="007F229B">
              <w:rPr>
                <w:webHidden/>
              </w:rPr>
              <w:fldChar w:fldCharType="end"/>
            </w:r>
          </w:hyperlink>
        </w:p>
        <w:p w14:paraId="00A5A6B7" w14:textId="77777777" w:rsidR="007F229B" w:rsidRDefault="00F82B42">
          <w:pPr>
            <w:pStyle w:val="TOC2"/>
          </w:pPr>
          <w:hyperlink w:anchor="_Toc54680631" w:history="1">
            <w:r w:rsidR="007F229B" w:rsidRPr="009A6A7F">
              <w:rPr>
                <w:rStyle w:val="Hyperlink"/>
              </w:rPr>
              <w:t>3.4</w:t>
            </w:r>
            <w:r w:rsidR="007F229B">
              <w:tab/>
            </w:r>
            <w:r w:rsidR="007F229B" w:rsidRPr="009A6A7F">
              <w:rPr>
                <w:rStyle w:val="Hyperlink"/>
              </w:rPr>
              <w:t>Criteria</w:t>
            </w:r>
            <w:r w:rsidR="007F229B">
              <w:rPr>
                <w:webHidden/>
              </w:rPr>
              <w:tab/>
            </w:r>
            <w:r w:rsidR="007F229B">
              <w:rPr>
                <w:webHidden/>
              </w:rPr>
              <w:fldChar w:fldCharType="begin"/>
            </w:r>
            <w:r w:rsidR="007F229B">
              <w:rPr>
                <w:webHidden/>
              </w:rPr>
              <w:instrText xml:space="preserve"> PAGEREF _Toc54680631 \h </w:instrText>
            </w:r>
            <w:r w:rsidR="007F229B">
              <w:rPr>
                <w:webHidden/>
              </w:rPr>
            </w:r>
            <w:r w:rsidR="007F229B">
              <w:rPr>
                <w:webHidden/>
              </w:rPr>
              <w:fldChar w:fldCharType="separate"/>
            </w:r>
            <w:r w:rsidR="007F229B">
              <w:rPr>
                <w:webHidden/>
              </w:rPr>
              <w:t>6</w:t>
            </w:r>
            <w:r w:rsidR="007F229B">
              <w:rPr>
                <w:webHidden/>
              </w:rPr>
              <w:fldChar w:fldCharType="end"/>
            </w:r>
          </w:hyperlink>
        </w:p>
        <w:p w14:paraId="6DF96D34" w14:textId="77777777" w:rsidR="007F229B" w:rsidRDefault="00F82B42">
          <w:pPr>
            <w:pStyle w:val="TOC1"/>
            <w:tabs>
              <w:tab w:val="left" w:pos="360"/>
              <w:tab w:val="right" w:leader="dot" w:pos="9350"/>
            </w:tabs>
            <w:rPr>
              <w:noProof/>
            </w:rPr>
          </w:pPr>
          <w:hyperlink w:anchor="_Toc54680632" w:history="1">
            <w:r w:rsidR="007F229B" w:rsidRPr="009A6A7F">
              <w:rPr>
                <w:rStyle w:val="Hyperlink"/>
                <w:noProof/>
              </w:rPr>
              <w:t>4</w:t>
            </w:r>
            <w:r w:rsidR="007F229B">
              <w:rPr>
                <w:noProof/>
              </w:rPr>
              <w:tab/>
            </w:r>
            <w:r w:rsidR="007F229B" w:rsidRPr="009A6A7F">
              <w:rPr>
                <w:rStyle w:val="Hyperlink"/>
                <w:noProof/>
              </w:rPr>
              <w:t>Modeling Requirements</w:t>
            </w:r>
            <w:r w:rsidR="007F229B">
              <w:rPr>
                <w:noProof/>
                <w:webHidden/>
              </w:rPr>
              <w:tab/>
            </w:r>
            <w:r w:rsidR="007F229B">
              <w:rPr>
                <w:noProof/>
                <w:webHidden/>
              </w:rPr>
              <w:fldChar w:fldCharType="begin"/>
            </w:r>
            <w:r w:rsidR="007F229B">
              <w:rPr>
                <w:noProof/>
                <w:webHidden/>
              </w:rPr>
              <w:instrText xml:space="preserve"> PAGEREF _Toc54680632 \h </w:instrText>
            </w:r>
            <w:r w:rsidR="007F229B">
              <w:rPr>
                <w:noProof/>
                <w:webHidden/>
              </w:rPr>
            </w:r>
            <w:r w:rsidR="007F229B">
              <w:rPr>
                <w:noProof/>
                <w:webHidden/>
              </w:rPr>
              <w:fldChar w:fldCharType="separate"/>
            </w:r>
            <w:r w:rsidR="007F229B">
              <w:rPr>
                <w:noProof/>
                <w:webHidden/>
              </w:rPr>
              <w:t>7</w:t>
            </w:r>
            <w:r w:rsidR="007F229B">
              <w:rPr>
                <w:noProof/>
                <w:webHidden/>
              </w:rPr>
              <w:fldChar w:fldCharType="end"/>
            </w:r>
          </w:hyperlink>
        </w:p>
        <w:p w14:paraId="14DF62F9" w14:textId="77777777" w:rsidR="007F229B" w:rsidRDefault="00F82B42">
          <w:pPr>
            <w:pStyle w:val="TOC1"/>
            <w:tabs>
              <w:tab w:val="left" w:pos="360"/>
              <w:tab w:val="right" w:leader="dot" w:pos="9350"/>
            </w:tabs>
            <w:rPr>
              <w:noProof/>
            </w:rPr>
          </w:pPr>
          <w:hyperlink w:anchor="_Toc54680633" w:history="1">
            <w:r w:rsidR="007F229B" w:rsidRPr="009A6A7F">
              <w:rPr>
                <w:rStyle w:val="Hyperlink"/>
                <w:noProof/>
              </w:rPr>
              <w:t>5</w:t>
            </w:r>
            <w:r w:rsidR="007F229B">
              <w:rPr>
                <w:noProof/>
              </w:rPr>
              <w:tab/>
            </w:r>
            <w:r w:rsidR="007F229B" w:rsidRPr="009A6A7F">
              <w:rPr>
                <w:rStyle w:val="Hyperlink"/>
                <w:noProof/>
              </w:rPr>
              <w:t>SSR Countermeasures</w:t>
            </w:r>
            <w:r w:rsidR="007F229B">
              <w:rPr>
                <w:noProof/>
                <w:webHidden/>
              </w:rPr>
              <w:tab/>
            </w:r>
            <w:r w:rsidR="007F229B">
              <w:rPr>
                <w:noProof/>
                <w:webHidden/>
              </w:rPr>
              <w:fldChar w:fldCharType="begin"/>
            </w:r>
            <w:r w:rsidR="007F229B">
              <w:rPr>
                <w:noProof/>
                <w:webHidden/>
              </w:rPr>
              <w:instrText xml:space="preserve"> PAGEREF _Toc54680633 \h </w:instrText>
            </w:r>
            <w:r w:rsidR="007F229B">
              <w:rPr>
                <w:noProof/>
                <w:webHidden/>
              </w:rPr>
            </w:r>
            <w:r w:rsidR="007F229B">
              <w:rPr>
                <w:noProof/>
                <w:webHidden/>
              </w:rPr>
              <w:fldChar w:fldCharType="separate"/>
            </w:r>
            <w:r w:rsidR="007F229B">
              <w:rPr>
                <w:noProof/>
                <w:webHidden/>
              </w:rPr>
              <w:t>7</w:t>
            </w:r>
            <w:r w:rsidR="007F229B">
              <w:rPr>
                <w:noProof/>
                <w:webHidden/>
              </w:rPr>
              <w:fldChar w:fldCharType="end"/>
            </w:r>
          </w:hyperlink>
        </w:p>
        <w:p w14:paraId="58E4ABDE" w14:textId="77777777" w:rsidR="007F229B" w:rsidRDefault="00F82B42">
          <w:pPr>
            <w:pStyle w:val="TOC1"/>
            <w:tabs>
              <w:tab w:val="left" w:pos="360"/>
              <w:tab w:val="right" w:leader="dot" w:pos="9350"/>
            </w:tabs>
            <w:rPr>
              <w:noProof/>
            </w:rPr>
          </w:pPr>
          <w:hyperlink w:anchor="_Toc54680634" w:history="1">
            <w:r w:rsidR="007F229B" w:rsidRPr="009A6A7F">
              <w:rPr>
                <w:rStyle w:val="Hyperlink"/>
                <w:noProof/>
              </w:rPr>
              <w:t>6</w:t>
            </w:r>
            <w:r w:rsidR="007F229B">
              <w:rPr>
                <w:noProof/>
              </w:rPr>
              <w:tab/>
            </w:r>
            <w:r w:rsidR="007F229B" w:rsidRPr="009A6A7F">
              <w:rPr>
                <w:rStyle w:val="Hyperlink"/>
                <w:noProof/>
              </w:rPr>
              <w:t>Deliverables</w:t>
            </w:r>
            <w:r w:rsidR="007F229B">
              <w:rPr>
                <w:noProof/>
                <w:webHidden/>
              </w:rPr>
              <w:tab/>
            </w:r>
            <w:r w:rsidR="007F229B">
              <w:rPr>
                <w:noProof/>
                <w:webHidden/>
              </w:rPr>
              <w:fldChar w:fldCharType="begin"/>
            </w:r>
            <w:r w:rsidR="007F229B">
              <w:rPr>
                <w:noProof/>
                <w:webHidden/>
              </w:rPr>
              <w:instrText xml:space="preserve"> PAGEREF _Toc54680634 \h </w:instrText>
            </w:r>
            <w:r w:rsidR="007F229B">
              <w:rPr>
                <w:noProof/>
                <w:webHidden/>
              </w:rPr>
            </w:r>
            <w:r w:rsidR="007F229B">
              <w:rPr>
                <w:noProof/>
                <w:webHidden/>
              </w:rPr>
              <w:fldChar w:fldCharType="separate"/>
            </w:r>
            <w:r w:rsidR="007F229B">
              <w:rPr>
                <w:noProof/>
                <w:webHidden/>
              </w:rPr>
              <w:t>7</w:t>
            </w:r>
            <w:r w:rsidR="007F229B">
              <w:rPr>
                <w:noProof/>
                <w:webHidden/>
              </w:rPr>
              <w:fldChar w:fldCharType="end"/>
            </w:r>
          </w:hyperlink>
        </w:p>
        <w:p w14:paraId="57EDE509" w14:textId="77777777" w:rsidR="00511DF0" w:rsidRDefault="00511DF0">
          <w:r>
            <w:rPr>
              <w:b/>
              <w:bCs/>
              <w:noProof/>
            </w:rPr>
            <w:fldChar w:fldCharType="end"/>
          </w:r>
        </w:p>
      </w:sdtContent>
    </w:sdt>
    <w:p w14:paraId="5C786BC0" w14:textId="77777777" w:rsidR="00511DF0" w:rsidRDefault="00511DF0">
      <w:pPr>
        <w:rPr>
          <w:rFonts w:ascii="Arial" w:hAnsi="Arial"/>
          <w:b/>
          <w:sz w:val="36"/>
        </w:rPr>
      </w:pPr>
      <w:r>
        <w:br w:type="page"/>
      </w:r>
    </w:p>
    <w:p w14:paraId="12CA8AA8" w14:textId="77777777" w:rsidR="00090BCB" w:rsidRPr="00090BCB" w:rsidRDefault="00090BCB" w:rsidP="00BE7F5F">
      <w:pPr>
        <w:pStyle w:val="TitleLine1"/>
        <w:jc w:val="center"/>
      </w:pPr>
      <w:r w:rsidRPr="00090BCB">
        <w:lastRenderedPageBreak/>
        <w:t>Subsynchronous Resonance (SSR) Analysis</w:t>
      </w:r>
    </w:p>
    <w:p w14:paraId="7F3603B4" w14:textId="77777777" w:rsidR="00A2048D" w:rsidRDefault="00090BCB" w:rsidP="00BE7F5F">
      <w:pPr>
        <w:pStyle w:val="Heading1"/>
      </w:pPr>
      <w:bookmarkStart w:id="2" w:name="_Toc54680623"/>
      <w:bookmarkEnd w:id="1"/>
      <w:bookmarkEnd w:id="0"/>
      <w:r>
        <w:t>Purpose</w:t>
      </w:r>
      <w:bookmarkEnd w:id="2"/>
    </w:p>
    <w:p w14:paraId="563904D4" w14:textId="75FA8A77" w:rsidR="00090BCB" w:rsidRDefault="00090BCB" w:rsidP="00BE7F5F">
      <w:pPr>
        <w:jc w:val="both"/>
      </w:pPr>
      <w:bookmarkStart w:id="3" w:name="_Toc149720772"/>
      <w:bookmarkStart w:id="4" w:name="_Toc409100152"/>
      <w:r>
        <w:t>The purpose of this document is to serve as a guideline to e</w:t>
      </w:r>
      <w:r w:rsidRPr="007E011D">
        <w:t xml:space="preserve">stablish </w:t>
      </w:r>
      <w:r>
        <w:t xml:space="preserve">the </w:t>
      </w:r>
      <w:r w:rsidR="00511DF0">
        <w:t xml:space="preserve">study </w:t>
      </w:r>
      <w:r>
        <w:t xml:space="preserve">scope </w:t>
      </w:r>
      <w:r w:rsidRPr="007E011D">
        <w:t xml:space="preserve">for the Subsynchronous Resonance (SSR) </w:t>
      </w:r>
      <w:r w:rsidR="006A3615">
        <w:t>interactions</w:t>
      </w:r>
      <w:r w:rsidR="00C56E73">
        <w:t xml:space="preserve"> </w:t>
      </w:r>
      <w:r w:rsidR="0064332B" w:rsidRPr="00511DF0">
        <w:t>occurring between Generation Resources and a series capacitor compensated transmission system</w:t>
      </w:r>
      <w:r w:rsidRPr="00511DF0">
        <w:t>.</w:t>
      </w:r>
      <w:r w:rsidR="0064332B">
        <w:t xml:space="preserve">  </w:t>
      </w:r>
      <w:r w:rsidRPr="007E011D">
        <w:t xml:space="preserve">If </w:t>
      </w:r>
      <w:r>
        <w:t xml:space="preserve">a project </w:t>
      </w:r>
      <w:r w:rsidR="00426FF7">
        <w:t xml:space="preserve">is identified to </w:t>
      </w:r>
      <w:r>
        <w:t xml:space="preserve">require a </w:t>
      </w:r>
      <w:r w:rsidRPr="007E011D">
        <w:t xml:space="preserve">SSR </w:t>
      </w:r>
      <w:r>
        <w:t>study</w:t>
      </w:r>
      <w:r w:rsidRPr="007E011D">
        <w:t xml:space="preserve">, </w:t>
      </w:r>
      <w:r w:rsidR="009A7794">
        <w:t xml:space="preserve">the </w:t>
      </w:r>
      <w:r>
        <w:t>designate</w:t>
      </w:r>
      <w:r w:rsidR="00CB0230">
        <w:t>d</w:t>
      </w:r>
      <w:r>
        <w:t xml:space="preserve"> </w:t>
      </w:r>
      <w:r w:rsidR="00F721ED">
        <w:t>entity</w:t>
      </w:r>
      <w:r w:rsidRPr="007E011D">
        <w:t xml:space="preserve"> </w:t>
      </w:r>
      <w:r w:rsidR="00511DF0">
        <w:t>will</w:t>
      </w:r>
      <w:r w:rsidRPr="007E011D">
        <w:t xml:space="preserve"> perform </w:t>
      </w:r>
      <w:r>
        <w:t>the</w:t>
      </w:r>
      <w:r w:rsidRPr="007E011D">
        <w:t xml:space="preserve"> study to evaluate </w:t>
      </w:r>
      <w:r w:rsidR="00CB0230">
        <w:t>vulnerability</w:t>
      </w:r>
      <w:r>
        <w:t xml:space="preserve"> </w:t>
      </w:r>
      <w:r w:rsidR="00A23155">
        <w:t>and identify</w:t>
      </w:r>
      <w:r>
        <w:t xml:space="preserve"> any needed</w:t>
      </w:r>
      <w:r w:rsidRPr="007E011D">
        <w:t xml:space="preserve"> </w:t>
      </w:r>
      <w:r w:rsidR="00F721ED">
        <w:t>countermeasures</w:t>
      </w:r>
      <w:r w:rsidR="00A23155">
        <w:t>.</w:t>
      </w:r>
    </w:p>
    <w:p w14:paraId="647B1D58" w14:textId="30E5268F" w:rsidR="00090BCB" w:rsidRPr="007E011D" w:rsidRDefault="00A23155" w:rsidP="00A23155">
      <w:pPr>
        <w:jc w:val="both"/>
      </w:pPr>
      <w:r>
        <w:t xml:space="preserve">Both the scope and the final study will be reviewed </w:t>
      </w:r>
      <w:r w:rsidR="00090BCB">
        <w:t>by the</w:t>
      </w:r>
      <w:r w:rsidR="00C56E73">
        <w:t xml:space="preserve"> impacted</w:t>
      </w:r>
      <w:r w:rsidR="00090BCB">
        <w:t xml:space="preserve"> TSP(s), affected RE(s), and ERCOT. This document provides a list of guidelines for the study scope.</w:t>
      </w:r>
    </w:p>
    <w:p w14:paraId="62219B20" w14:textId="77777777" w:rsidR="00A2048D" w:rsidRDefault="00090BCB" w:rsidP="00BE7F5F">
      <w:pPr>
        <w:pStyle w:val="Heading1"/>
      </w:pPr>
      <w:bookmarkStart w:id="5" w:name="_Toc54680624"/>
      <w:bookmarkEnd w:id="3"/>
      <w:bookmarkEnd w:id="4"/>
      <w:r>
        <w:t xml:space="preserve">General SSR </w:t>
      </w:r>
      <w:r w:rsidR="007E7B2D">
        <w:t>Scope</w:t>
      </w:r>
      <w:bookmarkEnd w:id="5"/>
    </w:p>
    <w:p w14:paraId="3E48F284" w14:textId="77777777" w:rsidR="007E7B2D" w:rsidRDefault="007E7B2D" w:rsidP="007E7B2D">
      <w:pPr>
        <w:pStyle w:val="Heading2"/>
      </w:pPr>
      <w:bookmarkStart w:id="6" w:name="_Toc54680625"/>
      <w:r>
        <w:t>Conventional Generator SSR Studies</w:t>
      </w:r>
      <w:bookmarkEnd w:id="6"/>
    </w:p>
    <w:p w14:paraId="0F8C8E45" w14:textId="77777777" w:rsidR="007E7B2D" w:rsidRDefault="007E7B2D" w:rsidP="007E7B2D">
      <w:pPr>
        <w:pStyle w:val="Bulletedlist"/>
        <w:numPr>
          <w:ilvl w:val="0"/>
          <w:numId w:val="0"/>
        </w:numPr>
      </w:pPr>
      <w:r>
        <w:t>The SSR study for conventional generator units should include the following:</w:t>
      </w:r>
    </w:p>
    <w:p w14:paraId="1E3A9827" w14:textId="77777777" w:rsidR="007E7B2D" w:rsidRDefault="007E7B2D" w:rsidP="007E7B2D">
      <w:pPr>
        <w:pStyle w:val="Bulletedlist"/>
        <w:numPr>
          <w:ilvl w:val="1"/>
          <w:numId w:val="1"/>
        </w:numPr>
        <w:tabs>
          <w:tab w:val="clear" w:pos="2707"/>
          <w:tab w:val="num" w:pos="720"/>
        </w:tabs>
        <w:spacing w:before="0" w:after="0"/>
        <w:ind w:left="720" w:hanging="450"/>
      </w:pPr>
      <w:r>
        <w:t>Induction Generator Effect (IGE)</w:t>
      </w:r>
    </w:p>
    <w:p w14:paraId="1A49E542" w14:textId="77777777" w:rsidR="007E7B2D" w:rsidRDefault="007E7B2D" w:rsidP="007E7B2D">
      <w:pPr>
        <w:pStyle w:val="Bulletedlist"/>
        <w:numPr>
          <w:ilvl w:val="1"/>
          <w:numId w:val="1"/>
        </w:numPr>
        <w:tabs>
          <w:tab w:val="clear" w:pos="2707"/>
          <w:tab w:val="num" w:pos="720"/>
        </w:tabs>
        <w:spacing w:before="0" w:after="0"/>
        <w:ind w:left="720" w:hanging="450"/>
      </w:pPr>
      <w:r w:rsidRPr="006206F4">
        <w:t>Torsional Interaction (TI)</w:t>
      </w:r>
    </w:p>
    <w:p w14:paraId="2445642B" w14:textId="77777777" w:rsidR="007E7B2D" w:rsidRDefault="007E7B2D" w:rsidP="007E7B2D">
      <w:pPr>
        <w:pStyle w:val="Bulletedlist"/>
        <w:numPr>
          <w:ilvl w:val="1"/>
          <w:numId w:val="1"/>
        </w:numPr>
        <w:tabs>
          <w:tab w:val="clear" w:pos="2707"/>
          <w:tab w:val="num" w:pos="720"/>
        </w:tabs>
        <w:spacing w:before="0" w:after="0"/>
        <w:ind w:left="720" w:hanging="450"/>
      </w:pPr>
      <w:r w:rsidRPr="006206F4">
        <w:t>Torque Amplification (TA)</w:t>
      </w:r>
    </w:p>
    <w:p w14:paraId="1DEE966C" w14:textId="77777777" w:rsidR="007E7B2D" w:rsidRDefault="007E7B2D" w:rsidP="007E7B2D">
      <w:pPr>
        <w:pStyle w:val="Bulletedlist"/>
        <w:numPr>
          <w:ilvl w:val="1"/>
          <w:numId w:val="1"/>
        </w:numPr>
        <w:tabs>
          <w:tab w:val="clear" w:pos="2707"/>
          <w:tab w:val="num" w:pos="720"/>
        </w:tabs>
        <w:spacing w:before="0" w:after="0"/>
        <w:ind w:left="720" w:hanging="450"/>
      </w:pPr>
      <w:r>
        <w:t>Time domain simulations may be required for further investigation and countermeasures development.</w:t>
      </w:r>
    </w:p>
    <w:p w14:paraId="650D7A7C" w14:textId="0AF14E1F" w:rsidR="007E7B2D" w:rsidRPr="006206F4" w:rsidRDefault="00082DCE" w:rsidP="007E7B2D">
      <w:pPr>
        <w:pStyle w:val="Heading2"/>
      </w:pPr>
      <w:bookmarkStart w:id="7" w:name="_Toc54680626"/>
      <w:r>
        <w:t>Inverter Based Resources</w:t>
      </w:r>
      <w:r w:rsidR="007E7B2D">
        <w:t xml:space="preserve"> (</w:t>
      </w:r>
      <w:r>
        <w:t>IBR</w:t>
      </w:r>
      <w:r w:rsidR="007E7B2D">
        <w:t>):</w:t>
      </w:r>
      <w:bookmarkEnd w:id="7"/>
    </w:p>
    <w:p w14:paraId="5120CB4D" w14:textId="664EA48C" w:rsidR="007E7B2D" w:rsidRDefault="007E7B2D" w:rsidP="007E7B2D">
      <w:pPr>
        <w:pStyle w:val="Bulletedlist"/>
        <w:numPr>
          <w:ilvl w:val="0"/>
          <w:numId w:val="0"/>
        </w:numPr>
      </w:pPr>
      <w:r>
        <w:t xml:space="preserve">The SSR study for </w:t>
      </w:r>
      <w:r w:rsidR="00082DCE">
        <w:t>wind, solar, and energy storage</w:t>
      </w:r>
      <w:r>
        <w:t xml:space="preserve"> units should include the following:</w:t>
      </w:r>
    </w:p>
    <w:p w14:paraId="6F8C14E7" w14:textId="34205337" w:rsidR="007E7B2D" w:rsidRPr="007E7B2D" w:rsidRDefault="007E7B2D" w:rsidP="005333D6">
      <w:pPr>
        <w:pStyle w:val="Bulletedlist"/>
        <w:numPr>
          <w:ilvl w:val="1"/>
          <w:numId w:val="1"/>
        </w:numPr>
        <w:tabs>
          <w:tab w:val="clear" w:pos="2707"/>
          <w:tab w:val="num" w:pos="720"/>
        </w:tabs>
        <w:spacing w:before="0" w:after="0"/>
        <w:ind w:left="720" w:hanging="450"/>
      </w:pPr>
      <w:r>
        <w:t>Induction Generator Effect (IGE) / Subsynchronous Control Interaction (SSCI)</w:t>
      </w:r>
    </w:p>
    <w:p w14:paraId="26355F55" w14:textId="6F76B1CA" w:rsidR="00B8263F" w:rsidRDefault="007E7B2D" w:rsidP="00B8263F">
      <w:pPr>
        <w:pStyle w:val="Bulletedlist"/>
        <w:numPr>
          <w:ilvl w:val="1"/>
          <w:numId w:val="1"/>
        </w:numPr>
        <w:tabs>
          <w:tab w:val="clear" w:pos="2707"/>
          <w:tab w:val="num" w:pos="720"/>
        </w:tabs>
        <w:spacing w:before="0" w:after="0"/>
        <w:ind w:left="720" w:hanging="450"/>
      </w:pPr>
      <w:r>
        <w:t>Time domain simulations may be required for further i</w:t>
      </w:r>
      <w:r w:rsidR="006504E2">
        <w:t>nvestigation and countermeasure</w:t>
      </w:r>
      <w:r>
        <w:t xml:space="preserve"> development.</w:t>
      </w:r>
      <w:r w:rsidR="00662B7D">
        <w:t xml:space="preserve">  Time-domain simulations are generally required for situations where an </w:t>
      </w:r>
      <w:r w:rsidR="00082DCE">
        <w:t xml:space="preserve">IBR </w:t>
      </w:r>
      <w:r w:rsidR="00662B7D">
        <w:t xml:space="preserve">is radial to a series capacitor within six or fewer outages, and also required for situations where an </w:t>
      </w:r>
      <w:r w:rsidR="00082DCE">
        <w:t xml:space="preserve">IBR </w:t>
      </w:r>
      <w:r w:rsidR="00662B7D">
        <w:t xml:space="preserve">shows SSR vulnerability </w:t>
      </w:r>
      <w:r w:rsidR="00CC2F1F">
        <w:t xml:space="preserve">for </w:t>
      </w:r>
      <w:r w:rsidR="00662B7D">
        <w:t>six or fewer outages.</w:t>
      </w:r>
    </w:p>
    <w:p w14:paraId="2FDF218B" w14:textId="52F17390" w:rsidR="00B8263F" w:rsidRDefault="00B8263F">
      <w:r>
        <w:br w:type="page"/>
      </w:r>
    </w:p>
    <w:p w14:paraId="1CBE8B4E" w14:textId="77777777" w:rsidR="0043756F" w:rsidRDefault="0043756F" w:rsidP="007E7B2D">
      <w:pPr>
        <w:pStyle w:val="Heading1"/>
      </w:pPr>
      <w:bookmarkStart w:id="8" w:name="_Toc54680627"/>
      <w:r>
        <w:lastRenderedPageBreak/>
        <w:t xml:space="preserve">Study </w:t>
      </w:r>
      <w:r w:rsidR="00225196">
        <w:t>Development</w:t>
      </w:r>
      <w:bookmarkEnd w:id="8"/>
    </w:p>
    <w:p w14:paraId="54F2F28C" w14:textId="77777777" w:rsidR="00225196" w:rsidRPr="00225196" w:rsidRDefault="001A6DC2" w:rsidP="00225196">
      <w:pPr>
        <w:pStyle w:val="Heading2"/>
      </w:pPr>
      <w:bookmarkStart w:id="9" w:name="_Toc54680628"/>
      <w:r>
        <w:t xml:space="preserve">Base </w:t>
      </w:r>
      <w:r w:rsidR="00225196">
        <w:t>Case</w:t>
      </w:r>
      <w:bookmarkEnd w:id="9"/>
    </w:p>
    <w:p w14:paraId="074FBC14" w14:textId="3AC8197A" w:rsidR="00090BCB" w:rsidRDefault="0043756F" w:rsidP="00BE7F5F">
      <w:pPr>
        <w:jc w:val="both"/>
      </w:pPr>
      <w:r>
        <w:t>T</w:t>
      </w:r>
      <w:r w:rsidR="005F6ACB">
        <w:t xml:space="preserve">he latest </w:t>
      </w:r>
      <w:r w:rsidR="00225196">
        <w:t>ERCOT Steady State Working Group (</w:t>
      </w:r>
      <w:r w:rsidR="005F6ACB">
        <w:t>SSWG</w:t>
      </w:r>
      <w:r w:rsidR="00225196">
        <w:t>)</w:t>
      </w:r>
      <w:r w:rsidR="005F6ACB">
        <w:t xml:space="preserve"> base cases which</w:t>
      </w:r>
      <w:r w:rsidR="00090BCB">
        <w:t xml:space="preserve"> include the anticipated system topology based on the projected in-service date of the proposed project</w:t>
      </w:r>
      <w:r>
        <w:t xml:space="preserve"> </w:t>
      </w:r>
      <w:r w:rsidR="002F5738">
        <w:t xml:space="preserve">should be utilized; use of an </w:t>
      </w:r>
      <w:r w:rsidR="006633B0">
        <w:t>alternative</w:t>
      </w:r>
      <w:r w:rsidR="002F5738">
        <w:t xml:space="preserve"> case</w:t>
      </w:r>
      <w:r w:rsidR="00942FD4">
        <w:t xml:space="preserve"> </w:t>
      </w:r>
      <w:r w:rsidR="00394627">
        <w:t>must</w:t>
      </w:r>
      <w:r w:rsidR="002F5738">
        <w:t xml:space="preserve"> be</w:t>
      </w:r>
      <w:r w:rsidR="00942FD4">
        <w:t xml:space="preserve"> technically justified</w:t>
      </w:r>
      <w:r w:rsidR="00090BCB">
        <w:t>.</w:t>
      </w:r>
      <w:r w:rsidR="00B9753D">
        <w:t xml:space="preserve">  The study scope should </w:t>
      </w:r>
      <w:r w:rsidR="00F721ED">
        <w:t>identify</w:t>
      </w:r>
      <w:r w:rsidR="00B9753D">
        <w:t xml:space="preserve"> the series capacitor</w:t>
      </w:r>
      <w:r w:rsidR="0033316B">
        <w:t>(</w:t>
      </w:r>
      <w:r w:rsidR="00B9753D">
        <w:t>s</w:t>
      </w:r>
      <w:r w:rsidR="0033316B">
        <w:t>)</w:t>
      </w:r>
      <w:r w:rsidR="00B9753D">
        <w:t xml:space="preserve"> of interest.  </w:t>
      </w:r>
    </w:p>
    <w:p w14:paraId="18EF0F3A" w14:textId="77777777" w:rsidR="0043756F" w:rsidRDefault="0043756F" w:rsidP="007E7B2D">
      <w:pPr>
        <w:pStyle w:val="Heading2"/>
      </w:pPr>
      <w:bookmarkStart w:id="10" w:name="_Toc54680629"/>
      <w:r>
        <w:t>C</w:t>
      </w:r>
      <w:r w:rsidR="00090BCB" w:rsidRPr="007E011D">
        <w:t>ontingencies</w:t>
      </w:r>
      <w:bookmarkEnd w:id="10"/>
    </w:p>
    <w:p w14:paraId="2627F43F" w14:textId="0B7576CF" w:rsidR="00090BCB" w:rsidRPr="007E011D" w:rsidRDefault="00CD0D4B" w:rsidP="00BE7F5F">
      <w:r>
        <w:t xml:space="preserve">The methodology listed below is </w:t>
      </w:r>
      <w:r w:rsidR="00F82B42">
        <w:t>one possible method of screening</w:t>
      </w:r>
      <w:r>
        <w:t xml:space="preserve"> to reduce the number of contingencies </w:t>
      </w:r>
      <w:r w:rsidR="00892787">
        <w:t xml:space="preserve">combinations </w:t>
      </w:r>
      <w:r>
        <w:t>considered</w:t>
      </w:r>
      <w:r w:rsidR="00090BCB">
        <w:t xml:space="preserve">. </w:t>
      </w:r>
      <w:r w:rsidR="0049581A">
        <w:t xml:space="preserve"> </w:t>
      </w:r>
      <w:r w:rsidR="0049581A" w:rsidRPr="007E011D">
        <w:t xml:space="preserve">If the </w:t>
      </w:r>
      <w:r w:rsidR="0049581A">
        <w:t>study involves</w:t>
      </w:r>
      <w:r w:rsidR="0049581A" w:rsidRPr="007E011D">
        <w:t xml:space="preserve"> multiple series capacitors, then this process </w:t>
      </w:r>
      <w:r w:rsidR="0049581A">
        <w:t>would</w:t>
      </w:r>
      <w:r w:rsidR="0049581A" w:rsidRPr="007E011D">
        <w:t xml:space="preserve"> be repeated for each series capacitor.</w:t>
      </w:r>
    </w:p>
    <w:p w14:paraId="65D1D5FF" w14:textId="77777777" w:rsidR="00090BCB" w:rsidRPr="007E011D" w:rsidRDefault="00090BCB" w:rsidP="001A6DC2">
      <w:pPr>
        <w:pStyle w:val="Bulletedlist"/>
        <w:numPr>
          <w:ilvl w:val="1"/>
          <w:numId w:val="1"/>
        </w:numPr>
        <w:tabs>
          <w:tab w:val="clear" w:pos="2707"/>
          <w:tab w:val="num" w:pos="720"/>
        </w:tabs>
        <w:spacing w:before="0" w:after="0"/>
        <w:ind w:left="720" w:hanging="450"/>
      </w:pPr>
      <w:r w:rsidRPr="007E011D">
        <w:t>Begin with the set of contingencies making the generating unit radial</w:t>
      </w:r>
      <w:r w:rsidRPr="007E011D">
        <w:rPr>
          <w:rStyle w:val="FootnoteReference"/>
          <w:sz w:val="24"/>
          <w:szCs w:val="24"/>
        </w:rPr>
        <w:footnoteReference w:id="1"/>
      </w:r>
      <w:r w:rsidRPr="007E011D">
        <w:t xml:space="preserve"> to the series capacitor</w:t>
      </w:r>
      <w:r w:rsidR="00812541">
        <w:t>(s) under study</w:t>
      </w:r>
      <w:r>
        <w:t xml:space="preserve">. </w:t>
      </w:r>
      <w:r w:rsidRPr="007E011D">
        <w:t>This set is denoted “R”, consisting of N elements.</w:t>
      </w:r>
    </w:p>
    <w:p w14:paraId="3E0B91EC" w14:textId="40A5A8EB" w:rsidR="00090BCB" w:rsidRDefault="007D71D5" w:rsidP="001A6DC2">
      <w:pPr>
        <w:pStyle w:val="Bulletedlist"/>
        <w:numPr>
          <w:ilvl w:val="2"/>
          <w:numId w:val="1"/>
        </w:numPr>
        <w:tabs>
          <w:tab w:val="clear" w:pos="3427"/>
          <w:tab w:val="num" w:pos="1080"/>
        </w:tabs>
        <w:spacing w:before="0" w:after="0"/>
        <w:ind w:left="1080"/>
      </w:pPr>
      <w:r>
        <w:t xml:space="preserve">Evaluate radial condition (R) and </w:t>
      </w:r>
      <w:r w:rsidR="00090BCB" w:rsidRPr="007E011D">
        <w:t xml:space="preserve">all combinations of </w:t>
      </w:r>
      <w:r w:rsidR="004631F6">
        <w:t>“</w:t>
      </w:r>
      <w:r w:rsidR="00090BCB" w:rsidRPr="007E011D">
        <w:t>R</w:t>
      </w:r>
      <w:r w:rsidR="004631F6">
        <w:t>+1”</w:t>
      </w:r>
      <w:r w:rsidR="00090BCB" w:rsidRPr="007E011D">
        <w:t xml:space="preserve"> </w:t>
      </w:r>
      <w:r w:rsidR="00181922">
        <w:t xml:space="preserve">tier </w:t>
      </w:r>
      <w:r w:rsidR="004631F6">
        <w:t>(</w:t>
      </w:r>
      <w:r w:rsidR="00090BCB" w:rsidRPr="007E011D">
        <w:t xml:space="preserve">with 1 transmission element </w:t>
      </w:r>
      <w:r w:rsidR="006504E2">
        <w:t xml:space="preserve">placed </w:t>
      </w:r>
      <w:r w:rsidR="00090BCB" w:rsidRPr="007E011D">
        <w:t>back in service</w:t>
      </w:r>
      <w:r w:rsidR="004631F6">
        <w:t>)</w:t>
      </w:r>
      <w:r w:rsidR="00090BCB" w:rsidRPr="007E011D">
        <w:t>.</w:t>
      </w:r>
    </w:p>
    <w:p w14:paraId="5CE9CEFE" w14:textId="77777777" w:rsidR="00181922" w:rsidRPr="007E011D" w:rsidRDefault="00181922" w:rsidP="00181922">
      <w:pPr>
        <w:pStyle w:val="Bulletedlist"/>
        <w:numPr>
          <w:ilvl w:val="2"/>
          <w:numId w:val="1"/>
        </w:numPr>
        <w:tabs>
          <w:tab w:val="clear" w:pos="3427"/>
          <w:tab w:val="num" w:pos="1080"/>
        </w:tabs>
        <w:spacing w:before="0" w:after="0"/>
        <w:ind w:left="1080"/>
      </w:pPr>
      <w:r>
        <w:t>Evaluate all combinations of “R+2” tier (with 2 transmission elements back in service).</w:t>
      </w:r>
    </w:p>
    <w:p w14:paraId="10B6D253" w14:textId="48A8067C" w:rsidR="00090BCB" w:rsidRPr="007E011D" w:rsidRDefault="00090BCB" w:rsidP="001A6DC2">
      <w:pPr>
        <w:pStyle w:val="Bulletedlist"/>
        <w:numPr>
          <w:ilvl w:val="2"/>
          <w:numId w:val="1"/>
        </w:numPr>
        <w:tabs>
          <w:tab w:val="clear" w:pos="3427"/>
          <w:tab w:val="num" w:pos="1080"/>
        </w:tabs>
        <w:spacing w:before="0" w:after="0"/>
        <w:ind w:left="1080"/>
      </w:pPr>
      <w:r w:rsidRPr="007E011D">
        <w:t xml:space="preserve">Of the </w:t>
      </w:r>
      <w:r w:rsidR="00892787">
        <w:t>R</w:t>
      </w:r>
      <w:r w:rsidRPr="007E011D">
        <w:t>+</w:t>
      </w:r>
      <w:r w:rsidR="00181922">
        <w:t>2</w:t>
      </w:r>
      <w:r w:rsidRPr="007E011D">
        <w:t xml:space="preserve"> combinations which show </w:t>
      </w:r>
      <w:r w:rsidR="007D1968">
        <w:t>SSR vulnerability</w:t>
      </w:r>
      <w:r w:rsidRPr="007E011D">
        <w:t xml:space="preserve">, study </w:t>
      </w:r>
      <w:r w:rsidR="004631F6">
        <w:t>“</w:t>
      </w:r>
      <w:r w:rsidRPr="007E011D">
        <w:t>R+</w:t>
      </w:r>
      <w:r w:rsidR="00181922">
        <w:t>3</w:t>
      </w:r>
      <w:r w:rsidR="004631F6">
        <w:t>”</w:t>
      </w:r>
      <w:r w:rsidRPr="007E011D">
        <w:t xml:space="preserve"> </w:t>
      </w:r>
      <w:r w:rsidR="00892787">
        <w:t xml:space="preserve">combinations </w:t>
      </w:r>
      <w:r w:rsidRPr="007E011D">
        <w:t xml:space="preserve">(placing a </w:t>
      </w:r>
      <w:r w:rsidR="00181922">
        <w:t>third</w:t>
      </w:r>
      <w:r w:rsidR="00181922" w:rsidRPr="007E011D">
        <w:t xml:space="preserve"> </w:t>
      </w:r>
      <w:r w:rsidRPr="007E011D">
        <w:t>element back in service).</w:t>
      </w:r>
    </w:p>
    <w:p w14:paraId="6F56F44E" w14:textId="685A10D2" w:rsidR="0072727E" w:rsidRDefault="00090BCB" w:rsidP="00181922">
      <w:pPr>
        <w:pStyle w:val="Bulletedlist"/>
        <w:numPr>
          <w:ilvl w:val="2"/>
          <w:numId w:val="1"/>
        </w:numPr>
        <w:tabs>
          <w:tab w:val="clear" w:pos="3427"/>
          <w:tab w:val="num" w:pos="1080"/>
        </w:tabs>
        <w:spacing w:before="0" w:after="0"/>
        <w:ind w:left="1080"/>
      </w:pPr>
      <w:r w:rsidRPr="001A6DC2">
        <w:t>And so forth</w:t>
      </w:r>
      <w:r w:rsidR="004631F6" w:rsidRPr="001A6DC2">
        <w:t xml:space="preserve"> </w:t>
      </w:r>
      <w:r w:rsidR="00D201D7">
        <w:t xml:space="preserve">until no further </w:t>
      </w:r>
      <w:r w:rsidR="00892787">
        <w:t>combinations</w:t>
      </w:r>
      <w:r w:rsidR="00892787" w:rsidRPr="001A6DC2">
        <w:t xml:space="preserve"> </w:t>
      </w:r>
      <w:r w:rsidRPr="001A6DC2">
        <w:t xml:space="preserve">show </w:t>
      </w:r>
      <w:r w:rsidR="007D1968" w:rsidRPr="001A6DC2">
        <w:t>SSR v</w:t>
      </w:r>
      <w:bookmarkStart w:id="11" w:name="_GoBack"/>
      <w:bookmarkEnd w:id="11"/>
      <w:r w:rsidR="007D1968" w:rsidRPr="001A6DC2">
        <w:t>ulnerability with respect to the study criteria</w:t>
      </w:r>
      <w:r w:rsidR="004631F6" w:rsidRPr="001A6DC2">
        <w:t xml:space="preserve"> described</w:t>
      </w:r>
      <w:r w:rsidR="007D1968" w:rsidRPr="001A6DC2">
        <w:t xml:space="preserve"> in </w:t>
      </w:r>
      <w:r w:rsidR="00D201D7">
        <w:t>S</w:t>
      </w:r>
      <w:r w:rsidR="007D1968" w:rsidRPr="001A6DC2">
        <w:t xml:space="preserve">ection </w:t>
      </w:r>
      <w:r w:rsidR="00426FF7">
        <w:t>3</w:t>
      </w:r>
      <w:r w:rsidR="007D1968" w:rsidRPr="001A6DC2">
        <w:t>.</w:t>
      </w:r>
      <w:r w:rsidR="00426FF7">
        <w:t>4</w:t>
      </w:r>
    </w:p>
    <w:p w14:paraId="74A05012" w14:textId="77552398" w:rsidR="00D201D7" w:rsidRPr="007E011D" w:rsidRDefault="0072727E" w:rsidP="00181922">
      <w:pPr>
        <w:pStyle w:val="Bulletedlist"/>
        <w:numPr>
          <w:ilvl w:val="2"/>
          <w:numId w:val="1"/>
        </w:numPr>
        <w:tabs>
          <w:tab w:val="clear" w:pos="3427"/>
          <w:tab w:val="num" w:pos="1080"/>
        </w:tabs>
        <w:spacing w:before="0" w:after="0"/>
        <w:ind w:left="1080"/>
      </w:pPr>
      <w:r>
        <w:t>C</w:t>
      </w:r>
      <w:r w:rsidR="00090BCB">
        <w:t>ontingency set</w:t>
      </w:r>
      <w:r>
        <w:t>s</w:t>
      </w:r>
      <w:r w:rsidR="00090BCB">
        <w:t xml:space="preserve"> that can concurrently </w:t>
      </w:r>
      <w:r w:rsidR="00090BCB" w:rsidRPr="007E011D">
        <w:t xml:space="preserve">place a generating unit radial to multiple series capacitors </w:t>
      </w:r>
      <w:r w:rsidR="00090BCB">
        <w:t xml:space="preserve">should </w:t>
      </w:r>
      <w:r w:rsidR="0049581A">
        <w:t xml:space="preserve">also </w:t>
      </w:r>
      <w:r w:rsidR="00090BCB" w:rsidRPr="007E011D">
        <w:t>be evaluated.</w:t>
      </w:r>
    </w:p>
    <w:p w14:paraId="452CC570" w14:textId="77777777" w:rsidR="00090BCB" w:rsidRDefault="00BA6B9B" w:rsidP="007E7B2D">
      <w:pPr>
        <w:pStyle w:val="Heading2"/>
      </w:pPr>
      <w:bookmarkStart w:id="12" w:name="_Toc54680630"/>
      <w:r>
        <w:t>S</w:t>
      </w:r>
      <w:r w:rsidR="00090BCB">
        <w:t>ensitivities</w:t>
      </w:r>
      <w:bookmarkEnd w:id="12"/>
    </w:p>
    <w:p w14:paraId="619F401D" w14:textId="77777777" w:rsidR="008D46B4" w:rsidRDefault="00F62ADB" w:rsidP="008D46B4">
      <w:pPr>
        <w:pStyle w:val="Bulletedlist"/>
        <w:numPr>
          <w:ilvl w:val="0"/>
          <w:numId w:val="0"/>
        </w:numPr>
      </w:pPr>
      <w:r>
        <w:t xml:space="preserve">The following </w:t>
      </w:r>
      <w:r w:rsidR="00090BCB">
        <w:t xml:space="preserve">sensitivities </w:t>
      </w:r>
      <w:r>
        <w:t xml:space="preserve">should be considered in the study.  </w:t>
      </w:r>
      <w:r w:rsidR="008D46B4">
        <w:t xml:space="preserve">Additional sensitivities </w:t>
      </w:r>
      <w:r w:rsidR="005155C7">
        <w:t>may</w:t>
      </w:r>
      <w:r w:rsidR="008D46B4">
        <w:t xml:space="preserve"> be included if deemed necessary.</w:t>
      </w:r>
    </w:p>
    <w:p w14:paraId="356B7DFD" w14:textId="1D5A12CC" w:rsidR="00090BCB" w:rsidRDefault="00090BCB" w:rsidP="00BA6B9B">
      <w:pPr>
        <w:pStyle w:val="Bulletedlist"/>
        <w:numPr>
          <w:ilvl w:val="2"/>
          <w:numId w:val="1"/>
        </w:numPr>
        <w:tabs>
          <w:tab w:val="clear" w:pos="3427"/>
          <w:tab w:val="num" w:pos="1080"/>
        </w:tabs>
        <w:spacing w:before="0" w:after="0"/>
        <w:ind w:left="1080"/>
      </w:pPr>
      <w:r>
        <w:t>Switched shunt status</w:t>
      </w:r>
    </w:p>
    <w:p w14:paraId="77CD2A80" w14:textId="34DCAD3B" w:rsidR="00090BCB" w:rsidRDefault="00090BCB" w:rsidP="00BA6B9B">
      <w:pPr>
        <w:pStyle w:val="Bulletedlist"/>
        <w:numPr>
          <w:ilvl w:val="2"/>
          <w:numId w:val="1"/>
        </w:numPr>
        <w:tabs>
          <w:tab w:val="clear" w:pos="3427"/>
          <w:tab w:val="num" w:pos="1080"/>
        </w:tabs>
        <w:spacing w:before="0" w:after="0"/>
        <w:ind w:left="1080"/>
      </w:pPr>
      <w:r>
        <w:t>Series capacitor staging/bypass status</w:t>
      </w:r>
      <w:r w:rsidR="009C3940">
        <w:t xml:space="preserve"> when studying synchronous generat</w:t>
      </w:r>
      <w:r w:rsidR="008838C4">
        <w:t>ors</w:t>
      </w:r>
    </w:p>
    <w:p w14:paraId="14E4574E" w14:textId="704CA311" w:rsidR="00090BCB" w:rsidRDefault="00090BCB" w:rsidP="00BA6B9B">
      <w:pPr>
        <w:pStyle w:val="Bulletedlist"/>
        <w:numPr>
          <w:ilvl w:val="2"/>
          <w:numId w:val="1"/>
        </w:numPr>
        <w:tabs>
          <w:tab w:val="clear" w:pos="3427"/>
          <w:tab w:val="num" w:pos="1080"/>
        </w:tabs>
        <w:spacing w:before="0" w:after="0"/>
        <w:ind w:left="1080"/>
      </w:pPr>
      <w:r>
        <w:t>Modeling and status of nearby generators</w:t>
      </w:r>
    </w:p>
    <w:p w14:paraId="0B5CC427" w14:textId="5AFA440B" w:rsidR="002F5738" w:rsidRDefault="00C008EC" w:rsidP="00942FD4">
      <w:pPr>
        <w:pStyle w:val="Bulletedlist"/>
        <w:numPr>
          <w:ilvl w:val="3"/>
          <w:numId w:val="1"/>
        </w:numPr>
        <w:tabs>
          <w:tab w:val="clear" w:pos="4147"/>
        </w:tabs>
        <w:spacing w:before="0" w:after="0"/>
        <w:ind w:left="1530"/>
      </w:pPr>
      <w:r>
        <w:t>Generally r</w:t>
      </w:r>
      <w:r w:rsidR="00942FD4">
        <w:t xml:space="preserve">equired </w:t>
      </w:r>
      <w:r w:rsidR="006633B0">
        <w:t xml:space="preserve">to consider </w:t>
      </w:r>
      <w:r w:rsidR="002F5738">
        <w:t>when</w:t>
      </w:r>
      <w:r w:rsidR="00942FD4">
        <w:t xml:space="preserve"> running time-domain simulations</w:t>
      </w:r>
      <w:r w:rsidR="00DB3E71">
        <w:t xml:space="preserve"> if considered to impact the results</w:t>
      </w:r>
    </w:p>
    <w:p w14:paraId="5C4CEE3F" w14:textId="7F321DC2" w:rsidR="00942FD4" w:rsidRDefault="002F5738" w:rsidP="00942FD4">
      <w:pPr>
        <w:pStyle w:val="Bulletedlist"/>
        <w:numPr>
          <w:ilvl w:val="3"/>
          <w:numId w:val="1"/>
        </w:numPr>
        <w:tabs>
          <w:tab w:val="clear" w:pos="4147"/>
        </w:tabs>
        <w:spacing w:before="0" w:after="0"/>
        <w:ind w:left="1530"/>
      </w:pPr>
      <w:r>
        <w:t xml:space="preserve">Represent using </w:t>
      </w:r>
      <w:r w:rsidR="00DB3E71">
        <w:t xml:space="preserve">detailed </w:t>
      </w:r>
      <w:r>
        <w:t>PSCAD (EMT) models</w:t>
      </w:r>
      <w:r w:rsidR="005D33E1">
        <w:t xml:space="preserve"> </w:t>
      </w:r>
    </w:p>
    <w:p w14:paraId="16F606E8" w14:textId="77777777" w:rsidR="00090BCB" w:rsidRDefault="00090BCB" w:rsidP="00BA6B9B">
      <w:pPr>
        <w:pStyle w:val="Bulletedlist"/>
        <w:numPr>
          <w:ilvl w:val="2"/>
          <w:numId w:val="1"/>
        </w:numPr>
        <w:tabs>
          <w:tab w:val="clear" w:pos="3427"/>
          <w:tab w:val="num" w:pos="1080"/>
        </w:tabs>
        <w:spacing w:before="0" w:after="0"/>
        <w:ind w:left="1080"/>
      </w:pPr>
      <w:r>
        <w:t>Split bus configurations, relaying schemes, or other area-specific concerns as identified by the affected TSP(s) and ERCOT</w:t>
      </w:r>
    </w:p>
    <w:p w14:paraId="7773B544" w14:textId="30F7B96E" w:rsidR="00090BCB" w:rsidRDefault="00090BCB" w:rsidP="00BA6B9B">
      <w:pPr>
        <w:pStyle w:val="Bulletedlist"/>
        <w:numPr>
          <w:ilvl w:val="2"/>
          <w:numId w:val="1"/>
        </w:numPr>
        <w:tabs>
          <w:tab w:val="clear" w:pos="3427"/>
          <w:tab w:val="num" w:pos="1080"/>
        </w:tabs>
        <w:spacing w:before="0" w:after="0"/>
        <w:ind w:left="1080"/>
      </w:pPr>
      <w:r>
        <w:t>Sensitivity of plant dispatch level</w:t>
      </w:r>
      <w:r w:rsidR="00F62ADB" w:rsidRPr="00BA6B9B">
        <w:t xml:space="preserve">, </w:t>
      </w:r>
      <w:r w:rsidR="00CD2044" w:rsidRPr="00BA6B9B">
        <w:t>initial reactive power dispatch</w:t>
      </w:r>
      <w:r w:rsidR="00F62ADB" w:rsidRPr="00BA6B9B">
        <w:t>,</w:t>
      </w:r>
      <w:r w:rsidRPr="00BA6B9B">
        <w:t xml:space="preserve"> and n</w:t>
      </w:r>
      <w:r>
        <w:t>umber of units online</w:t>
      </w:r>
      <w:r w:rsidR="00CA4AFF">
        <w:t>.  For wind and solar and inverter</w:t>
      </w:r>
      <w:r w:rsidR="005333D6">
        <w:t>-</w:t>
      </w:r>
      <w:r w:rsidR="00CA4AFF">
        <w:t>based generation it is specifically recommended:</w:t>
      </w:r>
    </w:p>
    <w:p w14:paraId="6F8312E5" w14:textId="0A39C43E" w:rsidR="009C3940" w:rsidRDefault="009C3940" w:rsidP="00CA4AFF">
      <w:pPr>
        <w:pStyle w:val="Bulletedlist"/>
        <w:numPr>
          <w:ilvl w:val="3"/>
          <w:numId w:val="1"/>
        </w:numPr>
        <w:tabs>
          <w:tab w:val="clear" w:pos="4147"/>
        </w:tabs>
        <w:spacing w:before="0" w:after="0"/>
        <w:ind w:left="1530"/>
      </w:pPr>
      <w:r>
        <w:lastRenderedPageBreak/>
        <w:t>100% units online at 100% dispatch at unity power factor</w:t>
      </w:r>
    </w:p>
    <w:p w14:paraId="25F46686" w14:textId="7475315F" w:rsidR="009C3940" w:rsidRDefault="009C3940" w:rsidP="00CA4AFF">
      <w:pPr>
        <w:pStyle w:val="Bulletedlist"/>
        <w:numPr>
          <w:ilvl w:val="3"/>
          <w:numId w:val="1"/>
        </w:numPr>
        <w:tabs>
          <w:tab w:val="clear" w:pos="4147"/>
        </w:tabs>
        <w:spacing w:before="0" w:after="0"/>
        <w:ind w:left="1530"/>
      </w:pPr>
      <w:r>
        <w:t>100% units online at 10% dispatch, leading power factor at the POI</w:t>
      </w:r>
    </w:p>
    <w:p w14:paraId="676C4F28" w14:textId="0DCCFD27" w:rsidR="009C3940" w:rsidRDefault="009C3940" w:rsidP="00CA4AFF">
      <w:pPr>
        <w:pStyle w:val="Bulletedlist"/>
        <w:numPr>
          <w:ilvl w:val="3"/>
          <w:numId w:val="1"/>
        </w:numPr>
        <w:tabs>
          <w:tab w:val="clear" w:pos="4147"/>
        </w:tabs>
        <w:spacing w:before="0" w:after="0"/>
        <w:ind w:left="1530"/>
      </w:pPr>
      <w:r>
        <w:t>100% units online at 10% dispatch, lagging power factor at the POI</w:t>
      </w:r>
    </w:p>
    <w:p w14:paraId="0C188176" w14:textId="0591D6C6" w:rsidR="009C3940" w:rsidRDefault="009C3940" w:rsidP="00CA4AFF">
      <w:pPr>
        <w:pStyle w:val="Bulletedlist"/>
        <w:numPr>
          <w:ilvl w:val="3"/>
          <w:numId w:val="1"/>
        </w:numPr>
        <w:tabs>
          <w:tab w:val="clear" w:pos="4147"/>
        </w:tabs>
        <w:spacing w:before="0" w:after="0"/>
        <w:ind w:left="1530"/>
      </w:pPr>
      <w:r>
        <w:t>50% units online at 20% dispatch</w:t>
      </w:r>
    </w:p>
    <w:p w14:paraId="0F1DCEC3" w14:textId="765F2279" w:rsidR="009C3940" w:rsidRDefault="009C3940" w:rsidP="00CA4AFF">
      <w:pPr>
        <w:pStyle w:val="Bulletedlist"/>
        <w:numPr>
          <w:ilvl w:val="3"/>
          <w:numId w:val="1"/>
        </w:numPr>
        <w:tabs>
          <w:tab w:val="clear" w:pos="4147"/>
        </w:tabs>
        <w:spacing w:before="0" w:after="0"/>
        <w:ind w:left="1530"/>
      </w:pPr>
      <w:r>
        <w:t xml:space="preserve">For the power factor scenarios, </w:t>
      </w:r>
      <w:r w:rsidR="00CC2F1F">
        <w:t>the plant</w:t>
      </w:r>
      <w:r>
        <w:t xml:space="preserve"> should be initialized close to the </w:t>
      </w:r>
      <w:r w:rsidR="00285DBF">
        <w:t>ERCOT-</w:t>
      </w:r>
      <w:r>
        <w:t xml:space="preserve">obligated 0.95 </w:t>
      </w:r>
      <w:r w:rsidR="007F229B">
        <w:t>pf</w:t>
      </w:r>
      <w:r>
        <w:t xml:space="preserve"> requirement at the POI (</w:t>
      </w:r>
      <w:r w:rsidR="007F229B">
        <w:t>measured w.r.t. the P</w:t>
      </w:r>
      <w:r w:rsidR="007F229B" w:rsidRPr="007F229B">
        <w:rPr>
          <w:vertAlign w:val="subscript"/>
        </w:rPr>
        <w:t>MAX</w:t>
      </w:r>
      <w:r w:rsidR="007F229B">
        <w:t xml:space="preserve"> rating</w:t>
      </w:r>
      <w:r>
        <w:t>)</w:t>
      </w:r>
    </w:p>
    <w:p w14:paraId="2CFDDA61" w14:textId="77777777" w:rsidR="005D7A96" w:rsidRDefault="005D7A96" w:rsidP="00BA6B9B">
      <w:pPr>
        <w:pStyle w:val="Bulletedlist"/>
        <w:numPr>
          <w:ilvl w:val="2"/>
          <w:numId w:val="1"/>
        </w:numPr>
        <w:tabs>
          <w:tab w:val="clear" w:pos="3427"/>
          <w:tab w:val="num" w:pos="1080"/>
        </w:tabs>
        <w:spacing w:before="0" w:after="0"/>
        <w:ind w:left="1080"/>
      </w:pPr>
      <w:r w:rsidRPr="005D7A96">
        <w:t xml:space="preserve">Inadvertent impact of Special Protection Systems(s) or Constraint Management Plans CMP(s) effecting lines or equipment operating at the same voltage as the series capacitors </w:t>
      </w:r>
    </w:p>
    <w:p w14:paraId="1F899837" w14:textId="0EA7E47C" w:rsidR="00AB0367" w:rsidRDefault="007606DE" w:rsidP="00BA6B9B">
      <w:pPr>
        <w:pStyle w:val="Bulletedlist"/>
        <w:numPr>
          <w:ilvl w:val="2"/>
          <w:numId w:val="1"/>
        </w:numPr>
        <w:tabs>
          <w:tab w:val="clear" w:pos="3427"/>
          <w:tab w:val="num" w:pos="1080"/>
        </w:tabs>
        <w:spacing w:before="0" w:after="0"/>
        <w:ind w:left="1080"/>
      </w:pPr>
      <w:r>
        <w:t xml:space="preserve">Specifically for </w:t>
      </w:r>
      <w:r w:rsidR="00AB0367">
        <w:t>Time-Domain (EMT) Simulation:</w:t>
      </w:r>
    </w:p>
    <w:p w14:paraId="3DE8CD78" w14:textId="167EB686" w:rsidR="00AB0367" w:rsidRDefault="00AB0367" w:rsidP="00AB0367">
      <w:pPr>
        <w:pStyle w:val="Bulletedlist"/>
        <w:numPr>
          <w:ilvl w:val="3"/>
          <w:numId w:val="1"/>
        </w:numPr>
        <w:tabs>
          <w:tab w:val="clear" w:pos="4147"/>
        </w:tabs>
        <w:spacing w:before="0" w:after="0"/>
        <w:ind w:left="1530" w:hanging="353"/>
      </w:pPr>
      <w:r>
        <w:t>Both fault and faultless outages</w:t>
      </w:r>
    </w:p>
    <w:p w14:paraId="1F944744" w14:textId="56E79746" w:rsidR="00AB0367" w:rsidRDefault="00AB0367" w:rsidP="00AB0367">
      <w:pPr>
        <w:pStyle w:val="Bulletedlist"/>
        <w:numPr>
          <w:ilvl w:val="3"/>
          <w:numId w:val="1"/>
        </w:numPr>
        <w:tabs>
          <w:tab w:val="clear" w:pos="4147"/>
        </w:tabs>
        <w:spacing w:before="0" w:after="0"/>
        <w:ind w:left="1530" w:hanging="353"/>
      </w:pPr>
      <w:r>
        <w:t>Vary fault location (near series capacitor versus near generator if electrically distant) and fault type (three phase versus single line-to-ground)</w:t>
      </w:r>
    </w:p>
    <w:p w14:paraId="0A333137" w14:textId="61CC3993" w:rsidR="007606DE" w:rsidRDefault="002F5738" w:rsidP="007606DE">
      <w:pPr>
        <w:pStyle w:val="Bulletedlist"/>
        <w:numPr>
          <w:ilvl w:val="3"/>
          <w:numId w:val="1"/>
        </w:numPr>
        <w:tabs>
          <w:tab w:val="clear" w:pos="4147"/>
        </w:tabs>
        <w:spacing w:before="0" w:after="0"/>
        <w:ind w:left="1530"/>
      </w:pPr>
      <w:r>
        <w:t>Account for varying system impedance (system strength), such as varying status of further away synchronous ge</w:t>
      </w:r>
      <w:r w:rsidR="007F229B">
        <w:t>nerators</w:t>
      </w:r>
      <w:r w:rsidR="00285DBF">
        <w:t>, etc.</w:t>
      </w:r>
    </w:p>
    <w:p w14:paraId="17EDC025" w14:textId="6D3BC4FA" w:rsidR="00285DBF" w:rsidRPr="005D7A96" w:rsidRDefault="00285DBF" w:rsidP="007606DE">
      <w:pPr>
        <w:pStyle w:val="Bulletedlist"/>
        <w:numPr>
          <w:ilvl w:val="3"/>
          <w:numId w:val="1"/>
        </w:numPr>
        <w:tabs>
          <w:tab w:val="clear" w:pos="4147"/>
        </w:tabs>
        <w:spacing w:before="0" w:after="0"/>
        <w:ind w:left="1530"/>
      </w:pPr>
      <w:r>
        <w:t>If generator under study trips, it may be necessary to determine whether the tripping is masking an underlying SSR problem.  Rerun the scenario(s) with generator protection disabled, OR, if it is not possible to disable protection, then rerun the scenario(s) with a fictitious MOV/arrestor added to the series capacitor or POI to artificially limit the transient to a level that ensures ride-through.</w:t>
      </w:r>
    </w:p>
    <w:p w14:paraId="21AF8BA3" w14:textId="77777777" w:rsidR="00BA6B9B" w:rsidRDefault="00BA6B9B" w:rsidP="00BA6B9B">
      <w:pPr>
        <w:pStyle w:val="Heading2"/>
      </w:pPr>
      <w:bookmarkStart w:id="13" w:name="_Toc54680631"/>
      <w:r>
        <w:t>Criteria</w:t>
      </w:r>
      <w:bookmarkEnd w:id="13"/>
    </w:p>
    <w:p w14:paraId="668CC23B" w14:textId="77777777" w:rsidR="00BA6B9B" w:rsidRPr="009A7794" w:rsidRDefault="00BA6B9B" w:rsidP="00BA6B9B">
      <w:pPr>
        <w:pStyle w:val="Bulletedlist"/>
        <w:numPr>
          <w:ilvl w:val="1"/>
          <w:numId w:val="1"/>
        </w:numPr>
        <w:tabs>
          <w:tab w:val="clear" w:pos="2707"/>
          <w:tab w:val="num" w:pos="720"/>
        </w:tabs>
        <w:spacing w:before="0" w:after="0"/>
        <w:ind w:left="720" w:hanging="450"/>
        <w:rPr>
          <w:b/>
        </w:rPr>
      </w:pPr>
      <w:r w:rsidRPr="009A7794">
        <w:rPr>
          <w:b/>
        </w:rPr>
        <w:t>IGE / SSCI Criteria</w:t>
      </w:r>
    </w:p>
    <w:p w14:paraId="41043F5B" w14:textId="219391E0" w:rsidR="00BA6B9B" w:rsidRDefault="00BA6B9B" w:rsidP="00BA6B9B">
      <w:pPr>
        <w:pStyle w:val="Bulletedlist"/>
        <w:numPr>
          <w:ilvl w:val="2"/>
          <w:numId w:val="1"/>
        </w:numPr>
        <w:tabs>
          <w:tab w:val="clear" w:pos="3427"/>
          <w:tab w:val="num" w:pos="1080"/>
        </w:tabs>
        <w:spacing w:before="0" w:after="0"/>
        <w:ind w:left="1080"/>
      </w:pPr>
      <w:r>
        <w:t>When considering the total impedance of the generator</w:t>
      </w:r>
      <w:r w:rsidR="00CA4AFF" w:rsidRPr="007E7B2D">
        <w:rPr>
          <w:rStyle w:val="FootnoteReference"/>
        </w:rPr>
        <w:footnoteReference w:id="2"/>
      </w:r>
      <w:r>
        <w:t xml:space="preserve"> and the grid, i</w:t>
      </w:r>
      <w:r w:rsidRPr="009F78CF">
        <w:t xml:space="preserve">f </w:t>
      </w:r>
      <w:r>
        <w:t xml:space="preserve">the total resistance is negative at a </w:t>
      </w:r>
      <w:r w:rsidRPr="009F78CF">
        <w:t xml:space="preserve">reactance </w:t>
      </w:r>
      <w:r>
        <w:t>crossover of</w:t>
      </w:r>
      <w:r w:rsidRPr="009F78CF">
        <w:t xml:space="preserve"> zero ohms</w:t>
      </w:r>
      <w:r>
        <w:t xml:space="preserve"> from negative to positive with increasing frequency,</w:t>
      </w:r>
      <w:r w:rsidRPr="009F78CF">
        <w:t xml:space="preserve"> then the scenario is considered </w:t>
      </w:r>
      <w:r>
        <w:t xml:space="preserve">to have IGE/SSCI vulnerability. </w:t>
      </w:r>
      <w:r w:rsidRPr="009F78CF">
        <w:t xml:space="preserve">Otherwise, the scenario is </w:t>
      </w:r>
      <w:r>
        <w:t xml:space="preserve">not </w:t>
      </w:r>
      <w:r w:rsidRPr="009F78CF">
        <w:t xml:space="preserve">considered </w:t>
      </w:r>
      <w:r>
        <w:t xml:space="preserve">to be of concern. </w:t>
      </w:r>
      <w:r w:rsidRPr="009F78CF">
        <w:t xml:space="preserve">(Note:  </w:t>
      </w:r>
      <w:r>
        <w:t>An e</w:t>
      </w:r>
      <w:r w:rsidRPr="009F78CF">
        <w:t>xtra margin may be necessary.)</w:t>
      </w:r>
    </w:p>
    <w:p w14:paraId="5AFF4B71" w14:textId="77777777" w:rsidR="00BA6B9B" w:rsidRPr="009A7794" w:rsidRDefault="00BA6B9B" w:rsidP="00BA6B9B">
      <w:pPr>
        <w:pStyle w:val="Bulletedlist"/>
        <w:numPr>
          <w:ilvl w:val="1"/>
          <w:numId w:val="1"/>
        </w:numPr>
        <w:tabs>
          <w:tab w:val="clear" w:pos="2707"/>
          <w:tab w:val="num" w:pos="720"/>
        </w:tabs>
        <w:spacing w:before="0" w:after="0"/>
        <w:ind w:left="720" w:hanging="450"/>
        <w:rPr>
          <w:b/>
        </w:rPr>
      </w:pPr>
      <w:r w:rsidRPr="009A7794">
        <w:rPr>
          <w:b/>
        </w:rPr>
        <w:t>Torsional Interaction</w:t>
      </w:r>
      <w:r w:rsidR="00291495" w:rsidRPr="009A7794">
        <w:rPr>
          <w:b/>
        </w:rPr>
        <w:t xml:space="preserve"> (TI)</w:t>
      </w:r>
    </w:p>
    <w:p w14:paraId="0EFE0F89" w14:textId="62111A3B" w:rsidR="00BA6B9B" w:rsidRPr="00291495" w:rsidRDefault="00BA6B9B" w:rsidP="00BA6B9B">
      <w:pPr>
        <w:pStyle w:val="Bulletedlist"/>
        <w:numPr>
          <w:ilvl w:val="2"/>
          <w:numId w:val="1"/>
        </w:numPr>
        <w:tabs>
          <w:tab w:val="clear" w:pos="3427"/>
          <w:tab w:val="num" w:pos="1080"/>
        </w:tabs>
        <w:spacing w:before="0" w:after="0"/>
        <w:ind w:left="1080"/>
      </w:pPr>
      <w:r>
        <w:t xml:space="preserve">The sum of </w:t>
      </w:r>
      <w:r w:rsidR="00291495">
        <w:t xml:space="preserve">electrical damping (De) plus inverse </w:t>
      </w:r>
      <w:r>
        <w:t xml:space="preserve">mechanical damping (Dm) </w:t>
      </w:r>
      <w:r w:rsidR="00291495">
        <w:t xml:space="preserve">resulting in a negative value </w:t>
      </w:r>
      <w:r>
        <w:t xml:space="preserve">indicates </w:t>
      </w:r>
      <w:r w:rsidR="00291495">
        <w:t xml:space="preserve">TI </w:t>
      </w:r>
      <w:r>
        <w:t xml:space="preserve">vulnerability. Considering uncertainties associated with the mechanical </w:t>
      </w:r>
      <w:r w:rsidRPr="00291495">
        <w:t>mode, Dm at +/- 1 Hz of the modal frequency is utilized to compare to De.</w:t>
      </w:r>
    </w:p>
    <w:p w14:paraId="43A6BA4F" w14:textId="77777777" w:rsidR="00BA6B9B" w:rsidRPr="009A7794" w:rsidRDefault="00BA6B9B" w:rsidP="00BA6B9B">
      <w:pPr>
        <w:pStyle w:val="Bulletedlist"/>
        <w:numPr>
          <w:ilvl w:val="1"/>
          <w:numId w:val="1"/>
        </w:numPr>
        <w:tabs>
          <w:tab w:val="clear" w:pos="2707"/>
          <w:tab w:val="num" w:pos="720"/>
        </w:tabs>
        <w:spacing w:before="0" w:after="0"/>
        <w:ind w:left="720" w:hanging="450"/>
        <w:rPr>
          <w:b/>
        </w:rPr>
      </w:pPr>
      <w:r w:rsidRPr="009A7794">
        <w:rPr>
          <w:b/>
        </w:rPr>
        <w:t>Torque Amplification</w:t>
      </w:r>
      <w:r w:rsidR="00291495" w:rsidRPr="009A7794">
        <w:rPr>
          <w:b/>
        </w:rPr>
        <w:t xml:space="preserve"> (TA)</w:t>
      </w:r>
    </w:p>
    <w:p w14:paraId="6E4643BC" w14:textId="04B0D031" w:rsidR="00BA6B9B" w:rsidRDefault="00BA6B9B" w:rsidP="00BA6B9B">
      <w:pPr>
        <w:pStyle w:val="Bulletedlist"/>
        <w:numPr>
          <w:ilvl w:val="2"/>
          <w:numId w:val="1"/>
        </w:numPr>
        <w:tabs>
          <w:tab w:val="clear" w:pos="3427"/>
          <w:tab w:val="num" w:pos="1080"/>
        </w:tabs>
        <w:spacing w:before="0" w:after="0"/>
        <w:ind w:left="1080"/>
      </w:pPr>
      <w:r>
        <w:t xml:space="preserve">Frequency Scan:  When considering the total impedance of the generator and the system, a 5% reactance dip occurring within a +/- 3 Hz complement of the modal frequency indicates </w:t>
      </w:r>
      <w:r w:rsidR="001936BC">
        <w:t xml:space="preserve">a potential </w:t>
      </w:r>
      <w:r>
        <w:t>TA vulnerability.</w:t>
      </w:r>
    </w:p>
    <w:p w14:paraId="18A177BD" w14:textId="62443DA0" w:rsidR="00BA6B9B" w:rsidRDefault="00BA6B9B" w:rsidP="00BA6B9B">
      <w:pPr>
        <w:pStyle w:val="Bulletedlist"/>
        <w:numPr>
          <w:ilvl w:val="2"/>
          <w:numId w:val="1"/>
        </w:numPr>
        <w:tabs>
          <w:tab w:val="clear" w:pos="3427"/>
          <w:tab w:val="num" w:pos="1080"/>
        </w:tabs>
        <w:spacing w:before="0" w:after="0"/>
        <w:ind w:left="1080"/>
      </w:pPr>
      <w:r w:rsidRPr="00317005">
        <w:t>Detailed Analysis</w:t>
      </w:r>
      <w:r w:rsidRPr="00291495">
        <w:t xml:space="preserve">:  Acceptable </w:t>
      </w:r>
      <w:r w:rsidR="006504E2">
        <w:t>Fatigue Life Expenditure (</w:t>
      </w:r>
      <w:r w:rsidRPr="00291495">
        <w:t>FLE</w:t>
      </w:r>
      <w:r w:rsidR="006504E2">
        <w:t>)</w:t>
      </w:r>
      <w:r w:rsidRPr="00291495">
        <w:t xml:space="preserve"> criterion is less than 50%. </w:t>
      </w:r>
    </w:p>
    <w:p w14:paraId="4CDCCB48" w14:textId="0C999410" w:rsidR="006633B0" w:rsidRPr="00285DBF" w:rsidRDefault="006633B0" w:rsidP="006633B0">
      <w:pPr>
        <w:pStyle w:val="Bulletedlist"/>
        <w:numPr>
          <w:ilvl w:val="1"/>
          <w:numId w:val="1"/>
        </w:numPr>
        <w:tabs>
          <w:tab w:val="clear" w:pos="2707"/>
        </w:tabs>
        <w:spacing w:before="0" w:after="0"/>
        <w:ind w:left="720"/>
        <w:rPr>
          <w:b/>
        </w:rPr>
      </w:pPr>
      <w:r w:rsidRPr="00285DBF">
        <w:rPr>
          <w:b/>
        </w:rPr>
        <w:t>Time Domain Simulation (EMT)</w:t>
      </w:r>
    </w:p>
    <w:p w14:paraId="1937CBFE" w14:textId="55C4F557" w:rsidR="006633B0" w:rsidRDefault="00AB0367" w:rsidP="006633B0">
      <w:pPr>
        <w:pStyle w:val="Bulletedlist"/>
        <w:numPr>
          <w:ilvl w:val="2"/>
          <w:numId w:val="1"/>
        </w:numPr>
        <w:tabs>
          <w:tab w:val="clear" w:pos="3427"/>
        </w:tabs>
        <w:spacing w:before="0" w:after="0"/>
        <w:ind w:left="1080"/>
      </w:pPr>
      <w:r>
        <w:t>Expectation Project remains online per ERCOT Voltage Ride Through requirements</w:t>
      </w:r>
    </w:p>
    <w:p w14:paraId="76281994" w14:textId="7A7137F7" w:rsidR="00AB0367" w:rsidRPr="00291495" w:rsidRDefault="00AB0367" w:rsidP="00DB3E71">
      <w:pPr>
        <w:pStyle w:val="Bulletedlist"/>
        <w:numPr>
          <w:ilvl w:val="2"/>
          <w:numId w:val="1"/>
        </w:numPr>
        <w:tabs>
          <w:tab w:val="clear" w:pos="3427"/>
        </w:tabs>
        <w:spacing w:before="0" w:after="0"/>
        <w:ind w:left="1080"/>
      </w:pPr>
      <w:r>
        <w:t>Response should be well-damped with expected real and reactive output</w:t>
      </w:r>
      <w:r w:rsidR="00DB3E71">
        <w:t>.</w:t>
      </w:r>
    </w:p>
    <w:p w14:paraId="057B4BA1" w14:textId="77777777" w:rsidR="00026126" w:rsidRDefault="00026126">
      <w:pPr>
        <w:spacing w:after="0" w:line="240" w:lineRule="auto"/>
        <w:rPr>
          <w:rFonts w:ascii="Arial" w:hAnsi="Arial"/>
          <w:b/>
          <w:sz w:val="24"/>
        </w:rPr>
      </w:pPr>
      <w:r>
        <w:br w:type="page"/>
      </w:r>
    </w:p>
    <w:p w14:paraId="66111B47" w14:textId="77777777" w:rsidR="00D933C6" w:rsidRDefault="00D933C6" w:rsidP="00BA6B9B">
      <w:pPr>
        <w:pStyle w:val="Heading1"/>
      </w:pPr>
      <w:bookmarkStart w:id="14" w:name="_Toc54680632"/>
      <w:r>
        <w:lastRenderedPageBreak/>
        <w:t>Modeling Requirements</w:t>
      </w:r>
      <w:bookmarkEnd w:id="14"/>
    </w:p>
    <w:p w14:paraId="3950710C" w14:textId="77777777" w:rsidR="00D933C6" w:rsidRDefault="00D933C6" w:rsidP="00BA6B9B">
      <w:pPr>
        <w:pStyle w:val="Bulletedlist"/>
        <w:numPr>
          <w:ilvl w:val="1"/>
          <w:numId w:val="1"/>
        </w:numPr>
        <w:tabs>
          <w:tab w:val="clear" w:pos="2707"/>
          <w:tab w:val="num" w:pos="720"/>
        </w:tabs>
        <w:spacing w:before="0" w:after="0"/>
        <w:ind w:left="720" w:hanging="450"/>
      </w:pPr>
      <w:r>
        <w:t>Provided by TSP</w:t>
      </w:r>
    </w:p>
    <w:p w14:paraId="5E0DB5AB" w14:textId="55C6C171" w:rsidR="00D933C6" w:rsidRDefault="00D933C6" w:rsidP="00BA6B9B">
      <w:pPr>
        <w:pStyle w:val="Bulletedlist"/>
        <w:numPr>
          <w:ilvl w:val="2"/>
          <w:numId w:val="1"/>
        </w:numPr>
        <w:tabs>
          <w:tab w:val="clear" w:pos="3427"/>
          <w:tab w:val="num" w:pos="1080"/>
        </w:tabs>
        <w:spacing w:before="0" w:after="0"/>
        <w:ind w:left="1080"/>
      </w:pPr>
      <w:r>
        <w:t xml:space="preserve">If applicable, </w:t>
      </w:r>
      <w:r w:rsidRPr="00C80178">
        <w:t xml:space="preserve">information regarding series capacitor protection and </w:t>
      </w:r>
      <w:r>
        <w:t>metal oxide varistor (</w:t>
      </w:r>
      <w:r w:rsidRPr="00C80178">
        <w:t>MOV</w:t>
      </w:r>
      <w:r>
        <w:t>)</w:t>
      </w:r>
      <w:r w:rsidRPr="00C80178">
        <w:t xml:space="preserve"> circuits</w:t>
      </w:r>
      <w:r w:rsidR="00CC2F1F">
        <w:t xml:space="preserve"> and nearby </w:t>
      </w:r>
      <w:r w:rsidR="004A35BE">
        <w:t xml:space="preserve">transmission </w:t>
      </w:r>
      <w:r w:rsidR="00CC2F1F">
        <w:t>station overvoltage arrestor ratings (recommended when studying interconnections close to series capacitors)</w:t>
      </w:r>
      <w:r>
        <w:t xml:space="preserve"> </w:t>
      </w:r>
    </w:p>
    <w:p w14:paraId="4EFF58EE" w14:textId="77777777" w:rsidR="00D933C6" w:rsidRDefault="00D933C6" w:rsidP="00BA6B9B">
      <w:pPr>
        <w:pStyle w:val="Bulletedlist"/>
        <w:numPr>
          <w:ilvl w:val="2"/>
          <w:numId w:val="1"/>
        </w:numPr>
        <w:tabs>
          <w:tab w:val="clear" w:pos="3427"/>
          <w:tab w:val="num" w:pos="1080"/>
        </w:tabs>
        <w:spacing w:before="0" w:after="0"/>
        <w:ind w:left="1080"/>
      </w:pPr>
      <w:r>
        <w:t>Station one-lines, information regarding split bus configurations, stuck breaker contingencies, and bus faults.</w:t>
      </w:r>
    </w:p>
    <w:p w14:paraId="35038D4F" w14:textId="77777777" w:rsidR="005C297C" w:rsidRDefault="005C297C" w:rsidP="00BA6B9B">
      <w:pPr>
        <w:pStyle w:val="Bulletedlist"/>
        <w:numPr>
          <w:ilvl w:val="2"/>
          <w:numId w:val="1"/>
        </w:numPr>
        <w:tabs>
          <w:tab w:val="clear" w:pos="3427"/>
          <w:tab w:val="num" w:pos="1080"/>
        </w:tabs>
        <w:spacing w:before="0" w:after="0"/>
        <w:ind w:left="1080"/>
      </w:pPr>
      <w:r>
        <w:t>Contingency conditions to be evaluated for each series capacitor under study.</w:t>
      </w:r>
    </w:p>
    <w:p w14:paraId="6450EA49" w14:textId="77777777" w:rsidR="00D933C6" w:rsidRDefault="00D933C6" w:rsidP="00BA6B9B">
      <w:pPr>
        <w:pStyle w:val="Bulletedlist"/>
        <w:numPr>
          <w:ilvl w:val="1"/>
          <w:numId w:val="1"/>
        </w:numPr>
        <w:tabs>
          <w:tab w:val="clear" w:pos="2707"/>
          <w:tab w:val="num" w:pos="720"/>
        </w:tabs>
        <w:spacing w:before="0" w:after="0"/>
        <w:ind w:left="720" w:hanging="450"/>
      </w:pPr>
      <w:r>
        <w:t>Provided by Interconnecting Entity (IE) or Resource Entity (RE)</w:t>
      </w:r>
    </w:p>
    <w:p w14:paraId="0F38E384" w14:textId="77777777" w:rsidR="00D933C6" w:rsidRDefault="00D933C6" w:rsidP="00BA6B9B">
      <w:pPr>
        <w:pStyle w:val="Bulletedlist"/>
        <w:numPr>
          <w:ilvl w:val="2"/>
          <w:numId w:val="1"/>
        </w:numPr>
        <w:tabs>
          <w:tab w:val="clear" w:pos="3427"/>
          <w:tab w:val="num" w:pos="1080"/>
        </w:tabs>
        <w:spacing w:before="0" w:after="0"/>
        <w:ind w:left="1080"/>
      </w:pPr>
      <w:r>
        <w:t>Conventional Generators</w:t>
      </w:r>
    </w:p>
    <w:p w14:paraId="147CEF23" w14:textId="77777777" w:rsidR="00D933C6" w:rsidRPr="00D933C6" w:rsidRDefault="00D933C6" w:rsidP="00BA6B9B">
      <w:pPr>
        <w:pStyle w:val="Bulletedlist"/>
        <w:numPr>
          <w:ilvl w:val="3"/>
          <w:numId w:val="1"/>
        </w:numPr>
        <w:tabs>
          <w:tab w:val="clear" w:pos="4147"/>
          <w:tab w:val="num" w:pos="1530"/>
        </w:tabs>
        <w:spacing w:before="0" w:after="0"/>
        <w:ind w:left="1530" w:hanging="450"/>
      </w:pPr>
      <w:r w:rsidRPr="00D933C6">
        <w:t>Mechanical Data as required by SSR tab in RARF</w:t>
      </w:r>
    </w:p>
    <w:p w14:paraId="17EEBD53" w14:textId="77777777" w:rsidR="00D933C6" w:rsidRPr="00D933C6" w:rsidRDefault="00D933C6" w:rsidP="00BA6B9B">
      <w:pPr>
        <w:pStyle w:val="Bulletedlist"/>
        <w:numPr>
          <w:ilvl w:val="3"/>
          <w:numId w:val="1"/>
        </w:numPr>
        <w:tabs>
          <w:tab w:val="clear" w:pos="4147"/>
          <w:tab w:val="num" w:pos="1530"/>
        </w:tabs>
        <w:spacing w:before="0" w:after="0"/>
        <w:ind w:left="1530" w:hanging="450"/>
      </w:pPr>
      <w:r w:rsidRPr="00D933C6">
        <w:t>Generator electrical dynamic data</w:t>
      </w:r>
    </w:p>
    <w:p w14:paraId="3CE1E80D" w14:textId="77777777" w:rsidR="00D933C6" w:rsidRPr="00D933C6" w:rsidRDefault="00D933C6" w:rsidP="00BA6B9B">
      <w:pPr>
        <w:pStyle w:val="Bulletedlist"/>
        <w:numPr>
          <w:ilvl w:val="3"/>
          <w:numId w:val="1"/>
        </w:numPr>
        <w:tabs>
          <w:tab w:val="clear" w:pos="4147"/>
          <w:tab w:val="num" w:pos="1530"/>
        </w:tabs>
        <w:spacing w:before="0" w:after="0"/>
        <w:ind w:left="1530" w:hanging="450"/>
      </w:pPr>
      <w:r w:rsidRPr="00D933C6">
        <w:t>If applicable, plant load data and load ratios (PQ, motor, etc.)</w:t>
      </w:r>
    </w:p>
    <w:p w14:paraId="41901ED4" w14:textId="77777777" w:rsidR="00D933C6" w:rsidRPr="00D933C6" w:rsidRDefault="00D933C6" w:rsidP="00BA6B9B">
      <w:pPr>
        <w:pStyle w:val="Bulletedlist"/>
        <w:numPr>
          <w:ilvl w:val="3"/>
          <w:numId w:val="1"/>
        </w:numPr>
        <w:tabs>
          <w:tab w:val="clear" w:pos="4147"/>
          <w:tab w:val="num" w:pos="1530"/>
        </w:tabs>
        <w:spacing w:before="0" w:after="0"/>
        <w:ind w:left="1530" w:hanging="450"/>
      </w:pPr>
      <w:r w:rsidRPr="00D933C6">
        <w:t>If applicable, shaft fatigue life expenditure curves (FLE curves)</w:t>
      </w:r>
    </w:p>
    <w:p w14:paraId="50FB7844" w14:textId="5009375D" w:rsidR="00D933C6" w:rsidRDefault="007F229B" w:rsidP="00BA6B9B">
      <w:pPr>
        <w:pStyle w:val="Bulletedlist"/>
        <w:numPr>
          <w:ilvl w:val="2"/>
          <w:numId w:val="1"/>
        </w:numPr>
        <w:tabs>
          <w:tab w:val="clear" w:pos="3427"/>
          <w:tab w:val="num" w:pos="1080"/>
        </w:tabs>
        <w:spacing w:before="0" w:after="0"/>
        <w:ind w:left="1080"/>
      </w:pPr>
      <w:r>
        <w:t>Inverter Based Resources (IBRs) including Wind, Solar, Battery</w:t>
      </w:r>
    </w:p>
    <w:p w14:paraId="5A41ACF5" w14:textId="77777777" w:rsidR="005C297C" w:rsidRPr="00C80178" w:rsidRDefault="005C297C" w:rsidP="00BA6B9B">
      <w:pPr>
        <w:pStyle w:val="Bulletedlist"/>
        <w:numPr>
          <w:ilvl w:val="3"/>
          <w:numId w:val="1"/>
        </w:numPr>
        <w:tabs>
          <w:tab w:val="clear" w:pos="4147"/>
          <w:tab w:val="num" w:pos="1530"/>
        </w:tabs>
        <w:spacing w:before="0" w:after="0"/>
        <w:ind w:left="1530" w:hanging="450"/>
      </w:pPr>
      <w:r>
        <w:t>Collection system details</w:t>
      </w:r>
    </w:p>
    <w:p w14:paraId="24950E32" w14:textId="77777777" w:rsidR="00D933C6" w:rsidRPr="00C80178" w:rsidRDefault="00D933C6" w:rsidP="00BA6B9B">
      <w:pPr>
        <w:pStyle w:val="Bulletedlist"/>
        <w:numPr>
          <w:ilvl w:val="3"/>
          <w:numId w:val="1"/>
        </w:numPr>
        <w:tabs>
          <w:tab w:val="clear" w:pos="4147"/>
          <w:tab w:val="num" w:pos="1530"/>
        </w:tabs>
        <w:spacing w:before="0" w:after="0"/>
        <w:ind w:left="1530" w:hanging="450"/>
      </w:pPr>
      <w:r w:rsidRPr="00C80178">
        <w:t xml:space="preserve">Number and type of turbines or inverters </w:t>
      </w:r>
    </w:p>
    <w:p w14:paraId="054E49D1" w14:textId="77777777" w:rsidR="00D933C6" w:rsidRDefault="00D933C6" w:rsidP="00BA6B9B">
      <w:pPr>
        <w:pStyle w:val="Bulletedlist"/>
        <w:numPr>
          <w:ilvl w:val="3"/>
          <w:numId w:val="1"/>
        </w:numPr>
        <w:tabs>
          <w:tab w:val="clear" w:pos="4147"/>
          <w:tab w:val="num" w:pos="1530"/>
        </w:tabs>
        <w:spacing w:before="0" w:after="0"/>
        <w:ind w:left="1530" w:hanging="450"/>
      </w:pPr>
      <w:r>
        <w:t xml:space="preserve">Supplemental reactive equipment, e.g., </w:t>
      </w:r>
      <w:r w:rsidRPr="00C80178">
        <w:t>switchable shunts, STATCOMs, and SVCs</w:t>
      </w:r>
    </w:p>
    <w:p w14:paraId="7084DF77" w14:textId="57A994BF" w:rsidR="00D933C6" w:rsidRDefault="00D933C6" w:rsidP="00BA6B9B">
      <w:pPr>
        <w:pStyle w:val="Bulletedlist"/>
        <w:numPr>
          <w:ilvl w:val="3"/>
          <w:numId w:val="1"/>
        </w:numPr>
        <w:tabs>
          <w:tab w:val="clear" w:pos="4147"/>
          <w:tab w:val="num" w:pos="1530"/>
        </w:tabs>
        <w:spacing w:before="0" w:after="0"/>
        <w:ind w:left="1530" w:hanging="450"/>
      </w:pPr>
      <w:r w:rsidRPr="00C80178">
        <w:t>EMT models of turbines/inverters</w:t>
      </w:r>
    </w:p>
    <w:p w14:paraId="347DD7AF" w14:textId="77777777" w:rsidR="00955A68" w:rsidRDefault="00955A68" w:rsidP="00BA6B9B">
      <w:pPr>
        <w:pStyle w:val="Bulletedlist"/>
        <w:numPr>
          <w:ilvl w:val="1"/>
          <w:numId w:val="1"/>
        </w:numPr>
        <w:tabs>
          <w:tab w:val="clear" w:pos="2707"/>
          <w:tab w:val="num" w:pos="720"/>
        </w:tabs>
        <w:spacing w:before="0" w:after="0"/>
        <w:ind w:left="720" w:hanging="450"/>
      </w:pPr>
      <w:r>
        <w:t>Provided by ERCOT</w:t>
      </w:r>
    </w:p>
    <w:p w14:paraId="5AC82D5D" w14:textId="77777777" w:rsidR="00D933C6" w:rsidRDefault="00955A68" w:rsidP="00BA6B9B">
      <w:pPr>
        <w:pStyle w:val="Bulletedlist"/>
        <w:numPr>
          <w:ilvl w:val="2"/>
          <w:numId w:val="1"/>
        </w:numPr>
        <w:tabs>
          <w:tab w:val="clear" w:pos="3427"/>
          <w:tab w:val="num" w:pos="1080"/>
        </w:tabs>
        <w:spacing w:before="0" w:after="0"/>
        <w:ind w:left="1080"/>
      </w:pPr>
      <w:r>
        <w:t>Review contingencies to be studied and any additional conditions to be evaluated</w:t>
      </w:r>
      <w:r w:rsidR="00727D0B">
        <w:t>.</w:t>
      </w:r>
    </w:p>
    <w:p w14:paraId="4C812BFD" w14:textId="77777777" w:rsidR="001D3405" w:rsidRPr="00727D0B" w:rsidRDefault="001D3405" w:rsidP="001D3405">
      <w:pPr>
        <w:pStyle w:val="Heading1"/>
      </w:pPr>
      <w:bookmarkStart w:id="15" w:name="_Toc54680633"/>
      <w:r>
        <w:t>SSR Countermeasures</w:t>
      </w:r>
      <w:bookmarkEnd w:id="15"/>
    </w:p>
    <w:p w14:paraId="128175A2" w14:textId="0E2F9EE0" w:rsidR="001D3405" w:rsidRDefault="001D3405" w:rsidP="001D3405">
      <w:r>
        <w:t>Where required by the ERCOT specified SSR countermeasure requirement criteria, a follow-up study may be required to demonstrate the effectiveness of the proposed mitigation and/or protection options.</w:t>
      </w:r>
    </w:p>
    <w:p w14:paraId="0B8A90D6" w14:textId="77777777" w:rsidR="00181922" w:rsidRDefault="00181922" w:rsidP="00F26B91">
      <w:pPr>
        <w:pStyle w:val="Heading1"/>
      </w:pPr>
      <w:bookmarkStart w:id="16" w:name="_Toc54680634"/>
      <w:r>
        <w:t>Deliverables</w:t>
      </w:r>
      <w:bookmarkEnd w:id="16"/>
    </w:p>
    <w:p w14:paraId="5DE31212" w14:textId="6F700182" w:rsidR="00181922" w:rsidRDefault="00181922" w:rsidP="00F26B91">
      <w:pPr>
        <w:pStyle w:val="NoSpacing"/>
      </w:pPr>
      <w:r>
        <w:t>SSR stud</w:t>
      </w:r>
      <w:r w:rsidR="001376C9">
        <w:t>y report</w:t>
      </w:r>
      <w:r>
        <w:t xml:space="preserve"> should include the following</w:t>
      </w:r>
      <w:r w:rsidR="002B7360">
        <w:t xml:space="preserve"> if applicable</w:t>
      </w:r>
      <w:r>
        <w:t>:</w:t>
      </w:r>
    </w:p>
    <w:p w14:paraId="6B391C72" w14:textId="4875DB1B" w:rsidR="00797096" w:rsidRDefault="00797096" w:rsidP="00F26B91">
      <w:pPr>
        <w:pStyle w:val="NoSpacing"/>
        <w:numPr>
          <w:ilvl w:val="0"/>
          <w:numId w:val="13"/>
        </w:numPr>
      </w:pPr>
      <w:r>
        <w:t>Generator size, MVA base, and technology type (e.g. combined cycle, wind, etc</w:t>
      </w:r>
      <w:r w:rsidR="00D57321">
        <w:t>.</w:t>
      </w:r>
      <w:r>
        <w:t>)</w:t>
      </w:r>
      <w:r w:rsidR="008838C4">
        <w:t xml:space="preserve">.  For </w:t>
      </w:r>
      <w:r w:rsidR="00082DCE">
        <w:t>IBRs</w:t>
      </w:r>
      <w:r w:rsidR="008838C4">
        <w:t xml:space="preserve">, identify the </w:t>
      </w:r>
      <w:r w:rsidR="00CC2F1F">
        <w:t>inverter or turbine name</w:t>
      </w:r>
    </w:p>
    <w:p w14:paraId="09052E70" w14:textId="39133765" w:rsidR="001A1423" w:rsidRDefault="001A1423" w:rsidP="00F26B91">
      <w:pPr>
        <w:pStyle w:val="NoSpacing"/>
        <w:numPr>
          <w:ilvl w:val="0"/>
          <w:numId w:val="13"/>
        </w:numPr>
      </w:pPr>
      <w:r>
        <w:t xml:space="preserve">Table of spring-mass data </w:t>
      </w:r>
      <w:r w:rsidR="00797096">
        <w:t xml:space="preserve">and assumed damping </w:t>
      </w:r>
      <w:r>
        <w:t>for conventional</w:t>
      </w:r>
      <w:r w:rsidR="000A79E6">
        <w:t xml:space="preserve"> resources</w:t>
      </w:r>
    </w:p>
    <w:p w14:paraId="44850D07" w14:textId="6C637745" w:rsidR="00285DBF" w:rsidRDefault="008838C4" w:rsidP="00F26B91">
      <w:pPr>
        <w:pStyle w:val="NoSpacing"/>
        <w:numPr>
          <w:ilvl w:val="0"/>
          <w:numId w:val="13"/>
        </w:numPr>
      </w:pPr>
      <w:r>
        <w:t>PSCAD model filename and file date</w:t>
      </w:r>
      <w:r w:rsidR="00285DBF">
        <w:t xml:space="preserve"> for IBRs</w:t>
      </w:r>
    </w:p>
    <w:p w14:paraId="26D33D41" w14:textId="36842B75" w:rsidR="00797096" w:rsidRDefault="00285DBF" w:rsidP="00F26B91">
      <w:pPr>
        <w:pStyle w:val="NoSpacing"/>
        <w:numPr>
          <w:ilvl w:val="0"/>
          <w:numId w:val="13"/>
        </w:numPr>
      </w:pPr>
      <w:r>
        <w:t>Screenshot of PSCAD model parameter settings for IBRs</w:t>
      </w:r>
    </w:p>
    <w:p w14:paraId="10E1B3CB" w14:textId="7882DBE8" w:rsidR="00181922" w:rsidRDefault="006504E2" w:rsidP="00F26B91">
      <w:pPr>
        <w:pStyle w:val="NoSpacing"/>
        <w:numPr>
          <w:ilvl w:val="0"/>
          <w:numId w:val="13"/>
        </w:numPr>
      </w:pPr>
      <w:r>
        <w:t>I</w:t>
      </w:r>
      <w:r w:rsidR="00181922">
        <w:t>dentify series capacitors an</w:t>
      </w:r>
      <w:r w:rsidR="00797096">
        <w:t>d contingencies being evaluated</w:t>
      </w:r>
    </w:p>
    <w:p w14:paraId="3DBB29AB" w14:textId="77777777" w:rsidR="00797096" w:rsidRDefault="00797096" w:rsidP="00F26B91">
      <w:pPr>
        <w:pStyle w:val="NoSpacing"/>
        <w:numPr>
          <w:ilvl w:val="0"/>
          <w:numId w:val="13"/>
        </w:numPr>
      </w:pPr>
      <w:r>
        <w:t>Identify point from which scans are conducted (e.g. POI, low side of GSU, etc)</w:t>
      </w:r>
    </w:p>
    <w:p w14:paraId="503A646E" w14:textId="77777777" w:rsidR="00181922" w:rsidRDefault="00181922" w:rsidP="00F26B91">
      <w:pPr>
        <w:pStyle w:val="NoSpacing"/>
        <w:numPr>
          <w:ilvl w:val="0"/>
          <w:numId w:val="13"/>
        </w:numPr>
      </w:pPr>
      <w:r>
        <w:t>Tables</w:t>
      </w:r>
      <w:r w:rsidR="00797096">
        <w:t xml:space="preserve"> of results</w:t>
      </w:r>
      <w:r>
        <w:t xml:space="preserve"> showing whether certain combinations of contingencies and / or sensitiviti</w:t>
      </w:r>
      <w:r w:rsidR="00797096">
        <w:t>es are vulnerable</w:t>
      </w:r>
    </w:p>
    <w:p w14:paraId="0562EC0B" w14:textId="1734509E" w:rsidR="00181922" w:rsidRDefault="00285DBF" w:rsidP="00F26B91">
      <w:pPr>
        <w:pStyle w:val="NoSpacing"/>
        <w:numPr>
          <w:ilvl w:val="0"/>
          <w:numId w:val="13"/>
        </w:numPr>
      </w:pPr>
      <w:r>
        <w:t>For IB</w:t>
      </w:r>
      <w:r w:rsidR="001A1423">
        <w:t>Rs, table of generator-side frequency scan impedances</w:t>
      </w:r>
      <w:r w:rsidR="001376C9">
        <w:t>, if available</w:t>
      </w:r>
    </w:p>
    <w:p w14:paraId="3F06255B" w14:textId="77777777" w:rsidR="001A1423" w:rsidRDefault="00797096" w:rsidP="00F26B91">
      <w:pPr>
        <w:pStyle w:val="NoSpacing"/>
        <w:numPr>
          <w:ilvl w:val="0"/>
          <w:numId w:val="13"/>
        </w:numPr>
      </w:pPr>
      <w:r>
        <w:t>Damping plots for conventional plants</w:t>
      </w:r>
    </w:p>
    <w:p w14:paraId="2DD7AFB7" w14:textId="0AAE0763" w:rsidR="007606DE" w:rsidRDefault="007606DE" w:rsidP="00F26B91">
      <w:pPr>
        <w:pStyle w:val="NoSpacing"/>
        <w:numPr>
          <w:ilvl w:val="0"/>
          <w:numId w:val="13"/>
        </w:numPr>
      </w:pPr>
      <w:r>
        <w:t>Plots of voltage across series capacitor(s) for Time-Domain simulations</w:t>
      </w:r>
    </w:p>
    <w:p w14:paraId="4D056962" w14:textId="34B409D3" w:rsidR="00285DBF" w:rsidRDefault="00285DBF" w:rsidP="00F26B91">
      <w:pPr>
        <w:pStyle w:val="NoSpacing"/>
        <w:numPr>
          <w:ilvl w:val="0"/>
          <w:numId w:val="13"/>
        </w:numPr>
      </w:pPr>
      <w:r>
        <w:t>Plots of POI voltage (RMS and instantaneous) for Time-Domain simulations</w:t>
      </w:r>
    </w:p>
    <w:p w14:paraId="515E0BD3" w14:textId="544BE8E3" w:rsidR="007606DE" w:rsidRDefault="00DB3E71" w:rsidP="00F26B91">
      <w:pPr>
        <w:pStyle w:val="NoSpacing"/>
        <w:numPr>
          <w:ilvl w:val="0"/>
          <w:numId w:val="13"/>
        </w:numPr>
      </w:pPr>
      <w:r>
        <w:t>Request to provide</w:t>
      </w:r>
      <w:r w:rsidR="00C008EC">
        <w:t xml:space="preserve"> </w:t>
      </w:r>
      <w:r w:rsidR="007606DE">
        <w:t>PSCAD study case if time-domain simulations were run</w:t>
      </w:r>
    </w:p>
    <w:p w14:paraId="4DE3DB97" w14:textId="5FEFE1EE" w:rsidR="00394627" w:rsidRDefault="00E27F75" w:rsidP="00394627">
      <w:pPr>
        <w:pStyle w:val="NoSpacing"/>
        <w:numPr>
          <w:ilvl w:val="0"/>
          <w:numId w:val="13"/>
        </w:numPr>
      </w:pPr>
      <w:r>
        <w:lastRenderedPageBreak/>
        <w:t>Table</w:t>
      </w:r>
      <w:r w:rsidR="00394627">
        <w:t xml:space="preserve"> of generator-side frequency scan (R,X versus frequency)</w:t>
      </w:r>
    </w:p>
    <w:p w14:paraId="2C5C962C" w14:textId="41B42F53" w:rsidR="00E27F75" w:rsidRDefault="00DB3E71" w:rsidP="00DB3E71">
      <w:pPr>
        <w:pStyle w:val="NoSpacing"/>
        <w:numPr>
          <w:ilvl w:val="1"/>
          <w:numId w:val="13"/>
        </w:numPr>
      </w:pPr>
      <w:r>
        <w:t>For convenience, a t</w:t>
      </w:r>
      <w:r w:rsidR="00E27F75">
        <w:t>emplate fo</w:t>
      </w:r>
      <w:r>
        <w:t>r Generator-Side Frequency Scan is provided:</w:t>
      </w:r>
      <w:r w:rsidR="00E27F75">
        <w:br/>
      </w:r>
      <w:bookmarkStart w:id="17" w:name="_MON_1582969168"/>
      <w:bookmarkEnd w:id="17"/>
      <w:r w:rsidR="003806BF">
        <w:object w:dxaOrig="1550" w:dyaOrig="991" w14:anchorId="7B4C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665300894" r:id="rId15"/>
        </w:object>
      </w:r>
    </w:p>
    <w:p w14:paraId="01E7B5E4" w14:textId="77777777" w:rsidR="00394627" w:rsidRDefault="00394627" w:rsidP="00394627">
      <w:pPr>
        <w:pStyle w:val="Bulletedlist"/>
        <w:numPr>
          <w:ilvl w:val="0"/>
          <w:numId w:val="0"/>
        </w:numPr>
        <w:spacing w:before="0" w:after="0"/>
        <w:ind w:hanging="7"/>
      </w:pPr>
    </w:p>
    <w:p w14:paraId="2AA7C92F" w14:textId="77777777" w:rsidR="00E27F75" w:rsidRDefault="00E27F75" w:rsidP="00DB3E71">
      <w:pPr>
        <w:pStyle w:val="Bulletedlist"/>
        <w:numPr>
          <w:ilvl w:val="0"/>
          <w:numId w:val="0"/>
        </w:numPr>
        <w:spacing w:before="0" w:after="0"/>
      </w:pPr>
    </w:p>
    <w:p w14:paraId="0993112C" w14:textId="77777777" w:rsidR="00394627" w:rsidRPr="00D933C6" w:rsidRDefault="00394627" w:rsidP="00394627">
      <w:pPr>
        <w:pStyle w:val="Bulletedlist"/>
        <w:numPr>
          <w:ilvl w:val="0"/>
          <w:numId w:val="0"/>
        </w:numPr>
        <w:spacing w:before="0" w:after="0"/>
        <w:ind w:hanging="7"/>
      </w:pPr>
    </w:p>
    <w:sectPr w:rsidR="00394627" w:rsidRPr="00D933C6" w:rsidSect="00A2048D">
      <w:footerReference w:type="default" r:id="rId16"/>
      <w:type w:val="oddPag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3591A" w14:textId="77777777" w:rsidR="005C150F" w:rsidRDefault="005C150F">
      <w:r>
        <w:separator/>
      </w:r>
    </w:p>
    <w:p w14:paraId="305E17F5" w14:textId="77777777" w:rsidR="005C150F" w:rsidRDefault="005C150F"/>
  </w:endnote>
  <w:endnote w:type="continuationSeparator" w:id="0">
    <w:p w14:paraId="6F9DA3D5" w14:textId="77777777" w:rsidR="005C150F" w:rsidRDefault="005C150F">
      <w:r>
        <w:continuationSeparator/>
      </w:r>
    </w:p>
    <w:p w14:paraId="0DA302F7" w14:textId="77777777" w:rsidR="005C150F" w:rsidRDefault="005C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7A78" w14:textId="77777777" w:rsidR="000421AB" w:rsidRDefault="000421AB">
    <w:pPr>
      <w:jc w:val="center"/>
    </w:pPr>
    <w:r>
      <w:fldChar w:fldCharType="begin"/>
    </w:r>
    <w:r>
      <w:instrText xml:space="preserve"> PAGE </w:instrText>
    </w:r>
    <w:r>
      <w:fldChar w:fldCharType="separate"/>
    </w:r>
    <w:r w:rsidR="00A14FEB">
      <w:rPr>
        <w:noProof/>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14FEB" w14:paraId="61945712" w14:textId="77777777" w:rsidTr="003A4598">
      <w:tc>
        <w:tcPr>
          <w:tcW w:w="4788" w:type="dxa"/>
        </w:tcPr>
        <w:p w14:paraId="1BBBE162" w14:textId="77777777" w:rsidR="00A14FEB" w:rsidRPr="00012F05" w:rsidRDefault="00A14FEB" w:rsidP="003A4598">
          <w:pPr>
            <w:pStyle w:val="HeaderFooterLeft"/>
          </w:pPr>
          <w:r>
            <w:t xml:space="preserve">Electric </w:t>
          </w:r>
          <w:r w:rsidRPr="0048136C">
            <w:t>Reliability</w:t>
          </w:r>
          <w:r>
            <w:t xml:space="preserve"> Council of Texas, Inc.</w:t>
          </w:r>
        </w:p>
      </w:tc>
      <w:tc>
        <w:tcPr>
          <w:tcW w:w="4788" w:type="dxa"/>
        </w:tcPr>
        <w:p w14:paraId="11C22F11" w14:textId="77777777" w:rsidR="00A14FEB" w:rsidRDefault="00A14FEB" w:rsidP="003A4598">
          <w:pPr>
            <w:pStyle w:val="HeaderFooterRight"/>
          </w:pPr>
          <w:r>
            <w:fldChar w:fldCharType="begin"/>
          </w:r>
          <w:r>
            <w:instrText xml:space="preserve"> PAGE   \* MERGEFORMAT </w:instrText>
          </w:r>
          <w:r>
            <w:fldChar w:fldCharType="separate"/>
          </w:r>
          <w:r w:rsidR="00F82B42">
            <w:rPr>
              <w:noProof/>
            </w:rPr>
            <w:t>ii</w:t>
          </w:r>
          <w:r>
            <w:rPr>
              <w:noProof/>
            </w:rPr>
            <w:fldChar w:fldCharType="end"/>
          </w:r>
        </w:p>
      </w:tc>
    </w:tr>
  </w:tbl>
  <w:p w14:paraId="12DD3AB6" w14:textId="77777777" w:rsidR="000421AB" w:rsidRDefault="000421AB" w:rsidP="00A14F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F81BD" w:themeFill="accent1"/>
      <w:tblLook w:val="04A0" w:firstRow="1" w:lastRow="0" w:firstColumn="1" w:lastColumn="0" w:noHBand="0" w:noVBand="1"/>
    </w:tblPr>
    <w:tblGrid>
      <w:gridCol w:w="4795"/>
      <w:gridCol w:w="4795"/>
    </w:tblGrid>
    <w:tr w:rsidR="00A14FEB" w14:paraId="29F0F970" w14:textId="77777777" w:rsidTr="003A4598">
      <w:trPr>
        <w:trHeight w:hRule="exact" w:val="274"/>
      </w:trPr>
      <w:tc>
        <w:tcPr>
          <w:tcW w:w="2500" w:type="pct"/>
          <w:shd w:val="clear" w:color="auto" w:fill="4F81BD" w:themeFill="accent1"/>
          <w:vAlign w:val="bottom"/>
        </w:tcPr>
        <w:p w14:paraId="04879D87" w14:textId="77777777" w:rsidR="00A14FEB" w:rsidRPr="00D73AC1" w:rsidRDefault="00A14FEB" w:rsidP="003A4598">
          <w:pPr>
            <w:tabs>
              <w:tab w:val="left" w:pos="3281"/>
            </w:tabs>
            <w:rPr>
              <w:rFonts w:ascii="Arial" w:hAnsi="Arial" w:cs="Arial"/>
              <w:i/>
              <w:color w:val="FFFFFF" w:themeColor="background1"/>
              <w:sz w:val="18"/>
              <w:szCs w:val="18"/>
            </w:rPr>
          </w:pPr>
          <w:r>
            <w:rPr>
              <w:rFonts w:ascii="Arial" w:hAnsi="Arial" w:cs="Arial"/>
              <w:i/>
              <w:color w:val="FFFFFF" w:themeColor="background1"/>
              <w:sz w:val="18"/>
              <w:szCs w:val="18"/>
            </w:rPr>
            <w:t>Electric Reliability Council of Texas, Inc.</w:t>
          </w:r>
        </w:p>
      </w:tc>
      <w:tc>
        <w:tcPr>
          <w:tcW w:w="2500" w:type="pct"/>
          <w:shd w:val="clear" w:color="auto" w:fill="4F81BD" w:themeFill="accent1"/>
          <w:vAlign w:val="bottom"/>
        </w:tcPr>
        <w:p w14:paraId="61B2F86B" w14:textId="77777777" w:rsidR="00A14FEB" w:rsidRPr="00D73AC1" w:rsidRDefault="00A14FEB" w:rsidP="003A4598">
          <w:pPr>
            <w:jc w:val="right"/>
            <w:rPr>
              <w:rFonts w:ascii="Arial" w:hAnsi="Arial" w:cs="Arial"/>
              <w:i/>
              <w:sz w:val="18"/>
              <w:szCs w:val="18"/>
            </w:rPr>
          </w:pPr>
          <w:r>
            <w:rPr>
              <w:rFonts w:ascii="Arial" w:hAnsi="Arial" w:cs="Arial"/>
              <w:i/>
              <w:color w:val="FFFFFF" w:themeColor="background1"/>
              <w:sz w:val="18"/>
              <w:szCs w:val="18"/>
            </w:rPr>
            <w:t>System Planning</w:t>
          </w:r>
        </w:p>
      </w:tc>
    </w:tr>
  </w:tbl>
  <w:p w14:paraId="1C9E0BFD" w14:textId="77777777" w:rsidR="00A14FEB" w:rsidRDefault="00A14FE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FDB5" w14:textId="77777777" w:rsidR="000421AB" w:rsidRDefault="000421AB">
    <w:pPr>
      <w:jc w:val="center"/>
    </w:pPr>
    <w:r>
      <w:fldChar w:fldCharType="begin"/>
    </w:r>
    <w:r>
      <w:instrText xml:space="preserve"> PAGE </w:instrText>
    </w:r>
    <w:r>
      <w:fldChar w:fldCharType="separate"/>
    </w:r>
    <w:r w:rsidR="00F82B4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21D6D" w14:textId="77777777" w:rsidR="005C150F" w:rsidRDefault="005C150F">
      <w:r>
        <w:separator/>
      </w:r>
    </w:p>
    <w:p w14:paraId="4B1F9020" w14:textId="77777777" w:rsidR="005C150F" w:rsidRDefault="005C150F"/>
  </w:footnote>
  <w:footnote w:type="continuationSeparator" w:id="0">
    <w:p w14:paraId="487C83A2" w14:textId="77777777" w:rsidR="005C150F" w:rsidRDefault="005C150F">
      <w:r>
        <w:continuationSeparator/>
      </w:r>
    </w:p>
    <w:p w14:paraId="6BD2C8B2" w14:textId="77777777" w:rsidR="005C150F" w:rsidRDefault="005C150F"/>
  </w:footnote>
  <w:footnote w:id="1">
    <w:p w14:paraId="670AE842" w14:textId="77777777" w:rsidR="00090BCB" w:rsidRDefault="00090BCB" w:rsidP="00026126">
      <w:pPr>
        <w:pStyle w:val="Footnotes"/>
      </w:pPr>
      <w:r>
        <w:rPr>
          <w:rStyle w:val="FootnoteReference"/>
        </w:rPr>
        <w:footnoteRef/>
      </w:r>
      <w:r>
        <w:t xml:space="preserve"> “Radial”:  A generator is radial to a series capacitor when all of the energy from the generator flows through the series capacitor bank(s).</w:t>
      </w:r>
    </w:p>
  </w:footnote>
  <w:footnote w:id="2">
    <w:p w14:paraId="354FFF7D" w14:textId="3A679C44" w:rsidR="00CA4AFF" w:rsidRPr="006504E2" w:rsidRDefault="00CA4AFF" w:rsidP="00CA4AFF">
      <w:pPr>
        <w:pStyle w:val="FootnoteText"/>
        <w:rPr>
          <w:sz w:val="18"/>
          <w:szCs w:val="18"/>
        </w:rPr>
      </w:pPr>
      <w:r w:rsidRPr="006504E2">
        <w:rPr>
          <w:rStyle w:val="FootnoteReference"/>
          <w:sz w:val="18"/>
          <w:szCs w:val="18"/>
        </w:rPr>
        <w:footnoteRef/>
      </w:r>
      <w:r w:rsidRPr="006504E2">
        <w:rPr>
          <w:sz w:val="18"/>
          <w:szCs w:val="18"/>
        </w:rPr>
        <w:t xml:space="preserve"> </w:t>
      </w:r>
      <w:r>
        <w:rPr>
          <w:sz w:val="18"/>
          <w:szCs w:val="18"/>
        </w:rPr>
        <w:t>For I</w:t>
      </w:r>
      <w:r w:rsidR="007F229B">
        <w:rPr>
          <w:sz w:val="18"/>
          <w:szCs w:val="18"/>
        </w:rPr>
        <w:t>B</w:t>
      </w:r>
      <w:r>
        <w:rPr>
          <w:sz w:val="18"/>
          <w:szCs w:val="18"/>
        </w:rPr>
        <w:t xml:space="preserve">Rs, when determining generator impedance, the frequency scanning technique may need to take into account the nonlinearity of the generator model and the effect of grid impedance on the generator model.  Refer:  </w:t>
      </w:r>
      <w:r w:rsidRPr="006504E2">
        <w:rPr>
          <w:sz w:val="18"/>
          <w:szCs w:val="18"/>
        </w:rPr>
        <w:t>Ren, Wei; Piwko, Richard; English, Bruce, “</w:t>
      </w:r>
      <w:hyperlink r:id="rId1" w:history="1">
        <w:r w:rsidRPr="006504E2">
          <w:rPr>
            <w:rStyle w:val="Hyperlink"/>
            <w:sz w:val="18"/>
            <w:szCs w:val="18"/>
          </w:rPr>
          <w:t>Analysis and Mitigation of Unstable Subsynchronous Oscillations for Renewable Generation Interconnections</w:t>
        </w:r>
      </w:hyperlink>
      <w:r w:rsidRPr="006504E2">
        <w:rPr>
          <w:sz w:val="18"/>
          <w:szCs w:val="18"/>
        </w:rPr>
        <w:t>,” 2015 IEEE Power and Energy Society General Meeting in Denver.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14FEB" w14:paraId="5859E08E" w14:textId="77777777" w:rsidTr="003A4598">
      <w:tc>
        <w:tcPr>
          <w:tcW w:w="4788" w:type="dxa"/>
        </w:tcPr>
        <w:p w14:paraId="356FCD2F" w14:textId="77777777" w:rsidR="00A14FEB" w:rsidRPr="00012F05" w:rsidRDefault="00090BCB" w:rsidP="003A4598">
          <w:pPr>
            <w:pStyle w:val="HeaderFooterLeft"/>
          </w:pPr>
          <w:r>
            <w:t>ERCOT Public</w:t>
          </w:r>
        </w:p>
      </w:tc>
      <w:tc>
        <w:tcPr>
          <w:tcW w:w="4788" w:type="dxa"/>
        </w:tcPr>
        <w:p w14:paraId="1D1F645C" w14:textId="77777777" w:rsidR="00A14FEB" w:rsidRDefault="00090BCB" w:rsidP="00BE7F5F">
          <w:pPr>
            <w:pStyle w:val="HeaderFooterRight"/>
          </w:pPr>
          <w:r>
            <w:t xml:space="preserve">SSR </w:t>
          </w:r>
          <w:r w:rsidR="00BE7F5F">
            <w:t>Study Scope Guideline</w:t>
          </w:r>
        </w:p>
      </w:tc>
    </w:tr>
  </w:tbl>
  <w:p w14:paraId="0B089E33" w14:textId="77777777" w:rsidR="00A14FEB" w:rsidRDefault="00A14FEB" w:rsidP="00A14F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F81BD" w:themeFill="accent1"/>
      <w:tblLook w:val="04A0" w:firstRow="1" w:lastRow="0" w:firstColumn="1" w:lastColumn="0" w:noHBand="0" w:noVBand="1"/>
    </w:tblPr>
    <w:tblGrid>
      <w:gridCol w:w="4795"/>
      <w:gridCol w:w="4795"/>
    </w:tblGrid>
    <w:tr w:rsidR="00A14FEB" w14:paraId="64728917" w14:textId="77777777" w:rsidTr="003A4598">
      <w:trPr>
        <w:trHeight w:hRule="exact" w:val="274"/>
      </w:trPr>
      <w:tc>
        <w:tcPr>
          <w:tcW w:w="2500" w:type="pct"/>
          <w:shd w:val="clear" w:color="auto" w:fill="4F81BD" w:themeFill="accent1"/>
          <w:vAlign w:val="bottom"/>
        </w:tcPr>
        <w:p w14:paraId="54E0CCD3" w14:textId="77777777" w:rsidR="00A14FEB" w:rsidRPr="00D73AC1" w:rsidRDefault="00A14FEB" w:rsidP="00090BCB">
          <w:pPr>
            <w:tabs>
              <w:tab w:val="left" w:pos="3281"/>
            </w:tabs>
            <w:rPr>
              <w:rFonts w:ascii="Arial" w:hAnsi="Arial" w:cs="Arial"/>
              <w:i/>
              <w:color w:val="FFFFFF" w:themeColor="background1"/>
              <w:sz w:val="18"/>
              <w:szCs w:val="18"/>
            </w:rPr>
          </w:pPr>
          <w:r>
            <w:rPr>
              <w:rFonts w:ascii="Arial" w:hAnsi="Arial" w:cs="Arial"/>
              <w:i/>
              <w:color w:val="FFFFFF" w:themeColor="background1"/>
              <w:sz w:val="18"/>
              <w:szCs w:val="18"/>
            </w:rPr>
            <w:t xml:space="preserve">ERCOT </w:t>
          </w:r>
          <w:r w:rsidR="00090BCB">
            <w:rPr>
              <w:rFonts w:ascii="Arial" w:hAnsi="Arial" w:cs="Arial"/>
              <w:i/>
              <w:color w:val="FFFFFF" w:themeColor="background1"/>
              <w:sz w:val="18"/>
              <w:szCs w:val="18"/>
            </w:rPr>
            <w:t>Public</w:t>
          </w:r>
        </w:p>
      </w:tc>
      <w:tc>
        <w:tcPr>
          <w:tcW w:w="2500" w:type="pct"/>
          <w:shd w:val="clear" w:color="auto" w:fill="4F81BD" w:themeFill="accent1"/>
          <w:vAlign w:val="bottom"/>
        </w:tcPr>
        <w:p w14:paraId="4F1E9CCF" w14:textId="77777777" w:rsidR="00A14FEB" w:rsidRPr="00D73AC1" w:rsidRDefault="00090BCB" w:rsidP="003A4598">
          <w:pPr>
            <w:jc w:val="right"/>
            <w:rPr>
              <w:rFonts w:ascii="Arial" w:hAnsi="Arial" w:cs="Arial"/>
              <w:i/>
              <w:sz w:val="18"/>
              <w:szCs w:val="18"/>
            </w:rPr>
          </w:pPr>
          <w:r>
            <w:rPr>
              <w:rFonts w:ascii="Arial" w:hAnsi="Arial" w:cs="Arial"/>
              <w:i/>
              <w:color w:val="FFFFFF" w:themeColor="background1"/>
              <w:sz w:val="18"/>
              <w:szCs w:val="18"/>
            </w:rPr>
            <w:t>Analysis</w:t>
          </w:r>
        </w:p>
      </w:tc>
    </w:tr>
  </w:tbl>
  <w:p w14:paraId="190213AB" w14:textId="77777777" w:rsidR="00A14FEB" w:rsidRDefault="00A14F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F4087"/>
    <w:multiLevelType w:val="multilevel"/>
    <w:tmpl w:val="AF528392"/>
    <w:lvl w:ilvl="0">
      <w:start w:val="1"/>
      <w:numFmt w:val="decimal"/>
      <w:pStyle w:val="ESTableTitle"/>
      <w:suff w:val="space"/>
      <w:lvlText w:val="Table ES.%1:"/>
      <w:lvlJc w:val="center"/>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533F7D"/>
    <w:multiLevelType w:val="multilevel"/>
    <w:tmpl w:val="EB386550"/>
    <w:lvl w:ilvl="0">
      <w:start w:val="1"/>
      <w:numFmt w:val="decimal"/>
      <w:pStyle w:val="AppendixATableTitle"/>
      <w:suff w:val="space"/>
      <w:lvlText w:val="Table A.%1:"/>
      <w:lvlJc w:val="center"/>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7C48D7"/>
    <w:multiLevelType w:val="hybridMultilevel"/>
    <w:tmpl w:val="4A8407F6"/>
    <w:lvl w:ilvl="0" w:tplc="55AACFE2">
      <w:start w:val="1"/>
      <w:numFmt w:val="bullet"/>
      <w:pStyle w:val="Bulletedlist"/>
      <w:lvlText w:val=""/>
      <w:lvlJc w:val="left"/>
      <w:pPr>
        <w:tabs>
          <w:tab w:val="num" w:pos="1080"/>
        </w:tabs>
        <w:ind w:left="1267" w:hanging="187"/>
      </w:pPr>
      <w:rPr>
        <w:rFonts w:ascii="Symbol" w:hAnsi="Symbol" w:hint="default"/>
      </w:rPr>
    </w:lvl>
    <w:lvl w:ilvl="1" w:tplc="04090001">
      <w:start w:val="1"/>
      <w:numFmt w:val="bullet"/>
      <w:lvlText w:val=""/>
      <w:lvlJc w:val="left"/>
      <w:pPr>
        <w:tabs>
          <w:tab w:val="num" w:pos="2707"/>
        </w:tabs>
        <w:ind w:left="2707" w:hanging="360"/>
      </w:pPr>
      <w:rPr>
        <w:rFonts w:ascii="Symbol" w:hAnsi="Symbol" w:hint="default"/>
      </w:rPr>
    </w:lvl>
    <w:lvl w:ilvl="2" w:tplc="FFFFFFFF">
      <w:start w:val="1"/>
      <w:numFmt w:val="bullet"/>
      <w:lvlText w:val=""/>
      <w:lvlJc w:val="left"/>
      <w:pPr>
        <w:tabs>
          <w:tab w:val="num" w:pos="3427"/>
        </w:tabs>
        <w:ind w:left="3427" w:hanging="360"/>
      </w:pPr>
      <w:rPr>
        <w:rFonts w:ascii="Wingdings" w:hAnsi="Wingdings" w:hint="default"/>
      </w:rPr>
    </w:lvl>
    <w:lvl w:ilvl="3" w:tplc="0409000D">
      <w:start w:val="1"/>
      <w:numFmt w:val="bullet"/>
      <w:lvlText w:val=""/>
      <w:lvlJc w:val="left"/>
      <w:pPr>
        <w:tabs>
          <w:tab w:val="num" w:pos="4147"/>
        </w:tabs>
        <w:ind w:left="4147" w:hanging="360"/>
      </w:pPr>
      <w:rPr>
        <w:rFonts w:ascii="Wingdings" w:hAnsi="Wingdings" w:hint="default"/>
      </w:rPr>
    </w:lvl>
    <w:lvl w:ilvl="4" w:tplc="FFFFFFFF" w:tentative="1">
      <w:start w:val="1"/>
      <w:numFmt w:val="bullet"/>
      <w:lvlText w:val="o"/>
      <w:lvlJc w:val="left"/>
      <w:pPr>
        <w:tabs>
          <w:tab w:val="num" w:pos="4867"/>
        </w:tabs>
        <w:ind w:left="4867" w:hanging="360"/>
      </w:pPr>
      <w:rPr>
        <w:rFonts w:ascii="Courier New" w:hAnsi="Courier New" w:hint="default"/>
      </w:rPr>
    </w:lvl>
    <w:lvl w:ilvl="5" w:tplc="FFFFFFFF" w:tentative="1">
      <w:start w:val="1"/>
      <w:numFmt w:val="bullet"/>
      <w:lvlText w:val=""/>
      <w:lvlJc w:val="left"/>
      <w:pPr>
        <w:tabs>
          <w:tab w:val="num" w:pos="5587"/>
        </w:tabs>
        <w:ind w:left="5587" w:hanging="360"/>
      </w:pPr>
      <w:rPr>
        <w:rFonts w:ascii="Wingdings" w:hAnsi="Wingdings" w:hint="default"/>
      </w:rPr>
    </w:lvl>
    <w:lvl w:ilvl="6" w:tplc="FFFFFFFF" w:tentative="1">
      <w:start w:val="1"/>
      <w:numFmt w:val="bullet"/>
      <w:lvlText w:val=""/>
      <w:lvlJc w:val="left"/>
      <w:pPr>
        <w:tabs>
          <w:tab w:val="num" w:pos="6307"/>
        </w:tabs>
        <w:ind w:left="6307" w:hanging="360"/>
      </w:pPr>
      <w:rPr>
        <w:rFonts w:ascii="Symbol" w:hAnsi="Symbol" w:hint="default"/>
      </w:rPr>
    </w:lvl>
    <w:lvl w:ilvl="7" w:tplc="FFFFFFFF" w:tentative="1">
      <w:start w:val="1"/>
      <w:numFmt w:val="bullet"/>
      <w:lvlText w:val="o"/>
      <w:lvlJc w:val="left"/>
      <w:pPr>
        <w:tabs>
          <w:tab w:val="num" w:pos="7027"/>
        </w:tabs>
        <w:ind w:left="7027" w:hanging="360"/>
      </w:pPr>
      <w:rPr>
        <w:rFonts w:ascii="Courier New" w:hAnsi="Courier New" w:hint="default"/>
      </w:rPr>
    </w:lvl>
    <w:lvl w:ilvl="8" w:tplc="FFFFFFFF" w:tentative="1">
      <w:start w:val="1"/>
      <w:numFmt w:val="bullet"/>
      <w:lvlText w:val=""/>
      <w:lvlJc w:val="left"/>
      <w:pPr>
        <w:tabs>
          <w:tab w:val="num" w:pos="7747"/>
        </w:tabs>
        <w:ind w:left="7747" w:hanging="360"/>
      </w:pPr>
      <w:rPr>
        <w:rFonts w:ascii="Wingdings" w:hAnsi="Wingdings" w:hint="default"/>
      </w:rPr>
    </w:lvl>
  </w:abstractNum>
  <w:abstractNum w:abstractNumId="3" w15:restartNumberingAfterBreak="0">
    <w:nsid w:val="30917762"/>
    <w:multiLevelType w:val="multilevel"/>
    <w:tmpl w:val="74EE4062"/>
    <w:lvl w:ilvl="0">
      <w:start w:val="1"/>
      <w:numFmt w:val="decimal"/>
      <w:pStyle w:val="AppendixCTableTitle"/>
      <w:suff w:val="space"/>
      <w:lvlText w:val="Table C.%1:"/>
      <w:lvlJc w:val="center"/>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9052FBA"/>
    <w:multiLevelType w:val="multilevel"/>
    <w:tmpl w:val="5DF277F0"/>
    <w:lvl w:ilvl="0">
      <w:start w:val="1"/>
      <w:numFmt w:val="decimal"/>
      <w:suff w:val="space"/>
      <w:lvlText w:val="Chapter %1. "/>
      <w:lvlJc w:val="center"/>
      <w:pPr>
        <w:ind w:left="0" w:firstLine="0"/>
      </w:pPr>
      <w:rPr>
        <w:rFonts w:hint="default"/>
        <w:color w:val="auto"/>
      </w:rPr>
    </w:lvl>
    <w:lvl w:ilvl="1">
      <w:start w:val="1"/>
      <w:numFmt w:val="decimal"/>
      <w:suff w:val="space"/>
      <w:lvlText w:val="%2:"/>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lvlRestart w:val="1"/>
      <w:pStyle w:val="FigureCaption"/>
      <w:suff w:val="space"/>
      <w:lvlText w:val="Figure %1.%4:"/>
      <w:lvlJc w:val="center"/>
      <w:pPr>
        <w:ind w:left="0" w:firstLine="0"/>
      </w:pPr>
      <w:rPr>
        <w:rFonts w:hint="default"/>
      </w:rPr>
    </w:lvl>
    <w:lvl w:ilvl="4">
      <w:start w:val="1"/>
      <w:numFmt w:val="decimal"/>
      <w:lvlRestart w:val="1"/>
      <w:pStyle w:val="TableTitle"/>
      <w:suff w:val="space"/>
      <w:lvlText w:val="Table %1.%5:"/>
      <w:lvlJc w:val="center"/>
      <w:pPr>
        <w:ind w:left="0" w:firstLine="0"/>
      </w:pPr>
      <w:rPr>
        <w:rFonts w:hint="default"/>
      </w:rPr>
    </w:lvl>
    <w:lvl w:ilvl="5">
      <w:start w:val="1"/>
      <w:numFmt w:val="decimal"/>
      <w:lvlRestart w:val="0"/>
      <w:suff w:val="space"/>
      <w:lvlText w:val="%1.%2.%3.%6"/>
      <w:lvlJc w:val="center"/>
      <w:pPr>
        <w:ind w:left="0" w:firstLine="0"/>
      </w:pPr>
      <w:rPr>
        <w:rFonts w:hint="default"/>
      </w:rPr>
    </w:lvl>
    <w:lvl w:ilvl="6">
      <w:start w:val="1"/>
      <w:numFmt w:val="none"/>
      <w:lvlText w:val=""/>
      <w:lvlJc w:val="left"/>
      <w:pPr>
        <w:tabs>
          <w:tab w:val="num" w:pos="547"/>
        </w:tabs>
        <w:ind w:left="547" w:hanging="547"/>
      </w:pPr>
      <w:rPr>
        <w:rFonts w:hint="default"/>
      </w:rPr>
    </w:lvl>
    <w:lvl w:ilvl="7">
      <w:start w:val="1"/>
      <w:numFmt w:val="none"/>
      <w:lvlRestart w:val="6"/>
      <w:lvlText w:val=""/>
      <w:lvlJc w:val="center"/>
      <w:pPr>
        <w:tabs>
          <w:tab w:val="num" w:pos="0"/>
        </w:tabs>
        <w:ind w:left="0" w:firstLine="0"/>
      </w:pPr>
      <w:rPr>
        <w:rFonts w:hint="default"/>
      </w:rPr>
    </w:lvl>
    <w:lvl w:ilvl="8">
      <w:start w:val="1"/>
      <w:numFmt w:val="none"/>
      <w:lvlRestart w:val="6"/>
      <w:lvlText w:val=""/>
      <w:lvlJc w:val="center"/>
      <w:pPr>
        <w:tabs>
          <w:tab w:val="num" w:pos="0"/>
        </w:tabs>
        <w:ind w:left="0" w:firstLine="0"/>
      </w:pPr>
      <w:rPr>
        <w:rFonts w:hint="default"/>
      </w:rPr>
    </w:lvl>
  </w:abstractNum>
  <w:abstractNum w:abstractNumId="5" w15:restartNumberingAfterBreak="0">
    <w:nsid w:val="3F41629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4AA749D"/>
    <w:multiLevelType w:val="multilevel"/>
    <w:tmpl w:val="CB12E784"/>
    <w:lvl w:ilvl="0">
      <w:start w:val="1"/>
      <w:numFmt w:val="decimal"/>
      <w:pStyle w:val="AppendixBTableTitle"/>
      <w:suff w:val="space"/>
      <w:lvlText w:val="Table B.%1:"/>
      <w:lvlJc w:val="center"/>
      <w:pPr>
        <w:ind w:left="0" w:firstLine="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4574819"/>
    <w:multiLevelType w:val="multilevel"/>
    <w:tmpl w:val="8CAC0CD2"/>
    <w:lvl w:ilvl="0">
      <w:start w:val="1"/>
      <w:numFmt w:val="decimal"/>
      <w:pStyle w:val="AppendixBFigureCaption"/>
      <w:suff w:val="space"/>
      <w:lvlText w:val="Figure B.%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7726CE8"/>
    <w:multiLevelType w:val="hybridMultilevel"/>
    <w:tmpl w:val="91BE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A76AE"/>
    <w:multiLevelType w:val="multilevel"/>
    <w:tmpl w:val="12B62510"/>
    <w:lvl w:ilvl="0">
      <w:start w:val="1"/>
      <w:numFmt w:val="decimal"/>
      <w:pStyle w:val="ESFigureCaption"/>
      <w:suff w:val="space"/>
      <w:lvlText w:val="Figure ES.%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B2C0AF8"/>
    <w:multiLevelType w:val="multilevel"/>
    <w:tmpl w:val="08CE00C6"/>
    <w:lvl w:ilvl="0">
      <w:start w:val="1"/>
      <w:numFmt w:val="decimal"/>
      <w:pStyle w:val="AppendixCFigureCaption"/>
      <w:suff w:val="space"/>
      <w:lvlText w:val="Figure C.%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C6F0B6A"/>
    <w:multiLevelType w:val="multilevel"/>
    <w:tmpl w:val="37E0D778"/>
    <w:lvl w:ilvl="0">
      <w:start w:val="1"/>
      <w:numFmt w:val="decimal"/>
      <w:pStyle w:val="AppendixAFigureCaption"/>
      <w:suff w:val="space"/>
      <w:lvlText w:val="Figure A.%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9"/>
  </w:num>
  <w:num w:numId="3">
    <w:abstractNumId w:val="0"/>
  </w:num>
  <w:num w:numId="4">
    <w:abstractNumId w:val="1"/>
  </w:num>
  <w:num w:numId="5">
    <w:abstractNumId w:val="11"/>
  </w:num>
  <w:num w:numId="6">
    <w:abstractNumId w:val="7"/>
  </w:num>
  <w:num w:numId="7">
    <w:abstractNumId w:val="6"/>
  </w:num>
  <w:num w:numId="8">
    <w:abstractNumId w:val="3"/>
  </w:num>
  <w:num w:numId="9">
    <w:abstractNumId w:val="10"/>
  </w:num>
  <w:num w:numId="10">
    <w:abstractNumId w:val="4"/>
  </w:num>
  <w:num w:numId="11">
    <w:abstractNumId w:val="5"/>
  </w:num>
  <w:num w:numId="12">
    <w:abstractNumId w:val="5"/>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22"/>
    <w:rsid w:val="00002075"/>
    <w:rsid w:val="000048AA"/>
    <w:rsid w:val="00026126"/>
    <w:rsid w:val="00034289"/>
    <w:rsid w:val="00034436"/>
    <w:rsid w:val="00034D90"/>
    <w:rsid w:val="000421AB"/>
    <w:rsid w:val="000654E1"/>
    <w:rsid w:val="00066A9B"/>
    <w:rsid w:val="00071E65"/>
    <w:rsid w:val="000720D8"/>
    <w:rsid w:val="00080D71"/>
    <w:rsid w:val="00082DCE"/>
    <w:rsid w:val="00090BCB"/>
    <w:rsid w:val="000932E9"/>
    <w:rsid w:val="000A79E6"/>
    <w:rsid w:val="000B36FF"/>
    <w:rsid w:val="00115A31"/>
    <w:rsid w:val="001162A9"/>
    <w:rsid w:val="00123564"/>
    <w:rsid w:val="001376C9"/>
    <w:rsid w:val="00155854"/>
    <w:rsid w:val="0017657C"/>
    <w:rsid w:val="00181922"/>
    <w:rsid w:val="001850EE"/>
    <w:rsid w:val="001936BC"/>
    <w:rsid w:val="001A03EB"/>
    <w:rsid w:val="001A1423"/>
    <w:rsid w:val="001A6DC2"/>
    <w:rsid w:val="001B7729"/>
    <w:rsid w:val="001C586B"/>
    <w:rsid w:val="001D3405"/>
    <w:rsid w:val="001D7A49"/>
    <w:rsid w:val="001E166E"/>
    <w:rsid w:val="001E41ED"/>
    <w:rsid w:val="001F7EF5"/>
    <w:rsid w:val="00203822"/>
    <w:rsid w:val="00225196"/>
    <w:rsid w:val="00234ED4"/>
    <w:rsid w:val="002423CB"/>
    <w:rsid w:val="002518AC"/>
    <w:rsid w:val="00251989"/>
    <w:rsid w:val="00270395"/>
    <w:rsid w:val="00274AB8"/>
    <w:rsid w:val="00276BDF"/>
    <w:rsid w:val="00277BBC"/>
    <w:rsid w:val="002825A6"/>
    <w:rsid w:val="00285DBF"/>
    <w:rsid w:val="00285DFE"/>
    <w:rsid w:val="00287D9A"/>
    <w:rsid w:val="00290F80"/>
    <w:rsid w:val="00291495"/>
    <w:rsid w:val="002958C5"/>
    <w:rsid w:val="002A1FE9"/>
    <w:rsid w:val="002B7360"/>
    <w:rsid w:val="002C1B24"/>
    <w:rsid w:val="002D536E"/>
    <w:rsid w:val="002E0398"/>
    <w:rsid w:val="002F1AB8"/>
    <w:rsid w:val="002F3177"/>
    <w:rsid w:val="002F5738"/>
    <w:rsid w:val="00303DF3"/>
    <w:rsid w:val="00311CD6"/>
    <w:rsid w:val="00312548"/>
    <w:rsid w:val="00317005"/>
    <w:rsid w:val="00322493"/>
    <w:rsid w:val="00324B38"/>
    <w:rsid w:val="0033316B"/>
    <w:rsid w:val="00341B16"/>
    <w:rsid w:val="00357CF4"/>
    <w:rsid w:val="003714DA"/>
    <w:rsid w:val="00372A83"/>
    <w:rsid w:val="003806BF"/>
    <w:rsid w:val="00394627"/>
    <w:rsid w:val="003A483D"/>
    <w:rsid w:val="003C4C10"/>
    <w:rsid w:val="003E249D"/>
    <w:rsid w:val="00402C6D"/>
    <w:rsid w:val="0042455E"/>
    <w:rsid w:val="00426FF7"/>
    <w:rsid w:val="00430833"/>
    <w:rsid w:val="0043756F"/>
    <w:rsid w:val="00437B09"/>
    <w:rsid w:val="00460742"/>
    <w:rsid w:val="004608DB"/>
    <w:rsid w:val="004631F6"/>
    <w:rsid w:val="00470051"/>
    <w:rsid w:val="00474230"/>
    <w:rsid w:val="00494C0E"/>
    <w:rsid w:val="0049581A"/>
    <w:rsid w:val="004A35BE"/>
    <w:rsid w:val="004C4B19"/>
    <w:rsid w:val="004D684F"/>
    <w:rsid w:val="004D7E0D"/>
    <w:rsid w:val="004F28B3"/>
    <w:rsid w:val="00502EA0"/>
    <w:rsid w:val="00503725"/>
    <w:rsid w:val="00511DF0"/>
    <w:rsid w:val="005155C7"/>
    <w:rsid w:val="005333D6"/>
    <w:rsid w:val="00551781"/>
    <w:rsid w:val="00560C40"/>
    <w:rsid w:val="005619A2"/>
    <w:rsid w:val="00561C34"/>
    <w:rsid w:val="005A0F3D"/>
    <w:rsid w:val="005A435A"/>
    <w:rsid w:val="005A6028"/>
    <w:rsid w:val="005C150F"/>
    <w:rsid w:val="005C297C"/>
    <w:rsid w:val="005C49CA"/>
    <w:rsid w:val="005D33E1"/>
    <w:rsid w:val="005D7A96"/>
    <w:rsid w:val="005E7FC6"/>
    <w:rsid w:val="005F4114"/>
    <w:rsid w:val="005F6ACB"/>
    <w:rsid w:val="00613D66"/>
    <w:rsid w:val="00616392"/>
    <w:rsid w:val="00620004"/>
    <w:rsid w:val="006206F4"/>
    <w:rsid w:val="006255B6"/>
    <w:rsid w:val="006309E8"/>
    <w:rsid w:val="0064332B"/>
    <w:rsid w:val="006504E2"/>
    <w:rsid w:val="00662B7D"/>
    <w:rsid w:val="006633B0"/>
    <w:rsid w:val="006A3615"/>
    <w:rsid w:val="006B1E61"/>
    <w:rsid w:val="006B3159"/>
    <w:rsid w:val="006F121F"/>
    <w:rsid w:val="006F3B4F"/>
    <w:rsid w:val="00724F86"/>
    <w:rsid w:val="0072727E"/>
    <w:rsid w:val="00727D0B"/>
    <w:rsid w:val="007606DE"/>
    <w:rsid w:val="00761FB6"/>
    <w:rsid w:val="00766090"/>
    <w:rsid w:val="00772B33"/>
    <w:rsid w:val="00776525"/>
    <w:rsid w:val="0077680D"/>
    <w:rsid w:val="00797096"/>
    <w:rsid w:val="007A0EC3"/>
    <w:rsid w:val="007A1B1E"/>
    <w:rsid w:val="007A511D"/>
    <w:rsid w:val="007C4E6F"/>
    <w:rsid w:val="007C5B0E"/>
    <w:rsid w:val="007D1968"/>
    <w:rsid w:val="007D71D5"/>
    <w:rsid w:val="007E2393"/>
    <w:rsid w:val="007E5507"/>
    <w:rsid w:val="007E7B2D"/>
    <w:rsid w:val="007F229B"/>
    <w:rsid w:val="007F7066"/>
    <w:rsid w:val="00801812"/>
    <w:rsid w:val="008066BF"/>
    <w:rsid w:val="00806DB5"/>
    <w:rsid w:val="00812541"/>
    <w:rsid w:val="00814D16"/>
    <w:rsid w:val="00835523"/>
    <w:rsid w:val="00851D2E"/>
    <w:rsid w:val="00862110"/>
    <w:rsid w:val="00863E23"/>
    <w:rsid w:val="00870903"/>
    <w:rsid w:val="00882EAE"/>
    <w:rsid w:val="008838C4"/>
    <w:rsid w:val="0088785F"/>
    <w:rsid w:val="00892787"/>
    <w:rsid w:val="008A36DC"/>
    <w:rsid w:val="008C38EB"/>
    <w:rsid w:val="008D46B4"/>
    <w:rsid w:val="008F7458"/>
    <w:rsid w:val="0091165E"/>
    <w:rsid w:val="00942FD4"/>
    <w:rsid w:val="0095494C"/>
    <w:rsid w:val="00955A68"/>
    <w:rsid w:val="00994E44"/>
    <w:rsid w:val="009A7794"/>
    <w:rsid w:val="009B389F"/>
    <w:rsid w:val="009B7C48"/>
    <w:rsid w:val="009C3940"/>
    <w:rsid w:val="009C6955"/>
    <w:rsid w:val="009D17FA"/>
    <w:rsid w:val="009D60D7"/>
    <w:rsid w:val="009E2E4C"/>
    <w:rsid w:val="009E70F4"/>
    <w:rsid w:val="00A027CC"/>
    <w:rsid w:val="00A14FEB"/>
    <w:rsid w:val="00A17B5D"/>
    <w:rsid w:val="00A2048D"/>
    <w:rsid w:val="00A23155"/>
    <w:rsid w:val="00A25736"/>
    <w:rsid w:val="00A44C88"/>
    <w:rsid w:val="00A508B4"/>
    <w:rsid w:val="00A57328"/>
    <w:rsid w:val="00A711AA"/>
    <w:rsid w:val="00A746D7"/>
    <w:rsid w:val="00A8524A"/>
    <w:rsid w:val="00A90CE9"/>
    <w:rsid w:val="00AA641D"/>
    <w:rsid w:val="00AB0350"/>
    <w:rsid w:val="00AB0367"/>
    <w:rsid w:val="00AB5AE2"/>
    <w:rsid w:val="00AC4621"/>
    <w:rsid w:val="00AD2F10"/>
    <w:rsid w:val="00AD5A22"/>
    <w:rsid w:val="00AE407D"/>
    <w:rsid w:val="00AF390C"/>
    <w:rsid w:val="00B00872"/>
    <w:rsid w:val="00B00D30"/>
    <w:rsid w:val="00B16453"/>
    <w:rsid w:val="00B21332"/>
    <w:rsid w:val="00B26648"/>
    <w:rsid w:val="00B34F4B"/>
    <w:rsid w:val="00B51F08"/>
    <w:rsid w:val="00B610EE"/>
    <w:rsid w:val="00B8263F"/>
    <w:rsid w:val="00B97077"/>
    <w:rsid w:val="00B9753D"/>
    <w:rsid w:val="00BA6B9B"/>
    <w:rsid w:val="00BA790E"/>
    <w:rsid w:val="00BB110B"/>
    <w:rsid w:val="00BC72C6"/>
    <w:rsid w:val="00BD7BAB"/>
    <w:rsid w:val="00BE7DC1"/>
    <w:rsid w:val="00BE7F5F"/>
    <w:rsid w:val="00BF344B"/>
    <w:rsid w:val="00BF390A"/>
    <w:rsid w:val="00C008EC"/>
    <w:rsid w:val="00C06F00"/>
    <w:rsid w:val="00C13B25"/>
    <w:rsid w:val="00C16188"/>
    <w:rsid w:val="00C50FAA"/>
    <w:rsid w:val="00C56E73"/>
    <w:rsid w:val="00C6722B"/>
    <w:rsid w:val="00C7258C"/>
    <w:rsid w:val="00C75A7F"/>
    <w:rsid w:val="00C90823"/>
    <w:rsid w:val="00CA4AFF"/>
    <w:rsid w:val="00CB0230"/>
    <w:rsid w:val="00CB0AFB"/>
    <w:rsid w:val="00CC2F1F"/>
    <w:rsid w:val="00CD0D4B"/>
    <w:rsid w:val="00CD2044"/>
    <w:rsid w:val="00CD4C1F"/>
    <w:rsid w:val="00D06C85"/>
    <w:rsid w:val="00D1386A"/>
    <w:rsid w:val="00D169EF"/>
    <w:rsid w:val="00D20081"/>
    <w:rsid w:val="00D201D7"/>
    <w:rsid w:val="00D4460B"/>
    <w:rsid w:val="00D44A9F"/>
    <w:rsid w:val="00D45493"/>
    <w:rsid w:val="00D52207"/>
    <w:rsid w:val="00D57321"/>
    <w:rsid w:val="00D617A1"/>
    <w:rsid w:val="00D805EB"/>
    <w:rsid w:val="00D933C6"/>
    <w:rsid w:val="00DB10D5"/>
    <w:rsid w:val="00DB3E71"/>
    <w:rsid w:val="00DC403C"/>
    <w:rsid w:val="00DD757D"/>
    <w:rsid w:val="00E14172"/>
    <w:rsid w:val="00E14FD9"/>
    <w:rsid w:val="00E27F75"/>
    <w:rsid w:val="00E3162C"/>
    <w:rsid w:val="00E33E07"/>
    <w:rsid w:val="00E34D2C"/>
    <w:rsid w:val="00E3616B"/>
    <w:rsid w:val="00E65944"/>
    <w:rsid w:val="00E80260"/>
    <w:rsid w:val="00E838C2"/>
    <w:rsid w:val="00E84D21"/>
    <w:rsid w:val="00ED1356"/>
    <w:rsid w:val="00F011A3"/>
    <w:rsid w:val="00F01201"/>
    <w:rsid w:val="00F07921"/>
    <w:rsid w:val="00F106E4"/>
    <w:rsid w:val="00F152FB"/>
    <w:rsid w:val="00F26B91"/>
    <w:rsid w:val="00F43488"/>
    <w:rsid w:val="00F62ADB"/>
    <w:rsid w:val="00F721ED"/>
    <w:rsid w:val="00F813D2"/>
    <w:rsid w:val="00F82B42"/>
    <w:rsid w:val="00F94CCF"/>
    <w:rsid w:val="00FA2DF5"/>
    <w:rsid w:val="00FB09BC"/>
    <w:rsid w:val="00FB1751"/>
    <w:rsid w:val="00FC0C5B"/>
    <w:rsid w:val="00FC2785"/>
    <w:rsid w:val="00FC2AFC"/>
    <w:rsid w:val="00FD5E9E"/>
    <w:rsid w:val="00FD75AF"/>
    <w:rsid w:val="00FF1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9AB"/>
  <w15:docId w15:val="{3E22FB65-41F9-4E3B-93AA-0C3739E7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56F"/>
  </w:style>
  <w:style w:type="paragraph" w:styleId="Heading1">
    <w:name w:val="heading 1"/>
    <w:basedOn w:val="Normal"/>
    <w:next w:val="Normal"/>
    <w:link w:val="Heading1Char"/>
    <w:uiPriority w:val="9"/>
    <w:qFormat/>
    <w:rsid w:val="0043756F"/>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56F"/>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56F"/>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56F"/>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756F"/>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3756F"/>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756F"/>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56F"/>
    <w:pPr>
      <w:keepNext/>
      <w:keepLines/>
      <w:numPr>
        <w:ilvl w:val="7"/>
        <w:numId w:val="1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3756F"/>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Normal"/>
    <w:rsid w:val="00D169EF"/>
    <w:pPr>
      <w:numPr>
        <w:numId w:val="1"/>
      </w:numPr>
      <w:spacing w:before="120" w:line="240" w:lineRule="auto"/>
    </w:pPr>
  </w:style>
  <w:style w:type="paragraph" w:customStyle="1" w:styleId="Equation">
    <w:name w:val="Equation"/>
    <w:basedOn w:val="Normal"/>
    <w:next w:val="Normal"/>
    <w:autoRedefine/>
    <w:rsid w:val="007A0EC3"/>
    <w:pPr>
      <w:tabs>
        <w:tab w:val="right" w:pos="9360"/>
      </w:tabs>
      <w:ind w:left="1627"/>
    </w:pPr>
  </w:style>
  <w:style w:type="paragraph" w:customStyle="1" w:styleId="EquationDefinition">
    <w:name w:val="Equation Definition"/>
    <w:basedOn w:val="Normal"/>
    <w:next w:val="Normal"/>
    <w:rsid w:val="007A0EC3"/>
    <w:pPr>
      <w:tabs>
        <w:tab w:val="left" w:pos="1080"/>
        <w:tab w:val="left" w:pos="1440"/>
      </w:tabs>
      <w:ind w:left="720"/>
    </w:pPr>
  </w:style>
  <w:style w:type="paragraph" w:customStyle="1" w:styleId="ESSubhead">
    <w:name w:val="ES Subhead"/>
    <w:basedOn w:val="AppendixSubhead"/>
    <w:next w:val="Normal"/>
    <w:rsid w:val="0017657C"/>
  </w:style>
  <w:style w:type="paragraph" w:customStyle="1" w:styleId="ESTableTitle">
    <w:name w:val="ES Table Title"/>
    <w:basedOn w:val="Normal"/>
    <w:next w:val="Normal"/>
    <w:rsid w:val="00A25736"/>
    <w:pPr>
      <w:numPr>
        <w:numId w:val="3"/>
      </w:numPr>
      <w:spacing w:line="240" w:lineRule="auto"/>
      <w:jc w:val="center"/>
    </w:pPr>
    <w:rPr>
      <w:rFonts w:ascii="Arial" w:hAnsi="Arial"/>
      <w:b/>
      <w:sz w:val="21"/>
    </w:rPr>
  </w:style>
  <w:style w:type="paragraph" w:customStyle="1" w:styleId="Blockquote">
    <w:name w:val="Blockquote"/>
    <w:basedOn w:val="Normal"/>
    <w:next w:val="Normal"/>
    <w:rsid w:val="008A36DC"/>
    <w:pPr>
      <w:spacing w:before="200"/>
      <w:ind w:left="1080" w:right="720"/>
    </w:pPr>
  </w:style>
  <w:style w:type="paragraph" w:customStyle="1" w:styleId="FrontMatterTitle">
    <w:name w:val="Front Matter Title"/>
    <w:basedOn w:val="Normal"/>
    <w:next w:val="Normal"/>
    <w:rsid w:val="00A14FEB"/>
    <w:pPr>
      <w:spacing w:before="240"/>
      <w:jc w:val="center"/>
    </w:pPr>
    <w:rPr>
      <w:rFonts w:ascii="Arial" w:hAnsi="Arial"/>
      <w:b/>
      <w:sz w:val="28"/>
    </w:rPr>
  </w:style>
  <w:style w:type="paragraph" w:customStyle="1" w:styleId="FigureCaption">
    <w:name w:val="Figure Caption"/>
    <w:next w:val="Normal"/>
    <w:autoRedefine/>
    <w:rsid w:val="00DB10D5"/>
    <w:pPr>
      <w:numPr>
        <w:ilvl w:val="3"/>
        <w:numId w:val="10"/>
      </w:numPr>
      <w:suppressAutoHyphens/>
      <w:spacing w:before="120" w:after="360"/>
      <w:jc w:val="center"/>
    </w:pPr>
    <w:rPr>
      <w:rFonts w:ascii="Arial" w:eastAsia="Times New Roman" w:hAnsi="Arial"/>
      <w:i/>
      <w:sz w:val="21"/>
    </w:rPr>
  </w:style>
  <w:style w:type="paragraph" w:customStyle="1" w:styleId="TableTitle">
    <w:name w:val="Table Title"/>
    <w:next w:val="Normal"/>
    <w:rsid w:val="00DB10D5"/>
    <w:pPr>
      <w:keepNext/>
      <w:numPr>
        <w:ilvl w:val="4"/>
        <w:numId w:val="10"/>
      </w:numPr>
      <w:spacing w:before="360" w:after="60"/>
      <w:jc w:val="center"/>
    </w:pPr>
    <w:rPr>
      <w:rFonts w:ascii="Arial" w:eastAsia="Times New Roman" w:hAnsi="Arial"/>
      <w:b/>
      <w:sz w:val="21"/>
    </w:rPr>
  </w:style>
  <w:style w:type="paragraph" w:customStyle="1" w:styleId="AppendixSubhead">
    <w:name w:val="Appendix Subhead"/>
    <w:basedOn w:val="Normal"/>
    <w:next w:val="Normal"/>
    <w:rsid w:val="005C49CA"/>
    <w:pPr>
      <w:spacing w:before="240"/>
    </w:pPr>
    <w:rPr>
      <w:rFonts w:ascii="Arial" w:hAnsi="Arial"/>
      <w:b/>
      <w:sz w:val="24"/>
    </w:rPr>
  </w:style>
  <w:style w:type="paragraph" w:styleId="BalloonText">
    <w:name w:val="Balloon Text"/>
    <w:basedOn w:val="Normal"/>
    <w:link w:val="BalloonTextChar"/>
    <w:uiPriority w:val="99"/>
    <w:semiHidden/>
    <w:unhideWhenUsed/>
    <w:rsid w:val="00D44A9F"/>
    <w:rPr>
      <w:rFonts w:cs="Tahoma"/>
      <w:sz w:val="16"/>
      <w:szCs w:val="16"/>
    </w:rPr>
  </w:style>
  <w:style w:type="paragraph" w:customStyle="1" w:styleId="BackMatterTitle">
    <w:name w:val="Back Matter Title"/>
    <w:basedOn w:val="Heading1"/>
    <w:next w:val="Normal"/>
    <w:autoRedefine/>
    <w:rsid w:val="00474230"/>
    <w:pPr>
      <w:numPr>
        <w:numId w:val="0"/>
      </w:numPr>
    </w:pPr>
  </w:style>
  <w:style w:type="paragraph" w:customStyle="1" w:styleId="ReferenceText">
    <w:name w:val="Reference Text"/>
    <w:basedOn w:val="Normal"/>
    <w:autoRedefine/>
    <w:rsid w:val="00474230"/>
    <w:pPr>
      <w:spacing w:before="240"/>
      <w:ind w:left="562" w:hanging="562"/>
    </w:pPr>
  </w:style>
  <w:style w:type="paragraph" w:styleId="ListParagraph">
    <w:name w:val="List Paragraph"/>
    <w:basedOn w:val="Normal"/>
    <w:uiPriority w:val="34"/>
    <w:qFormat/>
    <w:rsid w:val="0043756F"/>
    <w:pPr>
      <w:ind w:left="720"/>
      <w:contextualSpacing/>
    </w:pPr>
  </w:style>
  <w:style w:type="paragraph" w:customStyle="1" w:styleId="FigureCaptionAppendix">
    <w:name w:val="Figure Caption Appendix"/>
    <w:basedOn w:val="Normal"/>
    <w:next w:val="Normal"/>
    <w:rsid w:val="006255B6"/>
    <w:pPr>
      <w:suppressAutoHyphens/>
      <w:spacing w:before="120" w:after="360" w:line="240" w:lineRule="auto"/>
      <w:jc w:val="center"/>
    </w:pPr>
    <w:rPr>
      <w:rFonts w:ascii="Arial" w:eastAsia="Times New Roman" w:hAnsi="Arial"/>
      <w:i/>
      <w:sz w:val="21"/>
    </w:rPr>
  </w:style>
  <w:style w:type="paragraph" w:styleId="TOC1">
    <w:name w:val="toc 1"/>
    <w:basedOn w:val="Normal"/>
    <w:next w:val="Normal"/>
    <w:autoRedefine/>
    <w:uiPriority w:val="39"/>
    <w:unhideWhenUsed/>
    <w:rsid w:val="00F94CCF"/>
    <w:pPr>
      <w:spacing w:after="100"/>
    </w:pPr>
  </w:style>
  <w:style w:type="paragraph" w:styleId="TOC2">
    <w:name w:val="toc 2"/>
    <w:basedOn w:val="Normal"/>
    <w:next w:val="Normal"/>
    <w:autoRedefine/>
    <w:uiPriority w:val="39"/>
    <w:unhideWhenUsed/>
    <w:rsid w:val="00D06C85"/>
    <w:pPr>
      <w:tabs>
        <w:tab w:val="left" w:pos="720"/>
        <w:tab w:val="right" w:leader="dot" w:pos="9350"/>
      </w:tabs>
      <w:spacing w:after="100"/>
      <w:ind w:left="360" w:hanging="90"/>
    </w:pPr>
    <w:rPr>
      <w:noProof/>
    </w:rPr>
  </w:style>
  <w:style w:type="paragraph" w:styleId="TOC5">
    <w:name w:val="toc 5"/>
    <w:basedOn w:val="Normal"/>
    <w:next w:val="Normal"/>
    <w:autoRedefine/>
    <w:semiHidden/>
    <w:rsid w:val="00474230"/>
    <w:pPr>
      <w:ind w:left="960"/>
    </w:pPr>
  </w:style>
  <w:style w:type="paragraph" w:styleId="TOC3">
    <w:name w:val="toc 3"/>
    <w:basedOn w:val="Normal"/>
    <w:next w:val="Normal"/>
    <w:autoRedefine/>
    <w:uiPriority w:val="39"/>
    <w:unhideWhenUsed/>
    <w:rsid w:val="00D06C85"/>
    <w:pPr>
      <w:tabs>
        <w:tab w:val="left" w:pos="1080"/>
        <w:tab w:val="right" w:leader="dot" w:pos="9350"/>
      </w:tabs>
      <w:spacing w:after="100"/>
      <w:ind w:left="440"/>
    </w:pPr>
    <w:rPr>
      <w:noProof/>
    </w:rPr>
  </w:style>
  <w:style w:type="paragraph" w:styleId="TOC4">
    <w:name w:val="toc 4"/>
    <w:basedOn w:val="Normal"/>
    <w:next w:val="Normal"/>
    <w:autoRedefine/>
    <w:uiPriority w:val="39"/>
    <w:unhideWhenUsed/>
    <w:rsid w:val="00D06C85"/>
    <w:pPr>
      <w:tabs>
        <w:tab w:val="left" w:pos="1530"/>
        <w:tab w:val="right" w:leader="dot" w:pos="9350"/>
      </w:tabs>
      <w:spacing w:after="100"/>
      <w:ind w:left="660"/>
    </w:pPr>
    <w:rPr>
      <w:noProof/>
    </w:rPr>
  </w:style>
  <w:style w:type="table" w:styleId="TableGrid">
    <w:name w:val="Table Grid"/>
    <w:basedOn w:val="TableNormal"/>
    <w:uiPriority w:val="59"/>
    <w:rsid w:val="0001649F"/>
    <w:rPr>
      <w:rFonts w:ascii="Times New Roman" w:eastAsia="Batang"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43" w:type="dxa"/>
        <w:left w:w="115" w:type="dxa"/>
        <w:bottom w:w="43" w:type="dxa"/>
        <w:right w:w="115" w:type="dxa"/>
      </w:tcMar>
      <w:vAlign w:val="center"/>
    </w:tcPr>
  </w:style>
  <w:style w:type="character" w:customStyle="1" w:styleId="BalloonTextChar">
    <w:name w:val="Balloon Text Char"/>
    <w:link w:val="BalloonText"/>
    <w:uiPriority w:val="99"/>
    <w:semiHidden/>
    <w:rsid w:val="00D44A9F"/>
    <w:rPr>
      <w:rFonts w:ascii="Tahoma" w:hAnsi="Tahoma" w:cs="Tahoma"/>
      <w:sz w:val="16"/>
      <w:szCs w:val="16"/>
    </w:rPr>
  </w:style>
  <w:style w:type="paragraph" w:styleId="NormalWeb">
    <w:name w:val="Normal (Web)"/>
    <w:basedOn w:val="Normal"/>
    <w:uiPriority w:val="99"/>
    <w:semiHidden/>
    <w:unhideWhenUsed/>
    <w:rsid w:val="00D45493"/>
    <w:pPr>
      <w:spacing w:before="100" w:beforeAutospacing="1" w:after="100" w:afterAutospacing="1"/>
    </w:pPr>
    <w:rPr>
      <w:rFonts w:eastAsia="Times New Roman"/>
      <w:szCs w:val="24"/>
    </w:rPr>
  </w:style>
  <w:style w:type="paragraph" w:customStyle="1" w:styleId="TitleLine1">
    <w:name w:val="Title Line 1"/>
    <w:basedOn w:val="Normal"/>
    <w:next w:val="TitleLine2"/>
    <w:rsid w:val="00A14FEB"/>
    <w:pPr>
      <w:jc w:val="right"/>
    </w:pPr>
    <w:rPr>
      <w:rFonts w:ascii="Arial" w:hAnsi="Arial"/>
      <w:b/>
      <w:sz w:val="36"/>
    </w:rPr>
  </w:style>
  <w:style w:type="paragraph" w:customStyle="1" w:styleId="TitleLine2">
    <w:name w:val="Title Line 2"/>
    <w:basedOn w:val="TitleLine1"/>
    <w:next w:val="DateLine"/>
    <w:rsid w:val="00A14FEB"/>
  </w:style>
  <w:style w:type="paragraph" w:customStyle="1" w:styleId="DateLine">
    <w:name w:val="Date Line"/>
    <w:basedOn w:val="TitleLine2"/>
    <w:next w:val="Normal"/>
    <w:rsid w:val="00A14FEB"/>
    <w:rPr>
      <w:sz w:val="28"/>
    </w:rPr>
  </w:style>
  <w:style w:type="paragraph" w:customStyle="1" w:styleId="Footnotes">
    <w:name w:val="Footnotes"/>
    <w:basedOn w:val="Normal"/>
    <w:next w:val="Normal"/>
    <w:rsid w:val="00A14FEB"/>
    <w:rPr>
      <w:sz w:val="18"/>
    </w:rPr>
  </w:style>
  <w:style w:type="paragraph" w:customStyle="1" w:styleId="ESFigureCaption">
    <w:name w:val="ES Figure Caption"/>
    <w:basedOn w:val="Normal"/>
    <w:next w:val="Normal"/>
    <w:rsid w:val="006255B6"/>
    <w:pPr>
      <w:numPr>
        <w:numId w:val="2"/>
      </w:numPr>
      <w:spacing w:line="240" w:lineRule="auto"/>
      <w:jc w:val="center"/>
    </w:pPr>
    <w:rPr>
      <w:i/>
      <w:sz w:val="21"/>
    </w:rPr>
  </w:style>
  <w:style w:type="paragraph" w:customStyle="1" w:styleId="HeaderFooterRight">
    <w:name w:val="Header Footer Right"/>
    <w:basedOn w:val="HeaderFooterLeft"/>
    <w:rsid w:val="00A14FEB"/>
    <w:pPr>
      <w:jc w:val="right"/>
    </w:pPr>
  </w:style>
  <w:style w:type="paragraph" w:customStyle="1" w:styleId="HeaderFooterLeft">
    <w:name w:val="Header Footer Left"/>
    <w:basedOn w:val="Normal"/>
    <w:rsid w:val="00A14FEB"/>
    <w:rPr>
      <w:rFonts w:ascii="Arial" w:hAnsi="Arial" w:cs="Arial"/>
      <w:sz w:val="18"/>
      <w:szCs w:val="18"/>
    </w:rPr>
  </w:style>
  <w:style w:type="character" w:customStyle="1" w:styleId="Heading7Char">
    <w:name w:val="Heading 7 Char"/>
    <w:basedOn w:val="DefaultParagraphFont"/>
    <w:link w:val="Heading7"/>
    <w:uiPriority w:val="9"/>
    <w:semiHidden/>
    <w:rsid w:val="004375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5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3756F"/>
    <w:rPr>
      <w:rFonts w:asciiTheme="majorHAnsi" w:eastAsiaTheme="majorEastAsia" w:hAnsiTheme="majorHAnsi" w:cstheme="majorBidi"/>
      <w:i/>
      <w:iCs/>
      <w:color w:val="404040" w:themeColor="text1" w:themeTint="BF"/>
      <w:sz w:val="20"/>
      <w:szCs w:val="20"/>
    </w:rPr>
  </w:style>
  <w:style w:type="paragraph" w:customStyle="1" w:styleId="AppendixATableTitle">
    <w:name w:val="Appendix A Table Title"/>
    <w:basedOn w:val="ESTableTitle"/>
    <w:next w:val="Normal"/>
    <w:rsid w:val="001E41ED"/>
    <w:pPr>
      <w:numPr>
        <w:numId w:val="4"/>
      </w:numPr>
    </w:pPr>
  </w:style>
  <w:style w:type="paragraph" w:customStyle="1" w:styleId="AppendixAFigureCaption">
    <w:name w:val="Appendix A Figure Caption"/>
    <w:basedOn w:val="ESFigureCaption"/>
    <w:rsid w:val="00E65944"/>
    <w:pPr>
      <w:numPr>
        <w:numId w:val="5"/>
      </w:numPr>
    </w:pPr>
  </w:style>
  <w:style w:type="paragraph" w:customStyle="1" w:styleId="AppendixBFigureCaption">
    <w:name w:val="Appendix B Figure Caption"/>
    <w:basedOn w:val="AppendixAFigureCaption"/>
    <w:next w:val="Normal"/>
    <w:rsid w:val="00FD5E9E"/>
    <w:pPr>
      <w:numPr>
        <w:numId w:val="6"/>
      </w:numPr>
    </w:pPr>
  </w:style>
  <w:style w:type="paragraph" w:customStyle="1" w:styleId="AppendixBTableTitle">
    <w:name w:val="Appendix B Table Title"/>
    <w:basedOn w:val="AppendixATableTitle"/>
    <w:next w:val="Normal"/>
    <w:rsid w:val="00B51F08"/>
    <w:pPr>
      <w:numPr>
        <w:numId w:val="7"/>
      </w:numPr>
    </w:pPr>
  </w:style>
  <w:style w:type="paragraph" w:customStyle="1" w:styleId="AppendixCTableTitle">
    <w:name w:val="Appendix C Table Title"/>
    <w:basedOn w:val="AppendixBTableTitle"/>
    <w:next w:val="Normal"/>
    <w:rsid w:val="00B51F08"/>
    <w:pPr>
      <w:numPr>
        <w:numId w:val="8"/>
      </w:numPr>
    </w:pPr>
  </w:style>
  <w:style w:type="paragraph" w:customStyle="1" w:styleId="AppendixCFigureCaption">
    <w:name w:val="Appendix C Figure Caption"/>
    <w:basedOn w:val="AppendixBFigureCaption"/>
    <w:next w:val="Normal"/>
    <w:rsid w:val="00F07921"/>
    <w:pPr>
      <w:numPr>
        <w:numId w:val="9"/>
      </w:numPr>
    </w:pPr>
  </w:style>
  <w:style w:type="paragraph" w:styleId="TableofFigures">
    <w:name w:val="table of figures"/>
    <w:basedOn w:val="Normal"/>
    <w:next w:val="Normal"/>
    <w:uiPriority w:val="99"/>
    <w:unhideWhenUsed/>
    <w:rsid w:val="000654E1"/>
    <w:pPr>
      <w:spacing w:after="0"/>
    </w:pPr>
  </w:style>
  <w:style w:type="paragraph" w:styleId="Header">
    <w:name w:val="header"/>
    <w:basedOn w:val="Normal"/>
    <w:link w:val="HeaderChar"/>
    <w:uiPriority w:val="99"/>
    <w:unhideWhenUsed/>
    <w:rsid w:val="0009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CB"/>
    <w:rPr>
      <w:rFonts w:ascii="Tahoma" w:hAnsi="Tahoma"/>
      <w:sz w:val="22"/>
    </w:rPr>
  </w:style>
  <w:style w:type="paragraph" w:styleId="FootnoteText">
    <w:name w:val="footnote text"/>
    <w:basedOn w:val="Normal"/>
    <w:link w:val="FootnoteTextChar"/>
    <w:uiPriority w:val="99"/>
    <w:semiHidden/>
    <w:unhideWhenUsed/>
    <w:rsid w:val="00090BCB"/>
    <w:pPr>
      <w:spacing w:after="0" w:line="240" w:lineRule="auto"/>
    </w:pPr>
    <w:rPr>
      <w:rFonts w:eastAsiaTheme="minorHAnsi"/>
      <w:sz w:val="20"/>
    </w:rPr>
  </w:style>
  <w:style w:type="character" w:customStyle="1" w:styleId="FootnoteTextChar">
    <w:name w:val="Footnote Text Char"/>
    <w:basedOn w:val="DefaultParagraphFont"/>
    <w:link w:val="FootnoteText"/>
    <w:uiPriority w:val="99"/>
    <w:semiHidden/>
    <w:rsid w:val="00090BC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90BCB"/>
    <w:rPr>
      <w:vertAlign w:val="superscript"/>
    </w:rPr>
  </w:style>
  <w:style w:type="character" w:styleId="CommentReference">
    <w:name w:val="annotation reference"/>
    <w:basedOn w:val="DefaultParagraphFont"/>
    <w:uiPriority w:val="99"/>
    <w:semiHidden/>
    <w:unhideWhenUsed/>
    <w:rsid w:val="00C56E73"/>
    <w:rPr>
      <w:sz w:val="16"/>
      <w:szCs w:val="16"/>
    </w:rPr>
  </w:style>
  <w:style w:type="paragraph" w:styleId="CommentText">
    <w:name w:val="annotation text"/>
    <w:basedOn w:val="Normal"/>
    <w:link w:val="CommentTextChar"/>
    <w:uiPriority w:val="99"/>
    <w:semiHidden/>
    <w:unhideWhenUsed/>
    <w:rsid w:val="00C56E73"/>
    <w:pPr>
      <w:spacing w:line="240" w:lineRule="auto"/>
    </w:pPr>
    <w:rPr>
      <w:sz w:val="20"/>
    </w:rPr>
  </w:style>
  <w:style w:type="character" w:customStyle="1" w:styleId="CommentTextChar">
    <w:name w:val="Comment Text Char"/>
    <w:basedOn w:val="DefaultParagraphFont"/>
    <w:link w:val="CommentText"/>
    <w:uiPriority w:val="99"/>
    <w:semiHidden/>
    <w:rsid w:val="00C56E73"/>
    <w:rPr>
      <w:rFonts w:ascii="Tahoma" w:hAnsi="Tahoma"/>
    </w:rPr>
  </w:style>
  <w:style w:type="paragraph" w:styleId="CommentSubject">
    <w:name w:val="annotation subject"/>
    <w:basedOn w:val="CommentText"/>
    <w:next w:val="CommentText"/>
    <w:link w:val="CommentSubjectChar"/>
    <w:uiPriority w:val="99"/>
    <w:semiHidden/>
    <w:unhideWhenUsed/>
    <w:rsid w:val="00C56E73"/>
    <w:rPr>
      <w:b/>
      <w:bCs/>
    </w:rPr>
  </w:style>
  <w:style w:type="character" w:customStyle="1" w:styleId="CommentSubjectChar">
    <w:name w:val="Comment Subject Char"/>
    <w:basedOn w:val="CommentTextChar"/>
    <w:link w:val="CommentSubject"/>
    <w:uiPriority w:val="99"/>
    <w:semiHidden/>
    <w:rsid w:val="00C56E73"/>
    <w:rPr>
      <w:rFonts w:ascii="Tahoma" w:hAnsi="Tahoma"/>
      <w:b/>
      <w:bCs/>
    </w:rPr>
  </w:style>
  <w:style w:type="paragraph" w:styleId="Revision">
    <w:name w:val="Revision"/>
    <w:hidden/>
    <w:uiPriority w:val="99"/>
    <w:semiHidden/>
    <w:rsid w:val="0042455E"/>
    <w:rPr>
      <w:rFonts w:ascii="Tahoma" w:hAnsi="Tahoma"/>
    </w:rPr>
  </w:style>
  <w:style w:type="character" w:customStyle="1" w:styleId="Heading1Char">
    <w:name w:val="Heading 1 Char"/>
    <w:basedOn w:val="DefaultParagraphFont"/>
    <w:link w:val="Heading1"/>
    <w:uiPriority w:val="9"/>
    <w:rsid w:val="004375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75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5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5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375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3756F"/>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semiHidden/>
    <w:unhideWhenUsed/>
    <w:qFormat/>
    <w:rsid w:val="0043756F"/>
    <w:pPr>
      <w:spacing w:line="240" w:lineRule="auto"/>
    </w:pPr>
    <w:rPr>
      <w:b/>
      <w:bCs/>
      <w:color w:val="4F81BD" w:themeColor="accent1"/>
      <w:sz w:val="18"/>
      <w:szCs w:val="18"/>
    </w:rPr>
  </w:style>
  <w:style w:type="paragraph" w:styleId="Title">
    <w:name w:val="Title"/>
    <w:basedOn w:val="Normal"/>
    <w:next w:val="Normal"/>
    <w:link w:val="TitleChar"/>
    <w:uiPriority w:val="10"/>
    <w:qFormat/>
    <w:rsid w:val="004375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5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5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75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3756F"/>
    <w:rPr>
      <w:b/>
      <w:bCs/>
    </w:rPr>
  </w:style>
  <w:style w:type="character" w:styleId="Emphasis">
    <w:name w:val="Emphasis"/>
    <w:basedOn w:val="DefaultParagraphFont"/>
    <w:uiPriority w:val="20"/>
    <w:qFormat/>
    <w:rsid w:val="0043756F"/>
    <w:rPr>
      <w:i/>
      <w:iCs/>
    </w:rPr>
  </w:style>
  <w:style w:type="paragraph" w:styleId="NoSpacing">
    <w:name w:val="No Spacing"/>
    <w:uiPriority w:val="1"/>
    <w:qFormat/>
    <w:rsid w:val="0043756F"/>
    <w:pPr>
      <w:spacing w:after="0" w:line="240" w:lineRule="auto"/>
    </w:pPr>
  </w:style>
  <w:style w:type="paragraph" w:styleId="Quote">
    <w:name w:val="Quote"/>
    <w:basedOn w:val="Normal"/>
    <w:next w:val="Normal"/>
    <w:link w:val="QuoteChar"/>
    <w:uiPriority w:val="29"/>
    <w:qFormat/>
    <w:rsid w:val="0043756F"/>
    <w:rPr>
      <w:i/>
      <w:iCs/>
      <w:color w:val="000000" w:themeColor="text1"/>
    </w:rPr>
  </w:style>
  <w:style w:type="character" w:customStyle="1" w:styleId="QuoteChar">
    <w:name w:val="Quote Char"/>
    <w:basedOn w:val="DefaultParagraphFont"/>
    <w:link w:val="Quote"/>
    <w:uiPriority w:val="29"/>
    <w:rsid w:val="0043756F"/>
    <w:rPr>
      <w:i/>
      <w:iCs/>
      <w:color w:val="000000" w:themeColor="text1"/>
    </w:rPr>
  </w:style>
  <w:style w:type="paragraph" w:styleId="IntenseQuote">
    <w:name w:val="Intense Quote"/>
    <w:basedOn w:val="Normal"/>
    <w:next w:val="Normal"/>
    <w:link w:val="IntenseQuoteChar"/>
    <w:uiPriority w:val="30"/>
    <w:qFormat/>
    <w:rsid w:val="004375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56F"/>
    <w:rPr>
      <w:b/>
      <w:bCs/>
      <w:i/>
      <w:iCs/>
      <w:color w:val="4F81BD" w:themeColor="accent1"/>
    </w:rPr>
  </w:style>
  <w:style w:type="character" w:styleId="SubtleEmphasis">
    <w:name w:val="Subtle Emphasis"/>
    <w:basedOn w:val="DefaultParagraphFont"/>
    <w:uiPriority w:val="19"/>
    <w:qFormat/>
    <w:rsid w:val="0043756F"/>
    <w:rPr>
      <w:i/>
      <w:iCs/>
      <w:color w:val="808080" w:themeColor="text1" w:themeTint="7F"/>
    </w:rPr>
  </w:style>
  <w:style w:type="character" w:styleId="IntenseEmphasis">
    <w:name w:val="Intense Emphasis"/>
    <w:basedOn w:val="DefaultParagraphFont"/>
    <w:uiPriority w:val="21"/>
    <w:qFormat/>
    <w:rsid w:val="0043756F"/>
    <w:rPr>
      <w:b/>
      <w:bCs/>
      <w:i/>
      <w:iCs/>
      <w:color w:val="4F81BD" w:themeColor="accent1"/>
    </w:rPr>
  </w:style>
  <w:style w:type="character" w:styleId="SubtleReference">
    <w:name w:val="Subtle Reference"/>
    <w:basedOn w:val="DefaultParagraphFont"/>
    <w:uiPriority w:val="31"/>
    <w:qFormat/>
    <w:rsid w:val="0043756F"/>
    <w:rPr>
      <w:smallCaps/>
      <w:color w:val="C0504D" w:themeColor="accent2"/>
      <w:u w:val="single"/>
    </w:rPr>
  </w:style>
  <w:style w:type="character" w:styleId="IntenseReference">
    <w:name w:val="Intense Reference"/>
    <w:basedOn w:val="DefaultParagraphFont"/>
    <w:uiPriority w:val="32"/>
    <w:qFormat/>
    <w:rsid w:val="0043756F"/>
    <w:rPr>
      <w:b/>
      <w:bCs/>
      <w:smallCaps/>
      <w:color w:val="C0504D" w:themeColor="accent2"/>
      <w:spacing w:val="5"/>
      <w:u w:val="single"/>
    </w:rPr>
  </w:style>
  <w:style w:type="character" w:styleId="BookTitle">
    <w:name w:val="Book Title"/>
    <w:basedOn w:val="DefaultParagraphFont"/>
    <w:uiPriority w:val="33"/>
    <w:qFormat/>
    <w:rsid w:val="0043756F"/>
    <w:rPr>
      <w:b/>
      <w:bCs/>
      <w:smallCaps/>
      <w:spacing w:val="5"/>
    </w:rPr>
  </w:style>
  <w:style w:type="paragraph" w:styleId="TOCHeading">
    <w:name w:val="TOC Heading"/>
    <w:basedOn w:val="Heading1"/>
    <w:next w:val="Normal"/>
    <w:uiPriority w:val="39"/>
    <w:semiHidden/>
    <w:unhideWhenUsed/>
    <w:qFormat/>
    <w:rsid w:val="0043756F"/>
    <w:pPr>
      <w:outlineLvl w:val="9"/>
    </w:pPr>
  </w:style>
  <w:style w:type="paragraph" w:customStyle="1" w:styleId="tablehead">
    <w:name w:val="table head"/>
    <w:basedOn w:val="BodyText"/>
    <w:rsid w:val="00BE7F5F"/>
    <w:pPr>
      <w:spacing w:before="20" w:after="20" w:line="240" w:lineRule="exact"/>
    </w:pPr>
    <w:rPr>
      <w:rFonts w:ascii="Arial" w:eastAsia="Times New Roman" w:hAnsi="Arial" w:cs="Times New Roman"/>
      <w:b/>
      <w:sz w:val="18"/>
      <w:szCs w:val="24"/>
    </w:rPr>
  </w:style>
  <w:style w:type="paragraph" w:styleId="BodyText">
    <w:name w:val="Body Text"/>
    <w:basedOn w:val="Normal"/>
    <w:link w:val="BodyTextChar"/>
    <w:uiPriority w:val="99"/>
    <w:semiHidden/>
    <w:unhideWhenUsed/>
    <w:rsid w:val="00BE7F5F"/>
    <w:pPr>
      <w:spacing w:after="120"/>
    </w:pPr>
  </w:style>
  <w:style w:type="character" w:customStyle="1" w:styleId="BodyTextChar">
    <w:name w:val="Body Text Char"/>
    <w:basedOn w:val="DefaultParagraphFont"/>
    <w:link w:val="BodyText"/>
    <w:uiPriority w:val="99"/>
    <w:semiHidden/>
    <w:rsid w:val="00BE7F5F"/>
  </w:style>
  <w:style w:type="character" w:styleId="Hyperlink">
    <w:name w:val="Hyperlink"/>
    <w:basedOn w:val="DefaultParagraphFont"/>
    <w:uiPriority w:val="99"/>
    <w:unhideWhenUsed/>
    <w:rsid w:val="00511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ubmissions.mirasmart.com/pesgm2015/Itinerary/TechnicalProgramSubmissionDetail.asp?id=2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438FCC6-0E76-4F70-8364-5F07E447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1505</Words>
  <Characters>8580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System Planning Draft Report</vt:lpstr>
    </vt:vector>
  </TitlesOfParts>
  <Company>Home</Company>
  <LinksUpToDate>false</LinksUpToDate>
  <CharactersWithSpaces>10065</CharactersWithSpaces>
  <SharedDoc>false</SharedDoc>
  <HLinks>
    <vt:vector size="174" baseType="variant">
      <vt:variant>
        <vt:i4>3932250</vt:i4>
      </vt:variant>
      <vt:variant>
        <vt:i4>231</vt:i4>
      </vt:variant>
      <vt:variant>
        <vt:i4>0</vt:i4>
      </vt:variant>
      <vt:variant>
        <vt:i4>5</vt:i4>
      </vt:variant>
      <vt:variant>
        <vt:lpwstr>mailto:ashleyw@mail.utexas.edu</vt:lpwstr>
      </vt:variant>
      <vt:variant>
        <vt:lpwstr/>
      </vt:variant>
      <vt:variant>
        <vt:i4>8323116</vt:i4>
      </vt:variant>
      <vt:variant>
        <vt:i4>228</vt:i4>
      </vt:variant>
      <vt:variant>
        <vt:i4>0</vt:i4>
      </vt:variant>
      <vt:variant>
        <vt:i4>5</vt:i4>
      </vt:variant>
      <vt:variant>
        <vt:lpwstr>mailto:sarah.lind@mail.utexas.edu</vt:lpwstr>
      </vt:variant>
      <vt:variant>
        <vt:lpwstr/>
      </vt:variant>
      <vt:variant>
        <vt:i4>458770</vt:i4>
      </vt:variant>
      <vt:variant>
        <vt:i4>225</vt:i4>
      </vt:variant>
      <vt:variant>
        <vt:i4>0</vt:i4>
      </vt:variant>
      <vt:variant>
        <vt:i4>5</vt:i4>
      </vt:variant>
      <vt:variant>
        <vt:lpwstr>mailto:maureenk@mail.utexas.edu</vt:lpwstr>
      </vt:variant>
      <vt:variant>
        <vt:lpwstr/>
      </vt:variant>
      <vt:variant>
        <vt:i4>1835098</vt:i4>
      </vt:variant>
      <vt:variant>
        <vt:i4>222</vt:i4>
      </vt:variant>
      <vt:variant>
        <vt:i4>0</vt:i4>
      </vt:variant>
      <vt:variant>
        <vt:i4>5</vt:i4>
      </vt:variant>
      <vt:variant>
        <vt:lpwstr>mailto:clari.lavaye@mail.utexas.edu</vt:lpwstr>
      </vt:variant>
      <vt:variant>
        <vt:lpwstr/>
      </vt:variant>
      <vt:variant>
        <vt:i4>1245189</vt:i4>
      </vt:variant>
      <vt:variant>
        <vt:i4>215</vt:i4>
      </vt:variant>
      <vt:variant>
        <vt:i4>0</vt:i4>
      </vt:variant>
      <vt:variant>
        <vt:i4>5</vt:i4>
      </vt:variant>
      <vt:variant>
        <vt:lpwstr/>
      </vt:variant>
      <vt:variant>
        <vt:lpwstr>_Toc187568411</vt:lpwstr>
      </vt:variant>
      <vt:variant>
        <vt:i4>1245188</vt:i4>
      </vt:variant>
      <vt:variant>
        <vt:i4>209</vt:i4>
      </vt:variant>
      <vt:variant>
        <vt:i4>0</vt:i4>
      </vt:variant>
      <vt:variant>
        <vt:i4>5</vt:i4>
      </vt:variant>
      <vt:variant>
        <vt:lpwstr/>
      </vt:variant>
      <vt:variant>
        <vt:lpwstr>_Toc187568410</vt:lpwstr>
      </vt:variant>
      <vt:variant>
        <vt:i4>1769478</vt:i4>
      </vt:variant>
      <vt:variant>
        <vt:i4>200</vt:i4>
      </vt:variant>
      <vt:variant>
        <vt:i4>0</vt:i4>
      </vt:variant>
      <vt:variant>
        <vt:i4>5</vt:i4>
      </vt:variant>
      <vt:variant>
        <vt:lpwstr/>
      </vt:variant>
      <vt:variant>
        <vt:lpwstr>_Toc187568395</vt:lpwstr>
      </vt:variant>
      <vt:variant>
        <vt:i4>1769479</vt:i4>
      </vt:variant>
      <vt:variant>
        <vt:i4>194</vt:i4>
      </vt:variant>
      <vt:variant>
        <vt:i4>0</vt:i4>
      </vt:variant>
      <vt:variant>
        <vt:i4>5</vt:i4>
      </vt:variant>
      <vt:variant>
        <vt:lpwstr/>
      </vt:variant>
      <vt:variant>
        <vt:lpwstr>_Toc187568394</vt:lpwstr>
      </vt:variant>
      <vt:variant>
        <vt:i4>1966094</vt:i4>
      </vt:variant>
      <vt:variant>
        <vt:i4>185</vt:i4>
      </vt:variant>
      <vt:variant>
        <vt:i4>0</vt:i4>
      </vt:variant>
      <vt:variant>
        <vt:i4>5</vt:i4>
      </vt:variant>
      <vt:variant>
        <vt:lpwstr/>
      </vt:variant>
      <vt:variant>
        <vt:lpwstr>_Toc149108741</vt:lpwstr>
      </vt:variant>
      <vt:variant>
        <vt:i4>1966095</vt:i4>
      </vt:variant>
      <vt:variant>
        <vt:i4>179</vt:i4>
      </vt:variant>
      <vt:variant>
        <vt:i4>0</vt:i4>
      </vt:variant>
      <vt:variant>
        <vt:i4>5</vt:i4>
      </vt:variant>
      <vt:variant>
        <vt:lpwstr/>
      </vt:variant>
      <vt:variant>
        <vt:lpwstr>_Toc149108740</vt:lpwstr>
      </vt:variant>
      <vt:variant>
        <vt:i4>1376258</vt:i4>
      </vt:variant>
      <vt:variant>
        <vt:i4>170</vt:i4>
      </vt:variant>
      <vt:variant>
        <vt:i4>0</vt:i4>
      </vt:variant>
      <vt:variant>
        <vt:i4>5</vt:i4>
      </vt:variant>
      <vt:variant>
        <vt:lpwstr/>
      </vt:variant>
      <vt:variant>
        <vt:lpwstr>_Toc187568371</vt:lpwstr>
      </vt:variant>
      <vt:variant>
        <vt:i4>1376259</vt:i4>
      </vt:variant>
      <vt:variant>
        <vt:i4>164</vt:i4>
      </vt:variant>
      <vt:variant>
        <vt:i4>0</vt:i4>
      </vt:variant>
      <vt:variant>
        <vt:i4>5</vt:i4>
      </vt:variant>
      <vt:variant>
        <vt:lpwstr/>
      </vt:variant>
      <vt:variant>
        <vt:lpwstr>_Toc187568370</vt:lpwstr>
      </vt:variant>
      <vt:variant>
        <vt:i4>1835019</vt:i4>
      </vt:variant>
      <vt:variant>
        <vt:i4>155</vt:i4>
      </vt:variant>
      <vt:variant>
        <vt:i4>0</vt:i4>
      </vt:variant>
      <vt:variant>
        <vt:i4>5</vt:i4>
      </vt:variant>
      <vt:variant>
        <vt:lpwstr/>
      </vt:variant>
      <vt:variant>
        <vt:lpwstr>_Toc149720786</vt:lpwstr>
      </vt:variant>
      <vt:variant>
        <vt:i4>1835016</vt:i4>
      </vt:variant>
      <vt:variant>
        <vt:i4>149</vt:i4>
      </vt:variant>
      <vt:variant>
        <vt:i4>0</vt:i4>
      </vt:variant>
      <vt:variant>
        <vt:i4>5</vt:i4>
      </vt:variant>
      <vt:variant>
        <vt:lpwstr/>
      </vt:variant>
      <vt:variant>
        <vt:lpwstr>_Toc149720785</vt:lpwstr>
      </vt:variant>
      <vt:variant>
        <vt:i4>1835017</vt:i4>
      </vt:variant>
      <vt:variant>
        <vt:i4>143</vt:i4>
      </vt:variant>
      <vt:variant>
        <vt:i4>0</vt:i4>
      </vt:variant>
      <vt:variant>
        <vt:i4>5</vt:i4>
      </vt:variant>
      <vt:variant>
        <vt:lpwstr/>
      </vt:variant>
      <vt:variant>
        <vt:lpwstr>_Toc149720784</vt:lpwstr>
      </vt:variant>
      <vt:variant>
        <vt:i4>1835022</vt:i4>
      </vt:variant>
      <vt:variant>
        <vt:i4>137</vt:i4>
      </vt:variant>
      <vt:variant>
        <vt:i4>0</vt:i4>
      </vt:variant>
      <vt:variant>
        <vt:i4>5</vt:i4>
      </vt:variant>
      <vt:variant>
        <vt:lpwstr/>
      </vt:variant>
      <vt:variant>
        <vt:lpwstr>_Toc149720783</vt:lpwstr>
      </vt:variant>
      <vt:variant>
        <vt:i4>1835023</vt:i4>
      </vt:variant>
      <vt:variant>
        <vt:i4>131</vt:i4>
      </vt:variant>
      <vt:variant>
        <vt:i4>0</vt:i4>
      </vt:variant>
      <vt:variant>
        <vt:i4>5</vt:i4>
      </vt:variant>
      <vt:variant>
        <vt:lpwstr/>
      </vt:variant>
      <vt:variant>
        <vt:lpwstr>_Toc149720782</vt:lpwstr>
      </vt:variant>
      <vt:variant>
        <vt:i4>1835020</vt:i4>
      </vt:variant>
      <vt:variant>
        <vt:i4>125</vt:i4>
      </vt:variant>
      <vt:variant>
        <vt:i4>0</vt:i4>
      </vt:variant>
      <vt:variant>
        <vt:i4>5</vt:i4>
      </vt:variant>
      <vt:variant>
        <vt:lpwstr/>
      </vt:variant>
      <vt:variant>
        <vt:lpwstr>_Toc149720781</vt:lpwstr>
      </vt:variant>
      <vt:variant>
        <vt:i4>1835021</vt:i4>
      </vt:variant>
      <vt:variant>
        <vt:i4>119</vt:i4>
      </vt:variant>
      <vt:variant>
        <vt:i4>0</vt:i4>
      </vt:variant>
      <vt:variant>
        <vt:i4>5</vt:i4>
      </vt:variant>
      <vt:variant>
        <vt:lpwstr/>
      </vt:variant>
      <vt:variant>
        <vt:lpwstr>_Toc149720780</vt:lpwstr>
      </vt:variant>
      <vt:variant>
        <vt:i4>1245188</vt:i4>
      </vt:variant>
      <vt:variant>
        <vt:i4>113</vt:i4>
      </vt:variant>
      <vt:variant>
        <vt:i4>0</vt:i4>
      </vt:variant>
      <vt:variant>
        <vt:i4>5</vt:i4>
      </vt:variant>
      <vt:variant>
        <vt:lpwstr/>
      </vt:variant>
      <vt:variant>
        <vt:lpwstr>_Toc149720779</vt:lpwstr>
      </vt:variant>
      <vt:variant>
        <vt:i4>1245189</vt:i4>
      </vt:variant>
      <vt:variant>
        <vt:i4>107</vt:i4>
      </vt:variant>
      <vt:variant>
        <vt:i4>0</vt:i4>
      </vt:variant>
      <vt:variant>
        <vt:i4>5</vt:i4>
      </vt:variant>
      <vt:variant>
        <vt:lpwstr/>
      </vt:variant>
      <vt:variant>
        <vt:lpwstr>_Toc149720778</vt:lpwstr>
      </vt:variant>
      <vt:variant>
        <vt:i4>1245194</vt:i4>
      </vt:variant>
      <vt:variant>
        <vt:i4>101</vt:i4>
      </vt:variant>
      <vt:variant>
        <vt:i4>0</vt:i4>
      </vt:variant>
      <vt:variant>
        <vt:i4>5</vt:i4>
      </vt:variant>
      <vt:variant>
        <vt:lpwstr/>
      </vt:variant>
      <vt:variant>
        <vt:lpwstr>_Toc149720777</vt:lpwstr>
      </vt:variant>
      <vt:variant>
        <vt:i4>1245195</vt:i4>
      </vt:variant>
      <vt:variant>
        <vt:i4>95</vt:i4>
      </vt:variant>
      <vt:variant>
        <vt:i4>0</vt:i4>
      </vt:variant>
      <vt:variant>
        <vt:i4>5</vt:i4>
      </vt:variant>
      <vt:variant>
        <vt:lpwstr/>
      </vt:variant>
      <vt:variant>
        <vt:lpwstr>_Toc149720776</vt:lpwstr>
      </vt:variant>
      <vt:variant>
        <vt:i4>1245192</vt:i4>
      </vt:variant>
      <vt:variant>
        <vt:i4>89</vt:i4>
      </vt:variant>
      <vt:variant>
        <vt:i4>0</vt:i4>
      </vt:variant>
      <vt:variant>
        <vt:i4>5</vt:i4>
      </vt:variant>
      <vt:variant>
        <vt:lpwstr/>
      </vt:variant>
      <vt:variant>
        <vt:lpwstr>_Toc149720775</vt:lpwstr>
      </vt:variant>
      <vt:variant>
        <vt:i4>1245193</vt:i4>
      </vt:variant>
      <vt:variant>
        <vt:i4>83</vt:i4>
      </vt:variant>
      <vt:variant>
        <vt:i4>0</vt:i4>
      </vt:variant>
      <vt:variant>
        <vt:i4>5</vt:i4>
      </vt:variant>
      <vt:variant>
        <vt:lpwstr/>
      </vt:variant>
      <vt:variant>
        <vt:lpwstr>_Toc149720774</vt:lpwstr>
      </vt:variant>
      <vt:variant>
        <vt:i4>1245198</vt:i4>
      </vt:variant>
      <vt:variant>
        <vt:i4>77</vt:i4>
      </vt:variant>
      <vt:variant>
        <vt:i4>0</vt:i4>
      </vt:variant>
      <vt:variant>
        <vt:i4>5</vt:i4>
      </vt:variant>
      <vt:variant>
        <vt:lpwstr/>
      </vt:variant>
      <vt:variant>
        <vt:lpwstr>_Toc149720773</vt:lpwstr>
      </vt:variant>
      <vt:variant>
        <vt:i4>1245199</vt:i4>
      </vt:variant>
      <vt:variant>
        <vt:i4>71</vt:i4>
      </vt:variant>
      <vt:variant>
        <vt:i4>0</vt:i4>
      </vt:variant>
      <vt:variant>
        <vt:i4>5</vt:i4>
      </vt:variant>
      <vt:variant>
        <vt:lpwstr/>
      </vt:variant>
      <vt:variant>
        <vt:lpwstr>_Toc149720772</vt:lpwstr>
      </vt:variant>
      <vt:variant>
        <vt:i4>1245196</vt:i4>
      </vt:variant>
      <vt:variant>
        <vt:i4>65</vt:i4>
      </vt:variant>
      <vt:variant>
        <vt:i4>0</vt:i4>
      </vt:variant>
      <vt:variant>
        <vt:i4>5</vt:i4>
      </vt:variant>
      <vt:variant>
        <vt:lpwstr/>
      </vt:variant>
      <vt:variant>
        <vt:lpwstr>_Toc149720771</vt:lpwstr>
      </vt:variant>
      <vt:variant>
        <vt:i4>1245197</vt:i4>
      </vt:variant>
      <vt:variant>
        <vt:i4>59</vt:i4>
      </vt:variant>
      <vt:variant>
        <vt:i4>0</vt:i4>
      </vt:variant>
      <vt:variant>
        <vt:i4>5</vt:i4>
      </vt:variant>
      <vt:variant>
        <vt:lpwstr/>
      </vt:variant>
      <vt:variant>
        <vt:lpwstr>_Toc149720770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Planning Draft Report</dc:title>
  <dc:creator>Pappu, Ajay</dc:creator>
  <cp:lastModifiedBy>Rose, Jonathan</cp:lastModifiedBy>
  <cp:revision>2</cp:revision>
  <cp:lastPrinted>2004-06-17T19:34:00Z</cp:lastPrinted>
  <dcterms:created xsi:type="dcterms:W3CDTF">2020-10-27T15:48:00Z</dcterms:created>
  <dcterms:modified xsi:type="dcterms:W3CDTF">2020-10-27T15:48:00Z</dcterms:modified>
</cp:coreProperties>
</file>