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160B37F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8400D6" w:rsidRPr="00B32146">
        <w:rPr>
          <w:rFonts w:ascii="Arial" w:hAnsi="Arial" w:cs="Arial"/>
          <w:color w:val="5B6770" w:themeColor="text2"/>
          <w:sz w:val="22"/>
          <w:szCs w:val="22"/>
        </w:rPr>
        <w:t xml:space="preserve">1,112.96 </w:t>
      </w:r>
      <w:r w:rsidR="008400D6" w:rsidRPr="00933E55">
        <w:rPr>
          <w:rFonts w:ascii="Arial" w:hAnsi="Arial" w:cs="Arial"/>
          <w:color w:val="5B6770" w:themeColor="text2"/>
          <w:sz w:val="22"/>
          <w:szCs w:val="22"/>
        </w:rPr>
        <w:t>Million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FA0FFA">
        <w:rPr>
          <w:rFonts w:ascii="Arial" w:hAnsi="Arial" w:cs="Arial"/>
          <w:color w:val="5B6770" w:themeColor="text2"/>
          <w:sz w:val="22"/>
          <w:szCs w:val="22"/>
        </w:rPr>
        <w:t>December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454E8718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9615FB" w:rsidRPr="00933E55">
        <w:rPr>
          <w:rFonts w:ascii="Arial" w:hAnsi="Arial" w:cs="Arial"/>
          <w:color w:val="5B6770" w:themeColor="text2"/>
          <w:sz w:val="22"/>
          <w:szCs w:val="22"/>
        </w:rPr>
        <w:t xml:space="preserve">1,043.29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FA0FFA">
        <w:rPr>
          <w:rFonts w:ascii="Arial" w:hAnsi="Arial" w:cs="Arial"/>
          <w:color w:val="5B6770" w:themeColor="text2"/>
          <w:sz w:val="22"/>
          <w:szCs w:val="22"/>
        </w:rPr>
        <w:t>December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39683029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>6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>October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0242C5D5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</w:t>
      </w:r>
      <w:r w:rsidR="004B6A32">
        <w:rPr>
          <w:rFonts w:cs="Arial"/>
          <w:sz w:val="22"/>
          <w:szCs w:val="22"/>
        </w:rPr>
        <w:t>.</w:t>
      </w:r>
      <w:r w:rsidR="00834AF3">
        <w:rPr>
          <w:rFonts w:cs="Arial"/>
          <w:sz w:val="22"/>
          <w:szCs w:val="22"/>
        </w:rPr>
        <w:t>20</w:t>
      </w:r>
      <w:r w:rsidR="004C7869">
        <w:rPr>
          <w:rFonts w:cs="Arial"/>
          <w:sz w:val="22"/>
          <w:szCs w:val="22"/>
        </w:rPr>
        <w:t xml:space="preserve"> </w:t>
      </w:r>
      <w:r w:rsidR="004B6A32">
        <w:rPr>
          <w:rFonts w:cs="Arial"/>
          <w:sz w:val="22"/>
          <w:szCs w:val="22"/>
        </w:rPr>
        <w:t>B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834AF3">
        <w:rPr>
          <w:rFonts w:cs="Arial"/>
          <w:sz w:val="22"/>
          <w:szCs w:val="22"/>
        </w:rPr>
        <w:t>October 1</w:t>
      </w:r>
      <w:r w:rsidR="004C7869">
        <w:rPr>
          <w:rFonts w:cs="Arial"/>
          <w:sz w:val="22"/>
          <w:szCs w:val="22"/>
        </w:rPr>
        <w:t>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0E009C0A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381FD799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777BDCA4" w14:textId="27294A36" w:rsidR="009615FB" w:rsidRPr="00151FDD" w:rsidRDefault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7C83E5F1" w14:textId="080F8B60" w:rsidR="007E19E7" w:rsidRDefault="009615FB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 has submitted the Hamilton Road to Maxwell 138-</w:t>
      </w:r>
      <w:r w:rsidRPr="00786608">
        <w:rPr>
          <w:sz w:val="22"/>
          <w:szCs w:val="22"/>
        </w:rPr>
        <w:t>kV Line Rebuild Project</w:t>
      </w:r>
      <w:r>
        <w:rPr>
          <w:sz w:val="22"/>
          <w:szCs w:val="22"/>
        </w:rPr>
        <w:t>. This is a Tier 3 project that is estimated to cost $28 million. This project is currently in the RPG study mode.</w:t>
      </w:r>
    </w:p>
    <w:p w14:paraId="2F53EB9D" w14:textId="30AB4C0A" w:rsidR="00FA0FFA" w:rsidRPr="007E19E7" w:rsidRDefault="00FA0FFA" w:rsidP="00FA0FF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FA0FFA">
        <w:rPr>
          <w:sz w:val="22"/>
          <w:szCs w:val="22"/>
        </w:rPr>
        <w:t>Oncor</w:t>
      </w:r>
      <w:proofErr w:type="spellEnd"/>
      <w:r w:rsidRPr="00FA0FFA">
        <w:rPr>
          <w:sz w:val="22"/>
          <w:szCs w:val="22"/>
        </w:rPr>
        <w:t xml:space="preserve"> has submitted the Royse - Commerce 69 kV Line Conversion to 138 kV Project. This is a Tier 3 project that is estimated to cost $72.1 million. This project is currently in the RPG comment period.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5780F4B1" w14:textId="382E0F2E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7E98E96" w:rsidR="005C30B8" w:rsidRPr="00F81B3A" w:rsidRDefault="000B12E4" w:rsidP="00A20553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091646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091646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</w:t>
      </w:r>
      <w:r w:rsidR="00091646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A061AA7" w:rsidR="005C30B8" w:rsidRPr="00F81B3A" w:rsidRDefault="005C30B8" w:rsidP="00A20553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March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>U</w:t>
      </w:r>
      <w:r w:rsidR="00834AF3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376B797B" w14:textId="77777777" w:rsidR="002C118B" w:rsidRDefault="005C30B8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391C6952" w14:textId="77777777" w:rsidR="002C118B" w:rsidRDefault="002C118B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</w:p>
    <w:p w14:paraId="12014B1B" w14:textId="77777777" w:rsidR="002C118B" w:rsidRDefault="002C118B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</w:p>
    <w:p w14:paraId="56AAF5E4" w14:textId="77777777" w:rsidR="002C118B" w:rsidRDefault="002C118B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</w:p>
    <w:p w14:paraId="77A816AC" w14:textId="77777777" w:rsidR="002C118B" w:rsidRDefault="002C118B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</w:p>
    <w:p w14:paraId="324FE412" w14:textId="7B972D71" w:rsidR="00091646" w:rsidRDefault="00091646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</w:p>
    <w:p w14:paraId="3626F342" w14:textId="77777777" w:rsidR="002C118B" w:rsidRDefault="002C118B" w:rsidP="00E3277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4906AF7" wp14:editId="0028C71E">
            <wp:extent cx="6286500" cy="50603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C751" w14:textId="38E04570" w:rsidR="005C30B8" w:rsidRPr="00E32771" w:rsidRDefault="002C118B" w:rsidP="00E32771">
      <w:pPr>
        <w:jc w:val="center"/>
      </w:pPr>
      <w:r>
        <w:rPr>
          <w:noProof/>
        </w:rPr>
        <w:drawing>
          <wp:inline distT="0" distB="0" distL="0" distR="0" wp14:anchorId="0ED49B41" wp14:editId="53C94979">
            <wp:extent cx="6286500" cy="2955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2E4" w:rsidRPr="000B12E4">
        <w:rPr>
          <w:noProof/>
        </w:rPr>
        <w:t xml:space="preserve"> </w:t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2C032CA5">
            <wp:simplePos x="0" y="0"/>
            <wp:positionH relativeFrom="margin">
              <wp:posOffset>19051</wp:posOffset>
            </wp:positionH>
            <wp:positionV relativeFrom="paragraph">
              <wp:posOffset>0</wp:posOffset>
            </wp:positionV>
            <wp:extent cx="5210925" cy="391370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25" cy="3913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41303048">
            <wp:simplePos x="0" y="0"/>
            <wp:positionH relativeFrom="margin">
              <wp:posOffset>9525</wp:posOffset>
            </wp:positionH>
            <wp:positionV relativeFrom="paragraph">
              <wp:posOffset>3719830</wp:posOffset>
            </wp:positionV>
            <wp:extent cx="5233829" cy="39309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829" cy="393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2387183B" w14:textId="24D48F5F" w:rsidR="0019468F" w:rsidRDefault="0019468F" w:rsidP="0019468F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5E03B5">
        <w:rPr>
          <w:sz w:val="22"/>
          <w:szCs w:val="22"/>
        </w:rPr>
        <w:t>posted</w:t>
      </w:r>
      <w:r>
        <w:rPr>
          <w:sz w:val="22"/>
          <w:szCs w:val="22"/>
        </w:rPr>
        <w:t xml:space="preserve"> the public version of the 2020 </w:t>
      </w:r>
      <w:r w:rsidR="005E03B5">
        <w:rPr>
          <w:sz w:val="22"/>
          <w:szCs w:val="22"/>
        </w:rPr>
        <w:t xml:space="preserve">Regional Transmission Plan </w:t>
      </w:r>
      <w:r>
        <w:rPr>
          <w:sz w:val="22"/>
          <w:szCs w:val="22"/>
        </w:rPr>
        <w:t>report, the 2020 Long-Term System Assessment report</w:t>
      </w:r>
      <w:r w:rsidR="005E03B5">
        <w:rPr>
          <w:sz w:val="22"/>
          <w:szCs w:val="22"/>
        </w:rPr>
        <w:t>,</w:t>
      </w:r>
      <w:r>
        <w:rPr>
          <w:sz w:val="22"/>
          <w:szCs w:val="22"/>
        </w:rPr>
        <w:t xml:space="preserve"> and the 2020 Report on Existing and Potential Electric System Constraints and Needs </w:t>
      </w:r>
      <w:r w:rsidR="005E03B5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hyperlink r:id="rId22" w:history="1">
        <w:r w:rsidRPr="001341FC">
          <w:rPr>
            <w:rStyle w:val="Hyperlink"/>
            <w:sz w:val="22"/>
            <w:szCs w:val="22"/>
          </w:rPr>
          <w:t>http://www.ercot.com/gridinfo/planning</w:t>
        </w:r>
      </w:hyperlink>
      <w:r>
        <w:rPr>
          <w:sz w:val="22"/>
          <w:szCs w:val="22"/>
        </w:rPr>
        <w:t xml:space="preserve">. </w:t>
      </w:r>
    </w:p>
    <w:p w14:paraId="3EBA6938" w14:textId="3D2DC9B2" w:rsidR="005B7EA0" w:rsidRPr="008400D6" w:rsidRDefault="005B7EA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performing </w:t>
      </w:r>
      <w:r w:rsidR="008400D6">
        <w:rPr>
          <w:sz w:val="22"/>
          <w:szCs w:val="22"/>
        </w:rPr>
        <w:t xml:space="preserve">the </w:t>
      </w:r>
      <w:r>
        <w:rPr>
          <w:sz w:val="22"/>
          <w:szCs w:val="22"/>
        </w:rPr>
        <w:t>West Texas Export Study and plans to finalize the analysis in June, 2021.</w:t>
      </w: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5C30B8">
      <w:head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60CFC" w16cex:dateUtc="2020-12-17T22:59:00Z"/>
  <w16cex:commentExtensible w16cex:durableId="23860D5A" w16cex:dateUtc="2020-12-17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2EC9BA" w16cid:durableId="23860CFC"/>
  <w16cid:commentId w16cid:paraId="055CDA93" w16cid:durableId="23860D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B6EE" w14:textId="77777777" w:rsidR="000B2A25" w:rsidRDefault="000B2A25" w:rsidP="0098347E">
      <w:r>
        <w:separator/>
      </w:r>
    </w:p>
  </w:endnote>
  <w:endnote w:type="continuationSeparator" w:id="0">
    <w:p w14:paraId="6481319E" w14:textId="77777777" w:rsidR="000B2A25" w:rsidRDefault="000B2A25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228FAB0F" w:rsidR="0098347E" w:rsidRPr="006D7974" w:rsidRDefault="00FC4550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Dece</w:t>
          </w:r>
          <w:r w:rsidR="002527C7">
            <w:rPr>
              <w:rFonts w:cs="Arial"/>
              <w:iCs/>
              <w:color w:val="00ACC8" w:themeColor="accent1"/>
              <w:sz w:val="18"/>
            </w:rPr>
            <w:t>m</w:t>
          </w:r>
          <w:r w:rsidR="00267B12">
            <w:rPr>
              <w:rFonts w:cs="Arial"/>
              <w:iCs/>
              <w:color w:val="00ACC8" w:themeColor="accent1"/>
              <w:sz w:val="18"/>
            </w:rPr>
            <w:t>ber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FB98B" w14:textId="77777777" w:rsidR="000B2A25" w:rsidRDefault="000B2A25" w:rsidP="0098347E">
      <w:r>
        <w:separator/>
      </w:r>
    </w:p>
  </w:footnote>
  <w:footnote w:type="continuationSeparator" w:id="0">
    <w:p w14:paraId="59801824" w14:textId="77777777" w:rsidR="000B2A25" w:rsidRDefault="000B2A25" w:rsidP="0098347E">
      <w:r>
        <w:continuationSeparator/>
      </w:r>
    </w:p>
  </w:footnote>
  <w:footnote w:id="1">
    <w:p w14:paraId="297918A3" w14:textId="2C9382BF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</w:t>
      </w:r>
      <w:proofErr w:type="gramStart"/>
      <w:r w:rsidRPr="00B273F5">
        <w:rPr>
          <w:rFonts w:asciiTheme="minorHAnsi" w:hAnsiTheme="minorHAnsi" w:cstheme="minorHAnsi"/>
          <w:sz w:val="16"/>
          <w:szCs w:val="16"/>
        </w:rPr>
        <w:t>symbol</w:t>
      </w:r>
      <w:proofErr w:type="gramEnd"/>
      <w:r w:rsidRPr="00B273F5">
        <w:rPr>
          <w:rFonts w:asciiTheme="minorHAnsi" w:hAnsiTheme="minorHAnsi" w:cstheme="minorHAnsi"/>
          <w:sz w:val="16"/>
          <w:szCs w:val="16"/>
        </w:rPr>
        <w:t xml:space="preserve"> indicates the increase or decrease from the previous month in oil rigs present in each county. There are </w:t>
      </w:r>
      <w:r w:rsidR="00A8503F">
        <w:rPr>
          <w:rFonts w:asciiTheme="minorHAnsi" w:hAnsiTheme="minorHAnsi" w:cstheme="minorHAnsi"/>
          <w:sz w:val="16"/>
          <w:szCs w:val="16"/>
        </w:rPr>
        <w:t>10</w:t>
      </w:r>
      <w:r w:rsidR="001B075E">
        <w:rPr>
          <w:rFonts w:asciiTheme="minorHAnsi" w:hAnsiTheme="minorHAnsi" w:cstheme="minorHAnsi"/>
          <w:sz w:val="16"/>
          <w:szCs w:val="16"/>
        </w:rPr>
        <w:t>8</w:t>
      </w:r>
      <w:r w:rsidR="00DD4665">
        <w:rPr>
          <w:rFonts w:asciiTheme="minorHAnsi" w:hAnsiTheme="minorHAnsi" w:cstheme="minorHAnsi"/>
          <w:sz w:val="16"/>
          <w:szCs w:val="16"/>
        </w:rPr>
        <w:t xml:space="preserve"> rigs, including a total in</w:t>
      </w:r>
      <w:r w:rsidRPr="00B273F5">
        <w:rPr>
          <w:rFonts w:asciiTheme="minorHAnsi" w:hAnsiTheme="minorHAnsi" w:cstheme="minorHAnsi"/>
          <w:sz w:val="16"/>
          <w:szCs w:val="16"/>
        </w:rPr>
        <w:t xml:space="preserve">crease of </w:t>
      </w:r>
      <w:r w:rsidR="001B075E">
        <w:rPr>
          <w:rFonts w:asciiTheme="minorHAnsi" w:hAnsiTheme="minorHAnsi" w:cstheme="minorHAnsi"/>
          <w:sz w:val="16"/>
          <w:szCs w:val="16"/>
        </w:rPr>
        <w:t>4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A8503F">
        <w:rPr>
          <w:rFonts w:asciiTheme="minorHAnsi" w:hAnsiTheme="minorHAnsi" w:cstheme="minorHAnsi"/>
          <w:sz w:val="16"/>
          <w:szCs w:val="16"/>
        </w:rPr>
        <w:t>November</w:t>
      </w:r>
      <w:r w:rsidR="001B075E">
        <w:rPr>
          <w:rFonts w:asciiTheme="minorHAnsi" w:hAnsiTheme="minorHAnsi" w:cstheme="minorHAnsi"/>
          <w:sz w:val="16"/>
          <w:szCs w:val="16"/>
        </w:rPr>
        <w:t xml:space="preserve"> to December</w:t>
      </w:r>
      <w:r w:rsidR="0036782D">
        <w:rPr>
          <w:rFonts w:asciiTheme="minorHAnsi" w:hAnsiTheme="minorHAnsi" w:cstheme="minorHAnsi"/>
          <w:sz w:val="16"/>
          <w:szCs w:val="16"/>
        </w:rPr>
        <w:t xml:space="preserve">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8688F"/>
    <w:rsid w:val="00091646"/>
    <w:rsid w:val="000A20EA"/>
    <w:rsid w:val="000B12E4"/>
    <w:rsid w:val="000B227E"/>
    <w:rsid w:val="000B2A25"/>
    <w:rsid w:val="000C15E1"/>
    <w:rsid w:val="000D759F"/>
    <w:rsid w:val="000E13E0"/>
    <w:rsid w:val="0010485B"/>
    <w:rsid w:val="00107455"/>
    <w:rsid w:val="00142B7A"/>
    <w:rsid w:val="00151FDD"/>
    <w:rsid w:val="00152012"/>
    <w:rsid w:val="00164C11"/>
    <w:rsid w:val="00176CA4"/>
    <w:rsid w:val="0019468F"/>
    <w:rsid w:val="001A255A"/>
    <w:rsid w:val="001A5CB3"/>
    <w:rsid w:val="001B020D"/>
    <w:rsid w:val="001B075E"/>
    <w:rsid w:val="001B5B0D"/>
    <w:rsid w:val="001E08A3"/>
    <w:rsid w:val="001E728A"/>
    <w:rsid w:val="00202BA3"/>
    <w:rsid w:val="00217357"/>
    <w:rsid w:val="00226149"/>
    <w:rsid w:val="00245ED7"/>
    <w:rsid w:val="00247018"/>
    <w:rsid w:val="00250F28"/>
    <w:rsid w:val="002527C7"/>
    <w:rsid w:val="002577C5"/>
    <w:rsid w:val="00267B12"/>
    <w:rsid w:val="0027122F"/>
    <w:rsid w:val="0027600E"/>
    <w:rsid w:val="00283188"/>
    <w:rsid w:val="002A7343"/>
    <w:rsid w:val="002C118B"/>
    <w:rsid w:val="00320C40"/>
    <w:rsid w:val="003458EB"/>
    <w:rsid w:val="003468A9"/>
    <w:rsid w:val="003546B8"/>
    <w:rsid w:val="00355D1E"/>
    <w:rsid w:val="0036782D"/>
    <w:rsid w:val="003B5CF3"/>
    <w:rsid w:val="003C5ED1"/>
    <w:rsid w:val="003D4F77"/>
    <w:rsid w:val="003E3F40"/>
    <w:rsid w:val="003E5D1A"/>
    <w:rsid w:val="00400CFA"/>
    <w:rsid w:val="00413A57"/>
    <w:rsid w:val="00425B76"/>
    <w:rsid w:val="0044096E"/>
    <w:rsid w:val="00457313"/>
    <w:rsid w:val="00472B18"/>
    <w:rsid w:val="00472E4C"/>
    <w:rsid w:val="004737D5"/>
    <w:rsid w:val="00482384"/>
    <w:rsid w:val="004B6A32"/>
    <w:rsid w:val="004C7869"/>
    <w:rsid w:val="004E7DA4"/>
    <w:rsid w:val="00505AAB"/>
    <w:rsid w:val="00524917"/>
    <w:rsid w:val="0055122F"/>
    <w:rsid w:val="0058776A"/>
    <w:rsid w:val="00594A91"/>
    <w:rsid w:val="00594C78"/>
    <w:rsid w:val="005A138F"/>
    <w:rsid w:val="005B55BE"/>
    <w:rsid w:val="005B7EA0"/>
    <w:rsid w:val="005C30B8"/>
    <w:rsid w:val="005C51A7"/>
    <w:rsid w:val="005E03B5"/>
    <w:rsid w:val="005F6348"/>
    <w:rsid w:val="00614611"/>
    <w:rsid w:val="00651034"/>
    <w:rsid w:val="006534DC"/>
    <w:rsid w:val="006563AC"/>
    <w:rsid w:val="00656A7B"/>
    <w:rsid w:val="0068061B"/>
    <w:rsid w:val="006936D9"/>
    <w:rsid w:val="006D07E3"/>
    <w:rsid w:val="006D7974"/>
    <w:rsid w:val="006E1DB0"/>
    <w:rsid w:val="006E4C53"/>
    <w:rsid w:val="00700285"/>
    <w:rsid w:val="00702B73"/>
    <w:rsid w:val="007170DA"/>
    <w:rsid w:val="00717687"/>
    <w:rsid w:val="007357F6"/>
    <w:rsid w:val="00771C09"/>
    <w:rsid w:val="007940A9"/>
    <w:rsid w:val="0079637D"/>
    <w:rsid w:val="007A56DF"/>
    <w:rsid w:val="007B1A2A"/>
    <w:rsid w:val="007D0EED"/>
    <w:rsid w:val="007D520E"/>
    <w:rsid w:val="007E19E7"/>
    <w:rsid w:val="007F7756"/>
    <w:rsid w:val="00810119"/>
    <w:rsid w:val="00834AF3"/>
    <w:rsid w:val="008400D6"/>
    <w:rsid w:val="0084112D"/>
    <w:rsid w:val="00885237"/>
    <w:rsid w:val="0088788B"/>
    <w:rsid w:val="008E7B0D"/>
    <w:rsid w:val="008F29FA"/>
    <w:rsid w:val="008F46EC"/>
    <w:rsid w:val="00917EC0"/>
    <w:rsid w:val="009304B1"/>
    <w:rsid w:val="0095508F"/>
    <w:rsid w:val="009615FB"/>
    <w:rsid w:val="0098347E"/>
    <w:rsid w:val="00985DEF"/>
    <w:rsid w:val="00990002"/>
    <w:rsid w:val="009955FD"/>
    <w:rsid w:val="00996158"/>
    <w:rsid w:val="009A0577"/>
    <w:rsid w:val="009B3EAA"/>
    <w:rsid w:val="009B41C6"/>
    <w:rsid w:val="009E544E"/>
    <w:rsid w:val="00A046EB"/>
    <w:rsid w:val="00A13F36"/>
    <w:rsid w:val="00A20553"/>
    <w:rsid w:val="00A30A42"/>
    <w:rsid w:val="00A3349E"/>
    <w:rsid w:val="00A36FD4"/>
    <w:rsid w:val="00A42959"/>
    <w:rsid w:val="00A628E9"/>
    <w:rsid w:val="00A6620C"/>
    <w:rsid w:val="00A7079E"/>
    <w:rsid w:val="00A77DE0"/>
    <w:rsid w:val="00A8503F"/>
    <w:rsid w:val="00AB1B5D"/>
    <w:rsid w:val="00AB5541"/>
    <w:rsid w:val="00AC0847"/>
    <w:rsid w:val="00AC3368"/>
    <w:rsid w:val="00AC5662"/>
    <w:rsid w:val="00AD7377"/>
    <w:rsid w:val="00AF439D"/>
    <w:rsid w:val="00AF5DCD"/>
    <w:rsid w:val="00B02A88"/>
    <w:rsid w:val="00B0539D"/>
    <w:rsid w:val="00B07A0B"/>
    <w:rsid w:val="00B122A8"/>
    <w:rsid w:val="00B273F5"/>
    <w:rsid w:val="00B32440"/>
    <w:rsid w:val="00B355BE"/>
    <w:rsid w:val="00B545BF"/>
    <w:rsid w:val="00B70409"/>
    <w:rsid w:val="00B94FE8"/>
    <w:rsid w:val="00BA6A4A"/>
    <w:rsid w:val="00BB6435"/>
    <w:rsid w:val="00BD418F"/>
    <w:rsid w:val="00BF25D6"/>
    <w:rsid w:val="00BF7C2A"/>
    <w:rsid w:val="00C1316E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D110F"/>
    <w:rsid w:val="00D51084"/>
    <w:rsid w:val="00D94505"/>
    <w:rsid w:val="00DD15ED"/>
    <w:rsid w:val="00DD2F04"/>
    <w:rsid w:val="00DD4665"/>
    <w:rsid w:val="00DE623D"/>
    <w:rsid w:val="00DF6721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7059"/>
    <w:rsid w:val="00E80782"/>
    <w:rsid w:val="00E91521"/>
    <w:rsid w:val="00EA7D60"/>
    <w:rsid w:val="00EB2C58"/>
    <w:rsid w:val="00EC1203"/>
    <w:rsid w:val="00EC1BE5"/>
    <w:rsid w:val="00ED40B7"/>
    <w:rsid w:val="00EF2E5E"/>
    <w:rsid w:val="00F130EF"/>
    <w:rsid w:val="00F22FF0"/>
    <w:rsid w:val="00F355D9"/>
    <w:rsid w:val="00F4019C"/>
    <w:rsid w:val="00F42583"/>
    <w:rsid w:val="00F4606C"/>
    <w:rsid w:val="00F57DD5"/>
    <w:rsid w:val="00F6430C"/>
    <w:rsid w:val="00F67E96"/>
    <w:rsid w:val="00F81B3A"/>
    <w:rsid w:val="00F83199"/>
    <w:rsid w:val="00F970D6"/>
    <w:rsid w:val="00FA0FFA"/>
    <w:rsid w:val="00FC4550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ercot.com/gridinfo/planning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24F72C-A29F-41C6-823A-7A8C9E61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4</cp:revision>
  <dcterms:created xsi:type="dcterms:W3CDTF">2021-01-11T20:14:00Z</dcterms:created>
  <dcterms:modified xsi:type="dcterms:W3CDTF">2021-01-12T16:04:00Z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