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7B02F9" w:rsidP="006E0788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10" w:history="1">
              <w:r w:rsidR="00F542CC" w:rsidRPr="00F542CC">
                <w:rPr>
                  <w:rStyle w:val="Hyperlink"/>
                </w:rPr>
                <w:t>1054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471A6A" w:rsidP="00D54DC7">
            <w:pPr>
              <w:pStyle w:val="Header"/>
            </w:pPr>
            <w:r>
              <w:t xml:space="preserve">NPRR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F542CC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F542CC">
              <w:rPr>
                <w:szCs w:val="23"/>
              </w:rPr>
              <w:t>Removal of Oklaunion Exemption Language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Pr="009F3D0E" w:rsidRDefault="006E0788" w:rsidP="004033F2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January </w:t>
            </w:r>
            <w:r w:rsidR="004033F2">
              <w:rPr>
                <w:rFonts w:ascii="Arial" w:hAnsi="Arial" w:cs="Arial"/>
                <w:szCs w:val="22"/>
              </w:rPr>
              <w:t>12</w:t>
            </w:r>
            <w:r>
              <w:rPr>
                <w:rFonts w:ascii="Arial" w:hAnsi="Arial" w:cs="Arial"/>
                <w:szCs w:val="22"/>
              </w:rPr>
              <w:t>, 2021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883775">
            <w:pPr>
              <w:pStyle w:val="Header"/>
            </w:pPr>
            <w:r>
              <w:t xml:space="preserve">Estimated </w:t>
            </w:r>
            <w:r w:rsidR="00F13670">
              <w:t>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636F2E" w:rsidRPr="00A25679" w:rsidRDefault="00F542CC" w:rsidP="00BC7F7A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F542CC">
              <w:rPr>
                <w:rFonts w:ascii="Arial" w:hAnsi="Arial" w:cs="Arial"/>
              </w:rPr>
              <w:t>Between $10k and $15k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F13670" w:rsidP="00A53344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F23" w:rsidRDefault="00390F23" w:rsidP="00B0156D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The timeline for implementing this </w:t>
            </w:r>
            <w:r w:rsidR="0026620F">
              <w:rPr>
                <w:rFonts w:cs="Arial"/>
              </w:rPr>
              <w:t>Nodal Protocol Revision Request (NPRR)</w:t>
            </w:r>
            <w:r w:rsidRPr="0026620F">
              <w:rPr>
                <w:rFonts w:cs="Arial"/>
              </w:rPr>
              <w:t xml:space="preserve"> is dependent upon ERCOT Board prioritization and approval.  Please see the Project Priority List (</w:t>
            </w:r>
            <w:hyperlink r:id="rId11" w:history="1">
              <w:r w:rsidRPr="00E87AE5">
                <w:rPr>
                  <w:rStyle w:val="Hyperlink"/>
                  <w:rFonts w:cs="Arial"/>
                </w:rPr>
                <w:t>PPL</w:t>
              </w:r>
            </w:hyperlink>
            <w:r w:rsidRPr="0026620F">
              <w:rPr>
                <w:rFonts w:cs="Arial"/>
              </w:rPr>
              <w:t>) for additional information.</w:t>
            </w:r>
          </w:p>
          <w:p w:rsidR="0026620F" w:rsidRDefault="0026620F" w:rsidP="00B0156D">
            <w:pPr>
              <w:pStyle w:val="NormalArial"/>
              <w:rPr>
                <w:rFonts w:cs="Arial"/>
              </w:rPr>
            </w:pPr>
          </w:p>
          <w:p w:rsidR="0026620F" w:rsidRDefault="0026620F" w:rsidP="00F542CC">
            <w:pPr>
              <w:pStyle w:val="NormalArial"/>
              <w:rPr>
                <w:rFonts w:cs="Arial"/>
              </w:rPr>
            </w:pPr>
            <w:r w:rsidRPr="0026620F">
              <w:rPr>
                <w:rFonts w:cs="Arial"/>
              </w:rPr>
              <w:t xml:space="preserve">Estimated project duration:  </w:t>
            </w:r>
            <w:r w:rsidR="00F542CC">
              <w:rPr>
                <w:rFonts w:cs="Arial"/>
              </w:rPr>
              <w:t>3</w:t>
            </w:r>
            <w:r w:rsidRPr="0026620F">
              <w:rPr>
                <w:rFonts w:cs="Arial"/>
              </w:rPr>
              <w:t xml:space="preserve"> to </w:t>
            </w:r>
            <w:r w:rsidR="00F542CC">
              <w:rPr>
                <w:rFonts w:cs="Arial"/>
              </w:rPr>
              <w:t>4</w:t>
            </w:r>
            <w:r w:rsidRPr="0026620F">
              <w:rPr>
                <w:rFonts w:cs="Arial"/>
              </w:rPr>
              <w:t xml:space="preserve"> months</w:t>
            </w:r>
          </w:p>
          <w:p w:rsidR="007F3D30" w:rsidRDefault="007F3D30" w:rsidP="00F542CC">
            <w:pPr>
              <w:pStyle w:val="NormalArial"/>
              <w:rPr>
                <w:rFonts w:cs="Arial"/>
              </w:rPr>
            </w:pPr>
          </w:p>
          <w:p w:rsidR="007F3D30" w:rsidRDefault="007F3D30" w:rsidP="00F542CC">
            <w:pPr>
              <w:pStyle w:val="NormalArial"/>
              <w:rPr>
                <w:rFonts w:cs="Arial"/>
              </w:rPr>
            </w:pPr>
            <w:r>
              <w:rPr>
                <w:rFonts w:cs="Arial"/>
              </w:rPr>
              <w:t>See Comments</w:t>
            </w:r>
          </w:p>
          <w:p w:rsidR="007F3D30" w:rsidRPr="00511748" w:rsidRDefault="007F3D30" w:rsidP="00F542CC">
            <w:pPr>
              <w:pStyle w:val="NormalArial"/>
              <w:rPr>
                <w:sz w:val="22"/>
                <w:szCs w:val="22"/>
              </w:rPr>
            </w:pP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Default="009E0C28" w:rsidP="002D6CAB">
            <w:pPr>
              <w:pStyle w:val="NormalArial"/>
            </w:pPr>
            <w:r w:rsidRPr="009E0C28">
              <w:rPr>
                <w:rFonts w:cs="Arial"/>
                <w:color w:val="000000"/>
              </w:rPr>
              <w:t>Implementation</w:t>
            </w:r>
            <w:r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CB2C65" w:rsidRPr="00CB2C65">
              <w:t xml:space="preserve">Labor: </w:t>
            </w:r>
            <w:r w:rsidR="00F542CC">
              <w:t>10</w:t>
            </w:r>
            <w:r w:rsidR="00CB2C65" w:rsidRPr="00CB2C65">
              <w:t>0% ERCOT; 0% Vendor</w:t>
            </w:r>
          </w:p>
          <w:p w:rsidR="00CB2C65" w:rsidRDefault="00CB2C65" w:rsidP="002D6CAB">
            <w:pPr>
              <w:pStyle w:val="NormalArial"/>
            </w:pPr>
          </w:p>
          <w:p w:rsidR="00CB2C65" w:rsidRPr="00F02EB9" w:rsidRDefault="00CB2C65" w:rsidP="002D6CAB">
            <w:pPr>
              <w:pStyle w:val="NormalArial"/>
            </w:pPr>
            <w:r w:rsidRPr="00F02EB9">
              <w:t>Ongoing Requirements: No impact</w:t>
            </w:r>
            <w:r w:rsidR="00D95CCE">
              <w:t>s</w:t>
            </w:r>
            <w:r w:rsidRPr="00F02EB9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C3BCE" w:rsidRDefault="009207B4" w:rsidP="002D6CAB">
            <w:pPr>
              <w:pStyle w:val="NormalArial"/>
              <w:rPr>
                <w:rFonts w:cs="Arial"/>
              </w:rPr>
            </w:pPr>
            <w:r w:rsidRPr="009207B4">
              <w:rPr>
                <w:rFonts w:cs="Arial"/>
              </w:rPr>
              <w:t>The following ERCOT systems would be impacted:</w:t>
            </w:r>
          </w:p>
          <w:p w:rsidR="009207B4" w:rsidRDefault="009207B4" w:rsidP="002D6CAB">
            <w:pPr>
              <w:pStyle w:val="NormalArial"/>
              <w:rPr>
                <w:rFonts w:cs="Arial"/>
              </w:rPr>
            </w:pPr>
          </w:p>
          <w:p w:rsidR="004B1BFC" w:rsidRPr="00F542CC" w:rsidRDefault="00F542CC" w:rsidP="00F542CC">
            <w:pPr>
              <w:pStyle w:val="NormalArial"/>
              <w:numPr>
                <w:ilvl w:val="0"/>
                <w:numId w:val="7"/>
              </w:numPr>
            </w:pPr>
            <w:r w:rsidRPr="00F542CC">
              <w:t>Market Settlements (S&amp;B)</w:t>
            </w:r>
            <w:r>
              <w:t xml:space="preserve">   50%</w:t>
            </w:r>
          </w:p>
          <w:p w:rsidR="00F542CC" w:rsidRPr="00F542CC" w:rsidRDefault="00F542CC" w:rsidP="00F542CC">
            <w:pPr>
              <w:pStyle w:val="NormalArial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F542CC">
              <w:t>Integration</w:t>
            </w:r>
            <w:r>
              <w:t xml:space="preserve">                            50%</w:t>
            </w:r>
          </w:p>
          <w:p w:rsidR="00F542CC" w:rsidRPr="00FE71C0" w:rsidRDefault="00F542CC" w:rsidP="00F542CC">
            <w:pPr>
              <w:pStyle w:val="NormalArial"/>
              <w:ind w:left="720"/>
              <w:rPr>
                <w:sz w:val="22"/>
                <w:szCs w:val="22"/>
              </w:rPr>
            </w:pP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B2C65">
            <w:pPr>
              <w:pStyle w:val="Header"/>
              <w:jc w:val="center"/>
            </w:pPr>
            <w:r w:rsidRPr="00F02EB9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bookmarkStart w:id="0" w:name="_GoBack" w:colFirst="0" w:colLast="0"/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671477" w:rsidP="00F82299">
            <w:pPr>
              <w:pStyle w:val="NormalArial"/>
            </w:pPr>
            <w:r w:rsidRPr="00671477">
              <w:t xml:space="preserve">If approved, </w:t>
            </w:r>
            <w:r w:rsidR="00073014">
              <w:t xml:space="preserve">language in </w:t>
            </w:r>
            <w:r w:rsidR="0025677F">
              <w:t>S</w:t>
            </w:r>
            <w:r w:rsidRPr="00671477">
              <w:t>ection</w:t>
            </w:r>
            <w:r w:rsidR="00073014">
              <w:t xml:space="preserve">s 4.2.1.2, </w:t>
            </w:r>
            <w:r w:rsidR="00F82299" w:rsidRPr="00F82299">
              <w:t>Ancillary Service Obligation Assignment and Notice</w:t>
            </w:r>
            <w:r w:rsidR="00F82299">
              <w:t xml:space="preserve">, </w:t>
            </w:r>
            <w:r w:rsidR="00073014">
              <w:t>4.4.4</w:t>
            </w:r>
            <w:r w:rsidR="00F82299">
              <w:t>, DC Tie Schedules,</w:t>
            </w:r>
            <w:r w:rsidR="00073014">
              <w:t xml:space="preserve"> and 4.4.4.2</w:t>
            </w:r>
            <w:r w:rsidR="00F82299">
              <w:t>, Oklaunion Exemption,</w:t>
            </w:r>
            <w:r w:rsidR="00073014">
              <w:t xml:space="preserve"> </w:t>
            </w:r>
            <w:r w:rsidRPr="00671477">
              <w:t>can take effect upon ERCOT Board approval</w:t>
            </w:r>
            <w:r w:rsidR="0025677F">
              <w:t>.  The remaining changes will take effect upon system</w:t>
            </w:r>
            <w:r w:rsidR="00073014">
              <w:t xml:space="preserve"> implementation</w:t>
            </w:r>
            <w:r w:rsidR="0025677F">
              <w:t>.</w:t>
            </w:r>
          </w:p>
        </w:tc>
      </w:tr>
      <w:bookmarkEnd w:id="0"/>
    </w:tbl>
    <w:p w:rsidR="00BE76F0" w:rsidRDefault="00BE76F0" w:rsidP="00BE76F0"/>
    <w:sectPr w:rsidR="00BE76F0" w:rsidSect="001F5696">
      <w:headerReference w:type="default" r:id="rId12"/>
      <w:footerReference w:type="default" r:id="rId13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1818" w:rsidRDefault="00B51818">
      <w:r>
        <w:separator/>
      </w:r>
    </w:p>
  </w:endnote>
  <w:endnote w:type="continuationSeparator" w:id="0">
    <w:p w:rsidR="00B51818" w:rsidRDefault="00B518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E0788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 xml:space="preserve">1054NPRR-05 </w:t>
    </w:r>
    <w:r w:rsidR="00892AB0">
      <w:rPr>
        <w:rFonts w:ascii="Arial" w:hAnsi="Arial"/>
        <w:sz w:val="18"/>
      </w:rPr>
      <w:fldChar w:fldCharType="begin"/>
    </w:r>
    <w:r w:rsidR="00892AB0">
      <w:rPr>
        <w:rFonts w:ascii="Arial" w:hAnsi="Arial"/>
        <w:sz w:val="18"/>
      </w:rPr>
      <w:instrText xml:space="preserve"> FILENAME   \* MERGEFORMAT </w:instrText>
    </w:r>
    <w:r w:rsidR="00892AB0">
      <w:rPr>
        <w:rFonts w:ascii="Arial" w:hAnsi="Arial"/>
        <w:sz w:val="18"/>
      </w:rPr>
      <w:fldChar w:fldCharType="separate"/>
    </w:r>
    <w:r w:rsidR="00F02EB9">
      <w:rPr>
        <w:rFonts w:ascii="Arial" w:hAnsi="Arial"/>
        <w:noProof/>
        <w:sz w:val="18"/>
      </w:rPr>
      <w:t xml:space="preserve">Impact Analysis </w:t>
    </w:r>
    <w:r>
      <w:rPr>
        <w:rFonts w:ascii="Arial" w:hAnsi="Arial"/>
        <w:noProof/>
        <w:sz w:val="18"/>
      </w:rPr>
      <w:t>01</w:t>
    </w:r>
    <w:r w:rsidR="004033F2">
      <w:rPr>
        <w:rFonts w:ascii="Arial" w:hAnsi="Arial"/>
        <w:noProof/>
        <w:sz w:val="18"/>
      </w:rPr>
      <w:t>12</w:t>
    </w:r>
    <w:r>
      <w:rPr>
        <w:rFonts w:ascii="Arial" w:hAnsi="Arial"/>
        <w:noProof/>
        <w:sz w:val="18"/>
      </w:rPr>
      <w:t>21</w:t>
    </w:r>
    <w:r w:rsidR="00892AB0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4033F2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4033F2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1818" w:rsidRDefault="00B51818">
      <w:r>
        <w:separator/>
      </w:r>
    </w:p>
  </w:footnote>
  <w:footnote w:type="continuationSeparator" w:id="0">
    <w:p w:rsidR="00B51818" w:rsidRDefault="00B518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42EC2"/>
    <w:multiLevelType w:val="hybridMultilevel"/>
    <w:tmpl w:val="04AC9852"/>
    <w:lvl w:ilvl="0" w:tplc="EB6080C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FD42D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788451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2008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58376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23A469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E4AF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EDC1F6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1BAB31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DE24FD"/>
    <w:multiLevelType w:val="hybridMultilevel"/>
    <w:tmpl w:val="802CC0D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3C49A1"/>
    <w:multiLevelType w:val="hybridMultilevel"/>
    <w:tmpl w:val="E592B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B33C8F"/>
    <w:multiLevelType w:val="multilevel"/>
    <w:tmpl w:val="DFDCB88A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 w15:restartNumberingAfterBreak="0">
    <w:nsid w:val="7E211854"/>
    <w:multiLevelType w:val="hybridMultilevel"/>
    <w:tmpl w:val="D3B42F86"/>
    <w:lvl w:ilvl="0" w:tplc="A01A9F2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F3A89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AC424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A8DE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49047B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02D6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8C04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96048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FA1D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2"/>
  </w:num>
  <w:num w:numId="5">
    <w:abstractNumId w:val="1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73014"/>
    <w:rsid w:val="00074569"/>
    <w:rsid w:val="00083944"/>
    <w:rsid w:val="0008577B"/>
    <w:rsid w:val="00093663"/>
    <w:rsid w:val="00094676"/>
    <w:rsid w:val="000A2646"/>
    <w:rsid w:val="000A399F"/>
    <w:rsid w:val="000A3DB5"/>
    <w:rsid w:val="000B0B1C"/>
    <w:rsid w:val="000B3B55"/>
    <w:rsid w:val="000E735D"/>
    <w:rsid w:val="000F657B"/>
    <w:rsid w:val="0010572B"/>
    <w:rsid w:val="0011160D"/>
    <w:rsid w:val="001128F3"/>
    <w:rsid w:val="00116E03"/>
    <w:rsid w:val="001218C5"/>
    <w:rsid w:val="00124420"/>
    <w:rsid w:val="0013505A"/>
    <w:rsid w:val="0014050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D2511"/>
    <w:rsid w:val="001E1E0B"/>
    <w:rsid w:val="001E4FDC"/>
    <w:rsid w:val="001E6796"/>
    <w:rsid w:val="001E7AE7"/>
    <w:rsid w:val="001F4A33"/>
    <w:rsid w:val="001F5696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77F"/>
    <w:rsid w:val="00264C33"/>
    <w:rsid w:val="0026620F"/>
    <w:rsid w:val="00270E4F"/>
    <w:rsid w:val="00277037"/>
    <w:rsid w:val="002842DB"/>
    <w:rsid w:val="00284AFE"/>
    <w:rsid w:val="00285724"/>
    <w:rsid w:val="00287D44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0F23"/>
    <w:rsid w:val="003971D4"/>
    <w:rsid w:val="003A3246"/>
    <w:rsid w:val="003A6591"/>
    <w:rsid w:val="003B3863"/>
    <w:rsid w:val="003C14AB"/>
    <w:rsid w:val="003C51CF"/>
    <w:rsid w:val="003C7219"/>
    <w:rsid w:val="003D29A2"/>
    <w:rsid w:val="003E7403"/>
    <w:rsid w:val="003E74C8"/>
    <w:rsid w:val="003F39B9"/>
    <w:rsid w:val="003F5136"/>
    <w:rsid w:val="004033F2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2234"/>
    <w:rsid w:val="00483998"/>
    <w:rsid w:val="004938B8"/>
    <w:rsid w:val="004B1BFC"/>
    <w:rsid w:val="004B2AA2"/>
    <w:rsid w:val="004C389D"/>
    <w:rsid w:val="004C3BCE"/>
    <w:rsid w:val="004C47CB"/>
    <w:rsid w:val="004D252E"/>
    <w:rsid w:val="004E7041"/>
    <w:rsid w:val="005059AD"/>
    <w:rsid w:val="00510D3C"/>
    <w:rsid w:val="00511748"/>
    <w:rsid w:val="00512FC8"/>
    <w:rsid w:val="00517A49"/>
    <w:rsid w:val="005204C1"/>
    <w:rsid w:val="0052229A"/>
    <w:rsid w:val="00526714"/>
    <w:rsid w:val="00531816"/>
    <w:rsid w:val="00534DA9"/>
    <w:rsid w:val="00543589"/>
    <w:rsid w:val="005502FA"/>
    <w:rsid w:val="005522EB"/>
    <w:rsid w:val="00561EBA"/>
    <w:rsid w:val="005672AF"/>
    <w:rsid w:val="00577B36"/>
    <w:rsid w:val="00585304"/>
    <w:rsid w:val="00590565"/>
    <w:rsid w:val="00592DDF"/>
    <w:rsid w:val="00595DD2"/>
    <w:rsid w:val="00595DDC"/>
    <w:rsid w:val="005973DA"/>
    <w:rsid w:val="005A2F63"/>
    <w:rsid w:val="005A6B20"/>
    <w:rsid w:val="005B47A6"/>
    <w:rsid w:val="005B47C7"/>
    <w:rsid w:val="005B56D9"/>
    <w:rsid w:val="005C17CC"/>
    <w:rsid w:val="005C5D46"/>
    <w:rsid w:val="005C6C67"/>
    <w:rsid w:val="005D1346"/>
    <w:rsid w:val="005D23BA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2B8"/>
    <w:rsid w:val="00623EB4"/>
    <w:rsid w:val="00625F0A"/>
    <w:rsid w:val="006302C9"/>
    <w:rsid w:val="00636F2E"/>
    <w:rsid w:val="0064097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1477"/>
    <w:rsid w:val="00676DC7"/>
    <w:rsid w:val="00677B73"/>
    <w:rsid w:val="00680DA7"/>
    <w:rsid w:val="00683B65"/>
    <w:rsid w:val="00683FB5"/>
    <w:rsid w:val="00687020"/>
    <w:rsid w:val="00690122"/>
    <w:rsid w:val="00693C95"/>
    <w:rsid w:val="006B0C5E"/>
    <w:rsid w:val="006C3039"/>
    <w:rsid w:val="006E0788"/>
    <w:rsid w:val="006E4E93"/>
    <w:rsid w:val="006E67E1"/>
    <w:rsid w:val="006F0D6E"/>
    <w:rsid w:val="007002AE"/>
    <w:rsid w:val="00711F35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83E13"/>
    <w:rsid w:val="007A427B"/>
    <w:rsid w:val="007B02F9"/>
    <w:rsid w:val="007B1349"/>
    <w:rsid w:val="007B2C06"/>
    <w:rsid w:val="007D3E51"/>
    <w:rsid w:val="007E5F62"/>
    <w:rsid w:val="007E77E9"/>
    <w:rsid w:val="007F094A"/>
    <w:rsid w:val="007F3D30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263B"/>
    <w:rsid w:val="0083309D"/>
    <w:rsid w:val="008339AA"/>
    <w:rsid w:val="00843C34"/>
    <w:rsid w:val="0085096E"/>
    <w:rsid w:val="00851A89"/>
    <w:rsid w:val="00867431"/>
    <w:rsid w:val="0087450B"/>
    <w:rsid w:val="008765E2"/>
    <w:rsid w:val="00881FBC"/>
    <w:rsid w:val="00883775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67BD"/>
    <w:rsid w:val="008B7F92"/>
    <w:rsid w:val="008D147D"/>
    <w:rsid w:val="008D73FD"/>
    <w:rsid w:val="008D7CF7"/>
    <w:rsid w:val="008E6078"/>
    <w:rsid w:val="008F31DF"/>
    <w:rsid w:val="009015D0"/>
    <w:rsid w:val="0090511F"/>
    <w:rsid w:val="0090566C"/>
    <w:rsid w:val="0090723B"/>
    <w:rsid w:val="00910908"/>
    <w:rsid w:val="00915341"/>
    <w:rsid w:val="009207B4"/>
    <w:rsid w:val="009216C2"/>
    <w:rsid w:val="00922EDA"/>
    <w:rsid w:val="00923062"/>
    <w:rsid w:val="009266AD"/>
    <w:rsid w:val="00933826"/>
    <w:rsid w:val="00937A92"/>
    <w:rsid w:val="0095070B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C28"/>
    <w:rsid w:val="009E0E28"/>
    <w:rsid w:val="009E2B6C"/>
    <w:rsid w:val="009F0EB6"/>
    <w:rsid w:val="009F3D0E"/>
    <w:rsid w:val="009F5415"/>
    <w:rsid w:val="00A06E42"/>
    <w:rsid w:val="00A24797"/>
    <w:rsid w:val="00A25679"/>
    <w:rsid w:val="00A36BDB"/>
    <w:rsid w:val="00A36F8D"/>
    <w:rsid w:val="00A46EAE"/>
    <w:rsid w:val="00A47E2E"/>
    <w:rsid w:val="00A5034C"/>
    <w:rsid w:val="00A50D47"/>
    <w:rsid w:val="00A521B7"/>
    <w:rsid w:val="00A53344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202EE"/>
    <w:rsid w:val="00B242E5"/>
    <w:rsid w:val="00B3262B"/>
    <w:rsid w:val="00B3605A"/>
    <w:rsid w:val="00B43584"/>
    <w:rsid w:val="00B44FF3"/>
    <w:rsid w:val="00B50D29"/>
    <w:rsid w:val="00B51818"/>
    <w:rsid w:val="00B61793"/>
    <w:rsid w:val="00B70B20"/>
    <w:rsid w:val="00B85D42"/>
    <w:rsid w:val="00B96544"/>
    <w:rsid w:val="00BA23FC"/>
    <w:rsid w:val="00BB1036"/>
    <w:rsid w:val="00BB456F"/>
    <w:rsid w:val="00BB7ED2"/>
    <w:rsid w:val="00BC322C"/>
    <w:rsid w:val="00BC7F7A"/>
    <w:rsid w:val="00BD14E5"/>
    <w:rsid w:val="00BE04AB"/>
    <w:rsid w:val="00BE76F0"/>
    <w:rsid w:val="00BF0BCD"/>
    <w:rsid w:val="00BF3CBB"/>
    <w:rsid w:val="00BF4C29"/>
    <w:rsid w:val="00BF6B3B"/>
    <w:rsid w:val="00C00C38"/>
    <w:rsid w:val="00C11A57"/>
    <w:rsid w:val="00C2321E"/>
    <w:rsid w:val="00C362B5"/>
    <w:rsid w:val="00C452DC"/>
    <w:rsid w:val="00C56D5E"/>
    <w:rsid w:val="00C63B97"/>
    <w:rsid w:val="00C706FF"/>
    <w:rsid w:val="00C768E2"/>
    <w:rsid w:val="00C957F9"/>
    <w:rsid w:val="00C97625"/>
    <w:rsid w:val="00CA17FC"/>
    <w:rsid w:val="00CB2C65"/>
    <w:rsid w:val="00CB3C8E"/>
    <w:rsid w:val="00CB7783"/>
    <w:rsid w:val="00CC046E"/>
    <w:rsid w:val="00CC3457"/>
    <w:rsid w:val="00CC4A8A"/>
    <w:rsid w:val="00CC76D7"/>
    <w:rsid w:val="00CD515E"/>
    <w:rsid w:val="00CD6C33"/>
    <w:rsid w:val="00CE3D9D"/>
    <w:rsid w:val="00CF1A2F"/>
    <w:rsid w:val="00D027E7"/>
    <w:rsid w:val="00D074DE"/>
    <w:rsid w:val="00D16E69"/>
    <w:rsid w:val="00D23121"/>
    <w:rsid w:val="00D236B4"/>
    <w:rsid w:val="00D25076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9401A"/>
    <w:rsid w:val="00D95CCE"/>
    <w:rsid w:val="00D96398"/>
    <w:rsid w:val="00D97AF9"/>
    <w:rsid w:val="00DA0842"/>
    <w:rsid w:val="00DA3B1F"/>
    <w:rsid w:val="00DB4DEF"/>
    <w:rsid w:val="00DB51C2"/>
    <w:rsid w:val="00DB56A5"/>
    <w:rsid w:val="00DB5B82"/>
    <w:rsid w:val="00DB61BB"/>
    <w:rsid w:val="00DB701A"/>
    <w:rsid w:val="00DC4479"/>
    <w:rsid w:val="00DC58FA"/>
    <w:rsid w:val="00DC7B53"/>
    <w:rsid w:val="00DC7E17"/>
    <w:rsid w:val="00DD1282"/>
    <w:rsid w:val="00DD5390"/>
    <w:rsid w:val="00DE239D"/>
    <w:rsid w:val="00DE35A9"/>
    <w:rsid w:val="00E014F4"/>
    <w:rsid w:val="00E03CD6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2D75"/>
    <w:rsid w:val="00E776F8"/>
    <w:rsid w:val="00E81C6F"/>
    <w:rsid w:val="00E83B6A"/>
    <w:rsid w:val="00E851D6"/>
    <w:rsid w:val="00E8702F"/>
    <w:rsid w:val="00E87AE5"/>
    <w:rsid w:val="00EA367F"/>
    <w:rsid w:val="00EB322E"/>
    <w:rsid w:val="00EB5291"/>
    <w:rsid w:val="00EC0CEF"/>
    <w:rsid w:val="00ED0FCB"/>
    <w:rsid w:val="00EE2D23"/>
    <w:rsid w:val="00EE65E9"/>
    <w:rsid w:val="00F01F3F"/>
    <w:rsid w:val="00F02EB9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50D13"/>
    <w:rsid w:val="00F53B07"/>
    <w:rsid w:val="00F542CC"/>
    <w:rsid w:val="00F5445D"/>
    <w:rsid w:val="00F555E9"/>
    <w:rsid w:val="00F64E6D"/>
    <w:rsid w:val="00F7084F"/>
    <w:rsid w:val="00F72884"/>
    <w:rsid w:val="00F76FE9"/>
    <w:rsid w:val="00F776C4"/>
    <w:rsid w:val="00F77D07"/>
    <w:rsid w:val="00F82299"/>
    <w:rsid w:val="00F8400C"/>
    <w:rsid w:val="00F86B94"/>
    <w:rsid w:val="00F92B33"/>
    <w:rsid w:val="00FA621B"/>
    <w:rsid w:val="00FB22A3"/>
    <w:rsid w:val="00FB437C"/>
    <w:rsid w:val="00FC0BDC"/>
    <w:rsid w:val="00FC1C43"/>
    <w:rsid w:val="00FC567F"/>
    <w:rsid w:val="00FC72B5"/>
    <w:rsid w:val="00FD1E7D"/>
    <w:rsid w:val="00FD71FB"/>
    <w:rsid w:val="00FD73EE"/>
    <w:rsid w:val="00FE71C0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E447462-6FF9-48F1-BC28-52AE37850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6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CB2C6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ercot.com/services/project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ercot.com/mktrules/issues/NPRR1054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Props1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20FB0E-4C55-4105-B818-381374742E8E}">
  <ds:schemaRefs>
    <ds:schemaRef ds:uri="http://schemas.microsoft.com/office/2006/documentManagement/types"/>
    <ds:schemaRef ds:uri="c34af464-7aa1-4edd-9be4-83dffc1cb92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172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The Electric Reliability Council of Texas</Company>
  <LinksUpToDate>false</LinksUpToDate>
  <CharactersWithSpaces>1405</CharactersWithSpaces>
  <SharedDoc>false</SharedDoc>
  <HLinks>
    <vt:vector size="6" baseType="variant">
      <vt:variant>
        <vt:i4>8192046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http://www.ercot.com/services/projects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cp:lastModifiedBy>Jordan Troublefield</cp:lastModifiedBy>
  <cp:revision>3</cp:revision>
  <cp:lastPrinted>2007-01-12T13:31:00Z</cp:lastPrinted>
  <dcterms:created xsi:type="dcterms:W3CDTF">2021-01-12T21:51:00Z</dcterms:created>
  <dcterms:modified xsi:type="dcterms:W3CDTF">2021-01-12T21:53:00Z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