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7B02F9" w:rsidP="006E078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F542CC" w:rsidRPr="00F542CC">
                <w:rPr>
                  <w:rStyle w:val="Hyperlink"/>
                </w:rPr>
                <w:t>1054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F542C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542CC">
              <w:rPr>
                <w:szCs w:val="23"/>
              </w:rPr>
              <w:t>Removal of Oklaunion Exemption Language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6E0788" w:rsidP="004033F2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January </w:t>
            </w:r>
            <w:r w:rsidR="004033F2">
              <w:rPr>
                <w:rFonts w:ascii="Arial" w:hAnsi="Arial" w:cs="Arial"/>
                <w:szCs w:val="22"/>
              </w:rPr>
              <w:t>12</w:t>
            </w:r>
            <w:r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636F2E" w:rsidRPr="00A25679" w:rsidRDefault="00F542CC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542CC">
              <w:rPr>
                <w:rFonts w:ascii="Arial" w:hAnsi="Arial" w:cs="Arial"/>
              </w:rPr>
              <w:t>Between $10k and $15k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Default="0026620F" w:rsidP="00F542CC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F542CC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F542CC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months</w:t>
            </w:r>
          </w:p>
          <w:p w:rsidR="007F3D30" w:rsidRDefault="007F3D30" w:rsidP="00F542CC">
            <w:pPr>
              <w:pStyle w:val="NormalArial"/>
              <w:rPr>
                <w:rFonts w:cs="Arial"/>
              </w:rPr>
            </w:pPr>
          </w:p>
          <w:p w:rsidR="007F3D30" w:rsidRDefault="007F3D30" w:rsidP="00F542CC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See Comments</w:t>
            </w:r>
          </w:p>
          <w:p w:rsidR="007F3D30" w:rsidRPr="00511748" w:rsidRDefault="007F3D30" w:rsidP="00F542CC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542CC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F542CC" w:rsidRDefault="00F542CC" w:rsidP="00F542CC">
            <w:pPr>
              <w:pStyle w:val="NormalArial"/>
              <w:numPr>
                <w:ilvl w:val="0"/>
                <w:numId w:val="7"/>
              </w:numPr>
            </w:pPr>
            <w:r w:rsidRPr="00F542CC">
              <w:t>Market Settlements (S&amp;B)</w:t>
            </w:r>
            <w:r>
              <w:t xml:space="preserve">   50%</w:t>
            </w:r>
          </w:p>
          <w:p w:rsidR="00F542CC" w:rsidRPr="00F542CC" w:rsidRDefault="00F542CC" w:rsidP="00F542CC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542CC">
              <w:t>Integration</w:t>
            </w:r>
            <w:r>
              <w:t xml:space="preserve">                            50%</w:t>
            </w:r>
          </w:p>
          <w:p w:rsidR="00F542CC" w:rsidRPr="00FE71C0" w:rsidRDefault="00F542CC" w:rsidP="00F542CC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bookmarkStart w:id="0" w:name="_GoBack" w:colFirst="0" w:colLast="0"/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671477" w:rsidP="00F82299">
            <w:pPr>
              <w:pStyle w:val="NormalArial"/>
            </w:pPr>
            <w:r w:rsidRPr="00671477">
              <w:t xml:space="preserve">If approved, </w:t>
            </w:r>
            <w:r w:rsidR="00073014">
              <w:t xml:space="preserve">language in </w:t>
            </w:r>
            <w:r w:rsidR="0025677F">
              <w:t>S</w:t>
            </w:r>
            <w:r w:rsidRPr="00671477">
              <w:t>ection</w:t>
            </w:r>
            <w:r w:rsidR="00073014">
              <w:t xml:space="preserve">s 4.2.1.2, </w:t>
            </w:r>
            <w:r w:rsidR="00F82299" w:rsidRPr="00F82299">
              <w:t>Ancillary Service Obligation Assignment and Notice</w:t>
            </w:r>
            <w:r w:rsidR="00F82299">
              <w:t xml:space="preserve">, </w:t>
            </w:r>
            <w:r w:rsidR="00073014">
              <w:t>4.4.4</w:t>
            </w:r>
            <w:r w:rsidR="00F82299">
              <w:t>, DC Tie Schedules,</w:t>
            </w:r>
            <w:r w:rsidR="00073014">
              <w:t xml:space="preserve"> and 4.4.4.2</w:t>
            </w:r>
            <w:r w:rsidR="00F82299">
              <w:t>, Oklaunion Exemption,</w:t>
            </w:r>
            <w:r w:rsidR="00073014">
              <w:t xml:space="preserve"> </w:t>
            </w:r>
            <w:r w:rsidRPr="00671477">
              <w:t>can take effect upon ERCOT Board approval</w:t>
            </w:r>
            <w:r w:rsidR="0025677F">
              <w:t>.  The remaining changes will take effect upon system</w:t>
            </w:r>
            <w:r w:rsidR="00073014">
              <w:t xml:space="preserve"> implementation</w:t>
            </w:r>
            <w:r w:rsidR="0025677F">
              <w:t>.</w:t>
            </w:r>
          </w:p>
        </w:tc>
      </w:tr>
      <w:bookmarkEnd w:id="0"/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18" w:rsidRDefault="00B51818">
      <w:r>
        <w:separator/>
      </w:r>
    </w:p>
  </w:endnote>
  <w:endnote w:type="continuationSeparator" w:id="0">
    <w:p w:rsidR="00B51818" w:rsidRDefault="00B5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E078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1054NPRR-05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01</w:t>
    </w:r>
    <w:r w:rsidR="004033F2">
      <w:rPr>
        <w:rFonts w:ascii="Arial" w:hAnsi="Arial"/>
        <w:noProof/>
        <w:sz w:val="18"/>
      </w:rPr>
      <w:t>12</w:t>
    </w:r>
    <w:r>
      <w:rPr>
        <w:rFonts w:ascii="Arial" w:hAnsi="Arial"/>
        <w:noProof/>
        <w:sz w:val="18"/>
      </w:rPr>
      <w:t>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4033F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4033F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18" w:rsidRDefault="00B51818">
      <w:r>
        <w:separator/>
      </w:r>
    </w:p>
  </w:footnote>
  <w:footnote w:type="continuationSeparator" w:id="0">
    <w:p w:rsidR="00B51818" w:rsidRDefault="00B5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EB6080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42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884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00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83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3A4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A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C1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BAB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4FD"/>
    <w:multiLevelType w:val="hybridMultilevel"/>
    <w:tmpl w:val="802CC0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C49A1"/>
    <w:multiLevelType w:val="hybridMultilevel"/>
    <w:tmpl w:val="E59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3C8F"/>
    <w:multiLevelType w:val="multilevel"/>
    <w:tmpl w:val="DFDCB88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211854"/>
    <w:multiLevelType w:val="hybridMultilevel"/>
    <w:tmpl w:val="D3B42F86"/>
    <w:lvl w:ilvl="0" w:tplc="A01A9F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A8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C4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8D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04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2D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C0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60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A1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3014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77F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33F2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D23BA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2B8"/>
    <w:rsid w:val="00623EB4"/>
    <w:rsid w:val="00625F0A"/>
    <w:rsid w:val="006302C9"/>
    <w:rsid w:val="00636F2E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1477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0788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02F9"/>
    <w:rsid w:val="007B1349"/>
    <w:rsid w:val="007B2C06"/>
    <w:rsid w:val="007D3E51"/>
    <w:rsid w:val="007E5F62"/>
    <w:rsid w:val="007E77E9"/>
    <w:rsid w:val="007F094A"/>
    <w:rsid w:val="007F3D30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D7CF7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25679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51818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D6C33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2CC"/>
    <w:rsid w:val="00F5445D"/>
    <w:rsid w:val="00F555E9"/>
    <w:rsid w:val="00F64E6D"/>
    <w:rsid w:val="00F7084F"/>
    <w:rsid w:val="00F72884"/>
    <w:rsid w:val="00F76FE9"/>
    <w:rsid w:val="00F776C4"/>
    <w:rsid w:val="00F77D07"/>
    <w:rsid w:val="00F82299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5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1405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3</cp:revision>
  <cp:lastPrinted>2007-01-12T13:31:00Z</cp:lastPrinted>
  <dcterms:created xsi:type="dcterms:W3CDTF">2021-01-12T21:51:00Z</dcterms:created>
  <dcterms:modified xsi:type="dcterms:W3CDTF">2021-01-12T21:53:00Z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