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D15ED" w:rsidP="009D15E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C2423A" w:rsidRPr="00C2423A">
                <w:rPr>
                  <w:rStyle w:val="Hyperlink"/>
                </w:rPr>
                <w:t>1040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2423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2423A">
              <w:rPr>
                <w:szCs w:val="23"/>
              </w:rPr>
              <w:t>Compliance Metrics for Ancillary Service Supply Responsibility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D15E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12,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C2423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23A">
              <w:rPr>
                <w:rFonts w:ascii="Arial" w:hAnsi="Arial" w:cs="Arial"/>
              </w:rPr>
              <w:t>Between $20k and $30k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C2423A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C2423A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C2423A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2423A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C2423A" w:rsidRDefault="00C2423A" w:rsidP="00C2423A">
            <w:pPr>
              <w:pStyle w:val="NormalArial"/>
              <w:numPr>
                <w:ilvl w:val="0"/>
                <w:numId w:val="7"/>
              </w:numPr>
            </w:pPr>
            <w:r w:rsidRPr="00C2423A">
              <w:t>BI &amp; Data An</w:t>
            </w:r>
            <w:bookmarkStart w:id="0" w:name="_GoBack"/>
            <w:bookmarkEnd w:id="0"/>
            <w:r w:rsidRPr="00C2423A">
              <w:t>alytics</w:t>
            </w:r>
            <w:r>
              <w:t xml:space="preserve">                   90%</w:t>
            </w:r>
          </w:p>
          <w:p w:rsidR="00C2423A" w:rsidRPr="00C2423A" w:rsidRDefault="00C2423A" w:rsidP="00C2423A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2423A">
              <w:t>Data Access &amp; Transparency</w:t>
            </w:r>
            <w:r>
              <w:t xml:space="preserve">   10%</w:t>
            </w:r>
          </w:p>
          <w:p w:rsidR="00C2423A" w:rsidRPr="00FE71C0" w:rsidRDefault="00C2423A" w:rsidP="00C2423A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D15E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1040NPRR-18 Impact Analysis 011221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72882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E1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A5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CE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8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4B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8A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E2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AF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90544"/>
    <w:multiLevelType w:val="multilevel"/>
    <w:tmpl w:val="655C06B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6A072C"/>
    <w:multiLevelType w:val="hybridMultilevel"/>
    <w:tmpl w:val="A918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4874D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2C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22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2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E3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E5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20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1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AB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7F38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15ED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2423A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2021-01-12T18:56:00Z</dcterms:created>
  <dcterms:modified xsi:type="dcterms:W3CDTF">2021-01-12T19:02:00Z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