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3D2" w:rsidRDefault="00A913D2" w:rsidP="00A913D2">
      <w:pPr>
        <w:spacing w:after="0"/>
      </w:pPr>
      <w:r w:rsidRPr="00912B70">
        <w:rPr>
          <w:b/>
          <w:sz w:val="32"/>
          <w:szCs w:val="32"/>
        </w:rPr>
        <w:t>PWG Meeting Notes</w:t>
      </w:r>
      <w:r>
        <w:t xml:space="preserve"> – </w:t>
      </w:r>
      <w:r w:rsidR="005F65D0">
        <w:t>Nov 6</w:t>
      </w:r>
      <w:r>
        <w:t>, 2020</w:t>
      </w:r>
    </w:p>
    <w:p w:rsidR="00A913D2" w:rsidRDefault="00A913D2" w:rsidP="00A913D2">
      <w:pPr>
        <w:spacing w:after="0"/>
      </w:pPr>
      <w:r>
        <w:t>ERCOT Met Center</w:t>
      </w:r>
    </w:p>
    <w:p w:rsidR="00A913D2" w:rsidRDefault="00D449BC" w:rsidP="00A913D2">
      <w:pPr>
        <w:spacing w:after="0"/>
      </w:pPr>
      <w:r>
        <w:t>9:30 AM</w:t>
      </w:r>
      <w:r w:rsidR="00A913D2">
        <w:t xml:space="preserve"> </w:t>
      </w:r>
    </w:p>
    <w:p w:rsidR="00A913D2" w:rsidRDefault="00A913D2" w:rsidP="00A913D2">
      <w:pPr>
        <w:spacing w:after="0"/>
      </w:pPr>
    </w:p>
    <w:p w:rsidR="00A913D2" w:rsidRDefault="00A913D2" w:rsidP="00A913D2">
      <w:pPr>
        <w:spacing w:after="0"/>
      </w:pPr>
      <w:r w:rsidRPr="001B4D32">
        <w:rPr>
          <w:u w:val="single"/>
        </w:rPr>
        <w:t>Attendees:</w:t>
      </w:r>
      <w:r>
        <w:tab/>
      </w:r>
      <w:r>
        <w:tab/>
      </w:r>
      <w:r>
        <w:tab/>
      </w:r>
      <w:r>
        <w:tab/>
      </w:r>
      <w:r>
        <w:tab/>
      </w:r>
      <w:r>
        <w:tab/>
      </w: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6"/>
        <w:gridCol w:w="3618"/>
        <w:gridCol w:w="3586"/>
      </w:tblGrid>
      <w:tr w:rsidR="00A913D2" w:rsidRPr="002D2F39" w:rsidTr="00CA7714">
        <w:tc>
          <w:tcPr>
            <w:tcW w:w="3586" w:type="dxa"/>
            <w:shd w:val="clear" w:color="auto" w:fill="auto"/>
          </w:tcPr>
          <w:p w:rsidR="00A913D2" w:rsidRPr="006D6D0D" w:rsidRDefault="00A913D2" w:rsidP="00661AA2">
            <w:pPr>
              <w:spacing w:after="0"/>
              <w:rPr>
                <w:color w:val="FF0000"/>
              </w:rPr>
            </w:pPr>
            <w:r w:rsidRPr="006D6D0D">
              <w:t>Sam Pak – Oncor</w:t>
            </w:r>
          </w:p>
        </w:tc>
        <w:tc>
          <w:tcPr>
            <w:tcW w:w="3618" w:type="dxa"/>
            <w:shd w:val="clear" w:color="auto" w:fill="auto"/>
          </w:tcPr>
          <w:p w:rsidR="00A913D2" w:rsidRPr="006D6D0D" w:rsidRDefault="00A913D2" w:rsidP="00661AA2">
            <w:pPr>
              <w:spacing w:after="0"/>
            </w:pPr>
            <w:r w:rsidRPr="006D6D0D">
              <w:t>Bill Boswell - ERCOT</w:t>
            </w:r>
          </w:p>
        </w:tc>
        <w:tc>
          <w:tcPr>
            <w:tcW w:w="3586" w:type="dxa"/>
            <w:shd w:val="clear" w:color="auto" w:fill="auto"/>
          </w:tcPr>
          <w:p w:rsidR="00A913D2" w:rsidRPr="006D6D0D" w:rsidRDefault="00CA7714" w:rsidP="00661AA2">
            <w:pPr>
              <w:spacing w:after="0"/>
            </w:pPr>
            <w:r w:rsidRPr="006D6D0D">
              <w:t>Jim Lee – AEP</w:t>
            </w:r>
          </w:p>
        </w:tc>
      </w:tr>
      <w:tr w:rsidR="00CA7714" w:rsidRPr="002D2F39" w:rsidTr="00CA7714">
        <w:tc>
          <w:tcPr>
            <w:tcW w:w="3586" w:type="dxa"/>
            <w:shd w:val="clear" w:color="auto" w:fill="auto"/>
          </w:tcPr>
          <w:p w:rsidR="00CA7714" w:rsidRPr="006D6D0D" w:rsidRDefault="00CA7714" w:rsidP="00CA7714">
            <w:pPr>
              <w:spacing w:after="0"/>
            </w:pPr>
            <w:r w:rsidRPr="006D6D0D">
              <w:t>Sheri Wiegand – TXU</w:t>
            </w:r>
          </w:p>
        </w:tc>
        <w:tc>
          <w:tcPr>
            <w:tcW w:w="3618" w:type="dxa"/>
            <w:shd w:val="clear" w:color="auto" w:fill="auto"/>
          </w:tcPr>
          <w:p w:rsidR="00CA7714" w:rsidRPr="006D6D0D" w:rsidRDefault="00CA7714" w:rsidP="00CA7714">
            <w:pPr>
              <w:spacing w:after="0"/>
            </w:pPr>
            <w:r w:rsidRPr="006D6D0D">
              <w:t>Calvin Opheim - ERCOT</w:t>
            </w:r>
          </w:p>
        </w:tc>
        <w:tc>
          <w:tcPr>
            <w:tcW w:w="3586" w:type="dxa"/>
            <w:shd w:val="clear" w:color="auto" w:fill="auto"/>
          </w:tcPr>
          <w:p w:rsidR="00CA7714" w:rsidRPr="006D6D0D" w:rsidRDefault="00CA7714" w:rsidP="00CA7714">
            <w:pPr>
              <w:spacing w:after="0"/>
            </w:pPr>
            <w:r w:rsidRPr="006D6D0D">
              <w:t xml:space="preserve">Eric Blakey – Just </w:t>
            </w:r>
            <w:r w:rsidR="00934EDD" w:rsidRPr="006D6D0D">
              <w:t>Energy</w:t>
            </w:r>
          </w:p>
        </w:tc>
      </w:tr>
      <w:tr w:rsidR="00CA7714" w:rsidRPr="002D2F39" w:rsidTr="00CA7714">
        <w:tc>
          <w:tcPr>
            <w:tcW w:w="3586" w:type="dxa"/>
            <w:shd w:val="clear" w:color="auto" w:fill="auto"/>
          </w:tcPr>
          <w:p w:rsidR="00CA7714" w:rsidRPr="006D6D0D" w:rsidRDefault="00CA7714" w:rsidP="00CA7714">
            <w:pPr>
              <w:spacing w:after="0"/>
            </w:pPr>
            <w:r w:rsidRPr="006D6D0D">
              <w:t>Kathy Scott – CNP</w:t>
            </w:r>
          </w:p>
        </w:tc>
        <w:tc>
          <w:tcPr>
            <w:tcW w:w="3618" w:type="dxa"/>
            <w:shd w:val="clear" w:color="auto" w:fill="auto"/>
          </w:tcPr>
          <w:p w:rsidR="00CA7714" w:rsidRPr="006D6D0D" w:rsidRDefault="00CA7714" w:rsidP="00CA7714">
            <w:pPr>
              <w:spacing w:after="0"/>
            </w:pPr>
            <w:r w:rsidRPr="006D6D0D">
              <w:t>Randy Roberts - ERCOT</w:t>
            </w:r>
          </w:p>
        </w:tc>
        <w:tc>
          <w:tcPr>
            <w:tcW w:w="3586" w:type="dxa"/>
            <w:shd w:val="clear" w:color="auto" w:fill="auto"/>
          </w:tcPr>
          <w:p w:rsidR="00CA7714" w:rsidRPr="006D6D0D" w:rsidRDefault="006F6C24" w:rsidP="00CA7714">
            <w:pPr>
              <w:spacing w:after="0"/>
            </w:pPr>
            <w:r w:rsidRPr="006D6D0D">
              <w:t>Kim Rainwater - LCRA</w:t>
            </w:r>
          </w:p>
        </w:tc>
      </w:tr>
      <w:tr w:rsidR="00934EDD" w:rsidRPr="002D2F39" w:rsidTr="00CA7714">
        <w:tc>
          <w:tcPr>
            <w:tcW w:w="3586" w:type="dxa"/>
            <w:shd w:val="clear" w:color="auto" w:fill="auto"/>
          </w:tcPr>
          <w:p w:rsidR="00934EDD" w:rsidRPr="006D6D0D" w:rsidRDefault="00934EDD" w:rsidP="00934EDD">
            <w:pPr>
              <w:spacing w:after="0"/>
            </w:pPr>
            <w:r w:rsidRPr="006D6D0D">
              <w:t>Andrea Couch - TNMP</w:t>
            </w:r>
          </w:p>
        </w:tc>
        <w:tc>
          <w:tcPr>
            <w:tcW w:w="3618" w:type="dxa"/>
            <w:shd w:val="clear" w:color="auto" w:fill="auto"/>
          </w:tcPr>
          <w:p w:rsidR="00934EDD" w:rsidRPr="006D6D0D" w:rsidRDefault="00934EDD" w:rsidP="00934EDD">
            <w:pPr>
              <w:spacing w:after="0"/>
              <w:ind w:left="720" w:hanging="720"/>
            </w:pPr>
            <w:r w:rsidRPr="006D6D0D">
              <w:t>Jordan Troublefield – ERCOT</w:t>
            </w:r>
          </w:p>
        </w:tc>
        <w:tc>
          <w:tcPr>
            <w:tcW w:w="3586" w:type="dxa"/>
            <w:shd w:val="clear" w:color="auto" w:fill="auto"/>
          </w:tcPr>
          <w:p w:rsidR="00934EDD" w:rsidRPr="006D6D0D" w:rsidRDefault="00934EDD" w:rsidP="00934EDD">
            <w:pPr>
              <w:spacing w:after="0"/>
            </w:pPr>
            <w:r w:rsidRPr="006D6D0D">
              <w:t xml:space="preserve">Angela </w:t>
            </w:r>
            <w:proofErr w:type="spellStart"/>
            <w:r w:rsidRPr="006D6D0D">
              <w:t>Ghormley</w:t>
            </w:r>
            <w:proofErr w:type="spellEnd"/>
            <w:r w:rsidRPr="006D6D0D">
              <w:t xml:space="preserve"> –Calpine Energy</w:t>
            </w:r>
          </w:p>
        </w:tc>
      </w:tr>
      <w:tr w:rsidR="00934EDD" w:rsidRPr="002D2F39" w:rsidTr="00CA7714">
        <w:tc>
          <w:tcPr>
            <w:tcW w:w="3586" w:type="dxa"/>
            <w:shd w:val="clear" w:color="auto" w:fill="auto"/>
          </w:tcPr>
          <w:p w:rsidR="00934EDD" w:rsidRPr="006D6D0D" w:rsidRDefault="00934EDD" w:rsidP="00934EDD">
            <w:pPr>
              <w:spacing w:after="0"/>
            </w:pPr>
            <w:r w:rsidRPr="006D6D0D">
              <w:t>Bill Barnes - NRG</w:t>
            </w:r>
          </w:p>
        </w:tc>
        <w:tc>
          <w:tcPr>
            <w:tcW w:w="3618" w:type="dxa"/>
            <w:shd w:val="clear" w:color="auto" w:fill="auto"/>
          </w:tcPr>
          <w:p w:rsidR="00934EDD" w:rsidRPr="006D6D0D" w:rsidRDefault="00934EDD" w:rsidP="00934EDD">
            <w:pPr>
              <w:spacing w:after="0"/>
            </w:pPr>
            <w:r w:rsidRPr="006D6D0D">
              <w:t>Read Comstock - ERCOT</w:t>
            </w:r>
          </w:p>
        </w:tc>
        <w:tc>
          <w:tcPr>
            <w:tcW w:w="3586" w:type="dxa"/>
            <w:shd w:val="clear" w:color="auto" w:fill="auto"/>
          </w:tcPr>
          <w:p w:rsidR="00934EDD" w:rsidRPr="006D6D0D" w:rsidRDefault="00934EDD" w:rsidP="00934EDD">
            <w:pPr>
              <w:spacing w:after="0"/>
            </w:pPr>
            <w:r w:rsidRPr="006D6D0D">
              <w:t>Diana Rehfeldt - TNMP</w:t>
            </w:r>
          </w:p>
        </w:tc>
      </w:tr>
      <w:tr w:rsidR="00BB11E5" w:rsidRPr="002D2F39" w:rsidTr="00CA7714">
        <w:tc>
          <w:tcPr>
            <w:tcW w:w="3586" w:type="dxa"/>
            <w:shd w:val="clear" w:color="auto" w:fill="auto"/>
          </w:tcPr>
          <w:p w:rsidR="00BB11E5" w:rsidRPr="006D6D0D" w:rsidRDefault="00B8792A" w:rsidP="00B8792A">
            <w:pPr>
              <w:spacing w:after="0"/>
            </w:pPr>
            <w:r w:rsidRPr="006D6D0D">
              <w:t>Norm Levine</w:t>
            </w:r>
            <w:r w:rsidR="00BB11E5" w:rsidRPr="006D6D0D">
              <w:t xml:space="preserve"> - </w:t>
            </w:r>
            <w:r w:rsidRPr="006D6D0D">
              <w:t>Direct</w:t>
            </w:r>
          </w:p>
        </w:tc>
        <w:tc>
          <w:tcPr>
            <w:tcW w:w="3618" w:type="dxa"/>
            <w:shd w:val="clear" w:color="auto" w:fill="auto"/>
          </w:tcPr>
          <w:p w:rsidR="00BB11E5" w:rsidRPr="006D6D0D" w:rsidRDefault="006F6C24" w:rsidP="00934EDD">
            <w:pPr>
              <w:spacing w:after="0"/>
            </w:pPr>
            <w:r w:rsidRPr="006D6D0D">
              <w:t>Megan Miller</w:t>
            </w:r>
            <w:r w:rsidR="00BB11E5" w:rsidRPr="006D6D0D">
              <w:t xml:space="preserve"> - ERCOT</w:t>
            </w:r>
          </w:p>
        </w:tc>
        <w:tc>
          <w:tcPr>
            <w:tcW w:w="3586" w:type="dxa"/>
            <w:shd w:val="clear" w:color="auto" w:fill="auto"/>
          </w:tcPr>
          <w:p w:rsidR="00BB11E5" w:rsidRPr="006D6D0D" w:rsidRDefault="005F65D0" w:rsidP="00934EDD">
            <w:pPr>
              <w:spacing w:after="0"/>
            </w:pPr>
            <w:r w:rsidRPr="006D6D0D">
              <w:t>Alex Miller – EDF Renewables</w:t>
            </w:r>
          </w:p>
        </w:tc>
      </w:tr>
      <w:tr w:rsidR="005F65D0" w:rsidRPr="002D2F39" w:rsidTr="00CA7714">
        <w:tc>
          <w:tcPr>
            <w:tcW w:w="3586" w:type="dxa"/>
            <w:shd w:val="clear" w:color="auto" w:fill="auto"/>
          </w:tcPr>
          <w:p w:rsidR="005F65D0" w:rsidRPr="006D6D0D" w:rsidRDefault="00527A5F" w:rsidP="00934EDD">
            <w:pPr>
              <w:spacing w:after="0"/>
            </w:pPr>
            <w:proofErr w:type="spellStart"/>
            <w:r w:rsidRPr="006D6D0D">
              <w:t>Anoush</w:t>
            </w:r>
            <w:proofErr w:type="spellEnd"/>
            <w:r w:rsidRPr="006D6D0D">
              <w:t xml:space="preserve"> </w:t>
            </w:r>
            <w:proofErr w:type="spellStart"/>
            <w:r w:rsidRPr="006D6D0D">
              <w:t>Farhangi</w:t>
            </w:r>
            <w:proofErr w:type="spellEnd"/>
            <w:r w:rsidR="006F6C24" w:rsidRPr="006D6D0D">
              <w:t>- Demand Control 2</w:t>
            </w:r>
          </w:p>
        </w:tc>
        <w:tc>
          <w:tcPr>
            <w:tcW w:w="3618" w:type="dxa"/>
            <w:shd w:val="clear" w:color="auto" w:fill="auto"/>
          </w:tcPr>
          <w:p w:rsidR="005F65D0" w:rsidRPr="006D6D0D" w:rsidRDefault="00B8792A" w:rsidP="00934EDD">
            <w:pPr>
              <w:spacing w:after="0"/>
            </w:pPr>
            <w:r w:rsidRPr="006D6D0D">
              <w:t xml:space="preserve">Brittney </w:t>
            </w:r>
            <w:proofErr w:type="spellStart"/>
            <w:r w:rsidRPr="006D6D0D">
              <w:t>Albracht</w:t>
            </w:r>
            <w:proofErr w:type="spellEnd"/>
            <w:r w:rsidRPr="006D6D0D">
              <w:t xml:space="preserve"> - ERCOT</w:t>
            </w:r>
          </w:p>
        </w:tc>
        <w:tc>
          <w:tcPr>
            <w:tcW w:w="3586" w:type="dxa"/>
            <w:shd w:val="clear" w:color="auto" w:fill="auto"/>
          </w:tcPr>
          <w:p w:rsidR="005F65D0" w:rsidRPr="006D6D0D" w:rsidRDefault="00B8792A" w:rsidP="00934EDD">
            <w:pPr>
              <w:spacing w:after="0"/>
            </w:pPr>
            <w:r w:rsidRPr="006D6D0D">
              <w:t>Jim Painter - Oncor</w:t>
            </w:r>
          </w:p>
        </w:tc>
      </w:tr>
      <w:tr w:rsidR="006F6C24" w:rsidRPr="002D2F39" w:rsidTr="00CA7714">
        <w:tc>
          <w:tcPr>
            <w:tcW w:w="3586" w:type="dxa"/>
            <w:shd w:val="clear" w:color="auto" w:fill="auto"/>
          </w:tcPr>
          <w:p w:rsidR="006F6C24" w:rsidRPr="006D6D0D" w:rsidRDefault="006F6C24" w:rsidP="00934EDD">
            <w:pPr>
              <w:spacing w:after="0"/>
            </w:pPr>
            <w:r w:rsidRPr="006D6D0D">
              <w:t>Lauren Damen - NRG</w:t>
            </w:r>
          </w:p>
        </w:tc>
        <w:tc>
          <w:tcPr>
            <w:tcW w:w="3618" w:type="dxa"/>
            <w:shd w:val="clear" w:color="auto" w:fill="auto"/>
          </w:tcPr>
          <w:p w:rsidR="006F6C24" w:rsidRPr="006D6D0D" w:rsidRDefault="006F6C24" w:rsidP="00934EDD">
            <w:pPr>
              <w:spacing w:after="0"/>
            </w:pPr>
            <w:r w:rsidRPr="006D6D0D">
              <w:t>Clayton Stice - ERCOT</w:t>
            </w:r>
          </w:p>
        </w:tc>
        <w:tc>
          <w:tcPr>
            <w:tcW w:w="3586" w:type="dxa"/>
            <w:shd w:val="clear" w:color="auto" w:fill="auto"/>
          </w:tcPr>
          <w:p w:rsidR="006F6C24" w:rsidRPr="006D6D0D" w:rsidRDefault="006F6C24" w:rsidP="00934EDD">
            <w:pPr>
              <w:spacing w:after="0"/>
            </w:pPr>
            <w:r w:rsidRPr="006D6D0D">
              <w:t>Rebecca DuPont</w:t>
            </w:r>
          </w:p>
        </w:tc>
      </w:tr>
      <w:tr w:rsidR="006F6C24" w:rsidRPr="002D2F39" w:rsidTr="00CA7714">
        <w:tc>
          <w:tcPr>
            <w:tcW w:w="3586" w:type="dxa"/>
            <w:shd w:val="clear" w:color="auto" w:fill="auto"/>
          </w:tcPr>
          <w:p w:rsidR="006F6C24" w:rsidRPr="006D6D0D" w:rsidRDefault="006F6C24" w:rsidP="00934EDD">
            <w:pPr>
              <w:spacing w:after="0"/>
            </w:pPr>
            <w:proofErr w:type="gramStart"/>
            <w:r w:rsidRPr="006D6D0D">
              <w:t>KB ?</w:t>
            </w:r>
            <w:proofErr w:type="gramEnd"/>
          </w:p>
        </w:tc>
        <w:tc>
          <w:tcPr>
            <w:tcW w:w="3618" w:type="dxa"/>
            <w:shd w:val="clear" w:color="auto" w:fill="auto"/>
          </w:tcPr>
          <w:p w:rsidR="006F6C24" w:rsidRPr="006D6D0D" w:rsidRDefault="006F6C24" w:rsidP="00934EDD">
            <w:pPr>
              <w:spacing w:after="0"/>
            </w:pPr>
          </w:p>
        </w:tc>
        <w:tc>
          <w:tcPr>
            <w:tcW w:w="3586" w:type="dxa"/>
            <w:shd w:val="clear" w:color="auto" w:fill="auto"/>
          </w:tcPr>
          <w:p w:rsidR="006F6C24" w:rsidRPr="006D6D0D" w:rsidRDefault="006F6C24" w:rsidP="00934EDD">
            <w:pPr>
              <w:spacing w:after="0"/>
            </w:pPr>
          </w:p>
        </w:tc>
      </w:tr>
    </w:tbl>
    <w:p w:rsidR="00A913D2" w:rsidRDefault="00A913D2" w:rsidP="00A913D2">
      <w:pPr>
        <w:spacing w:after="0"/>
      </w:pPr>
      <w:r>
        <w:tab/>
      </w:r>
      <w:r>
        <w:tab/>
      </w:r>
      <w:r>
        <w:tab/>
      </w:r>
      <w:r>
        <w:tab/>
      </w:r>
      <w:r>
        <w:tab/>
      </w:r>
      <w:r>
        <w:tab/>
      </w:r>
      <w:r>
        <w:tab/>
      </w:r>
      <w:r>
        <w:tab/>
      </w:r>
      <w:r>
        <w:tab/>
      </w:r>
      <w:r>
        <w:tab/>
      </w:r>
    </w:p>
    <w:p w:rsidR="00A913D2" w:rsidRDefault="00A913D2" w:rsidP="0020423B">
      <w:pPr>
        <w:pStyle w:val="ListParagraph"/>
        <w:numPr>
          <w:ilvl w:val="0"/>
          <w:numId w:val="26"/>
        </w:numPr>
        <w:spacing w:after="0"/>
      </w:pPr>
      <w:r>
        <w:t xml:space="preserve">Sam Pak read Antitrust Admonition and reviewed the agenda </w:t>
      </w:r>
    </w:p>
    <w:p w:rsidR="00A913D2" w:rsidRDefault="00A913D2" w:rsidP="00A913D2">
      <w:pPr>
        <w:numPr>
          <w:ilvl w:val="0"/>
          <w:numId w:val="1"/>
        </w:numPr>
        <w:spacing w:after="0"/>
      </w:pPr>
      <w:r>
        <w:t xml:space="preserve">PWG meeting </w:t>
      </w:r>
      <w:r w:rsidR="00BF1E35">
        <w:t>notes</w:t>
      </w:r>
      <w:r>
        <w:t xml:space="preserve"> </w:t>
      </w:r>
      <w:r w:rsidR="00934EDD">
        <w:t xml:space="preserve">from </w:t>
      </w:r>
      <w:r w:rsidR="006D6D0D">
        <w:t>October meeting were approved</w:t>
      </w:r>
      <w:r w:rsidR="00934EDD">
        <w:t xml:space="preserve"> </w:t>
      </w:r>
    </w:p>
    <w:p w:rsidR="00A913D2" w:rsidRDefault="00A913D2" w:rsidP="00A913D2">
      <w:pPr>
        <w:spacing w:after="0"/>
        <w:ind w:left="720"/>
        <w:rPr>
          <w:b/>
          <w:u w:val="single"/>
        </w:rPr>
      </w:pPr>
    </w:p>
    <w:p w:rsidR="007054E5" w:rsidRDefault="007054E5" w:rsidP="001F650B">
      <w:pPr>
        <w:numPr>
          <w:ilvl w:val="0"/>
          <w:numId w:val="2"/>
        </w:numPr>
        <w:spacing w:after="0"/>
        <w:rPr>
          <w:b/>
          <w:u w:val="single"/>
        </w:rPr>
      </w:pPr>
      <w:r>
        <w:rPr>
          <w:b/>
          <w:u w:val="single"/>
        </w:rPr>
        <w:t>Annual Weather Sensitivity kickoff</w:t>
      </w:r>
    </w:p>
    <w:p w:rsidR="00494D44" w:rsidRDefault="001F650B" w:rsidP="009A1FAB">
      <w:pPr>
        <w:numPr>
          <w:ilvl w:val="0"/>
          <w:numId w:val="13"/>
        </w:numPr>
        <w:shd w:val="clear" w:color="auto" w:fill="FFFFFF"/>
        <w:spacing w:after="45" w:line="240" w:lineRule="auto"/>
        <w:rPr>
          <w:rFonts w:ascii="Arial" w:eastAsia="Times New Roman" w:hAnsi="Arial" w:cs="Arial"/>
          <w:color w:val="000000"/>
          <w:sz w:val="21"/>
          <w:szCs w:val="21"/>
        </w:rPr>
      </w:pPr>
      <w:r>
        <w:rPr>
          <w:rFonts w:ascii="Arial" w:eastAsia="Times New Roman" w:hAnsi="Arial" w:cs="Arial"/>
          <w:color w:val="000000"/>
          <w:sz w:val="21"/>
          <w:szCs w:val="21"/>
        </w:rPr>
        <w:t xml:space="preserve">ERCOT reported </w:t>
      </w:r>
      <w:r w:rsidR="00494D44">
        <w:rPr>
          <w:rFonts w:ascii="Arial" w:eastAsia="Times New Roman" w:hAnsi="Arial" w:cs="Arial"/>
          <w:color w:val="000000"/>
          <w:sz w:val="21"/>
          <w:szCs w:val="21"/>
        </w:rPr>
        <w:t xml:space="preserve">Annual WS changes were provide to TDSPs via </w:t>
      </w:r>
      <w:proofErr w:type="spellStart"/>
      <w:r w:rsidR="00494D44">
        <w:rPr>
          <w:rFonts w:ascii="Arial" w:eastAsia="Times New Roman" w:hAnsi="Arial" w:cs="Arial"/>
          <w:color w:val="000000"/>
          <w:sz w:val="21"/>
          <w:szCs w:val="21"/>
        </w:rPr>
        <w:t>MarkeTrak</w:t>
      </w:r>
      <w:proofErr w:type="spellEnd"/>
      <w:r w:rsidR="00494D44">
        <w:rPr>
          <w:rFonts w:ascii="Arial" w:eastAsia="Times New Roman" w:hAnsi="Arial" w:cs="Arial"/>
          <w:color w:val="000000"/>
          <w:sz w:val="21"/>
          <w:szCs w:val="21"/>
        </w:rPr>
        <w:t xml:space="preserve"> on Nov 2</w:t>
      </w:r>
      <w:r w:rsidR="00494D44" w:rsidRPr="00494D44">
        <w:rPr>
          <w:rFonts w:ascii="Arial" w:eastAsia="Times New Roman" w:hAnsi="Arial" w:cs="Arial"/>
          <w:color w:val="000000"/>
          <w:sz w:val="21"/>
          <w:szCs w:val="21"/>
          <w:vertAlign w:val="superscript"/>
        </w:rPr>
        <w:t>nd</w:t>
      </w:r>
      <w:r w:rsidR="00494D44">
        <w:rPr>
          <w:rFonts w:ascii="Arial" w:eastAsia="Times New Roman" w:hAnsi="Arial" w:cs="Arial"/>
          <w:color w:val="000000"/>
          <w:sz w:val="21"/>
          <w:szCs w:val="21"/>
        </w:rPr>
        <w:t xml:space="preserve"> and due 90 days after on Jan 31, 2021.</w:t>
      </w:r>
    </w:p>
    <w:p w:rsidR="00494D44" w:rsidRDefault="00494D44" w:rsidP="00494D44">
      <w:pPr>
        <w:shd w:val="clear" w:color="auto" w:fill="FFFFFF"/>
        <w:spacing w:after="45" w:line="240" w:lineRule="auto"/>
        <w:ind w:left="1080"/>
        <w:rPr>
          <w:rFonts w:ascii="Arial" w:eastAsia="Times New Roman" w:hAnsi="Arial" w:cs="Arial"/>
          <w:color w:val="000000"/>
          <w:sz w:val="21"/>
          <w:szCs w:val="21"/>
        </w:rPr>
      </w:pPr>
    </w:p>
    <w:p w:rsidR="00494D44" w:rsidRDefault="00494D44" w:rsidP="009A1FAB">
      <w:pPr>
        <w:numPr>
          <w:ilvl w:val="0"/>
          <w:numId w:val="13"/>
        </w:numPr>
        <w:shd w:val="clear" w:color="auto" w:fill="FFFFFF"/>
        <w:spacing w:after="45" w:line="240" w:lineRule="auto"/>
        <w:rPr>
          <w:rFonts w:ascii="Arial" w:eastAsia="Times New Roman" w:hAnsi="Arial" w:cs="Arial"/>
          <w:color w:val="000000"/>
          <w:sz w:val="21"/>
          <w:szCs w:val="21"/>
        </w:rPr>
      </w:pPr>
      <w:r>
        <w:rPr>
          <w:noProof/>
        </w:rPr>
        <w:drawing>
          <wp:inline distT="0" distB="0" distL="0" distR="0" wp14:anchorId="6578E638" wp14:editId="7DB0F4CF">
            <wp:extent cx="6172200" cy="2819782"/>
            <wp:effectExtent l="19050" t="19050" r="1905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27376" cy="2844989"/>
                    </a:xfrm>
                    <a:prstGeom prst="rect">
                      <a:avLst/>
                    </a:prstGeom>
                    <a:ln w="25400">
                      <a:solidFill>
                        <a:schemeClr val="tx1"/>
                      </a:solidFill>
                    </a:ln>
                  </pic:spPr>
                </pic:pic>
              </a:graphicData>
            </a:graphic>
          </wp:inline>
        </w:drawing>
      </w:r>
    </w:p>
    <w:p w:rsidR="00494D44" w:rsidRDefault="00494D44" w:rsidP="00494D44">
      <w:pPr>
        <w:shd w:val="clear" w:color="auto" w:fill="FFFFFF"/>
        <w:spacing w:after="45" w:line="240" w:lineRule="auto"/>
        <w:ind w:left="1080"/>
        <w:rPr>
          <w:rFonts w:ascii="Arial" w:eastAsia="Times New Roman" w:hAnsi="Arial" w:cs="Arial"/>
          <w:color w:val="000000"/>
          <w:sz w:val="21"/>
          <w:szCs w:val="21"/>
        </w:rPr>
      </w:pPr>
    </w:p>
    <w:p w:rsidR="00E422B4" w:rsidRDefault="00E422B4" w:rsidP="00E422B4">
      <w:pPr>
        <w:pStyle w:val="ListParagraph"/>
        <w:spacing w:after="0" w:line="240" w:lineRule="auto"/>
        <w:rPr>
          <w:b/>
          <w:u w:val="single"/>
        </w:rPr>
      </w:pPr>
    </w:p>
    <w:p w:rsidR="00325638" w:rsidRDefault="00AC639F" w:rsidP="00325638">
      <w:pPr>
        <w:pStyle w:val="ListParagraph"/>
        <w:numPr>
          <w:ilvl w:val="0"/>
          <w:numId w:val="4"/>
        </w:numPr>
        <w:spacing w:after="0" w:line="240" w:lineRule="auto"/>
        <w:rPr>
          <w:b/>
          <w:u w:val="single"/>
        </w:rPr>
      </w:pPr>
      <w:r>
        <w:rPr>
          <w:b/>
          <w:u w:val="single"/>
        </w:rPr>
        <w:t>Draft Revision Requests have been vetted with final edits and endorsed at PWG.  These will be presented at December’s RMS meeting for discussion.  The plan is to hopefully work through the stakeholder process for voting and approvals by end of 1</w:t>
      </w:r>
      <w:r w:rsidRPr="00AC639F">
        <w:rPr>
          <w:b/>
          <w:u w:val="single"/>
          <w:vertAlign w:val="superscript"/>
        </w:rPr>
        <w:t>st</w:t>
      </w:r>
      <w:r>
        <w:rPr>
          <w:b/>
          <w:u w:val="single"/>
        </w:rPr>
        <w:t xml:space="preserve"> quarter of 2021.</w:t>
      </w:r>
    </w:p>
    <w:p w:rsidR="00AC639F" w:rsidRPr="00AC639F" w:rsidRDefault="00AC639F" w:rsidP="00AC639F">
      <w:pPr>
        <w:numPr>
          <w:ilvl w:val="1"/>
          <w:numId w:val="4"/>
        </w:numPr>
        <w:shd w:val="clear" w:color="auto" w:fill="FFFFFF"/>
        <w:spacing w:after="45" w:line="240" w:lineRule="auto"/>
        <w:rPr>
          <w:rFonts w:ascii="Arial" w:eastAsia="Times New Roman" w:hAnsi="Arial" w:cs="Arial"/>
          <w:color w:val="000000"/>
          <w:sz w:val="21"/>
          <w:szCs w:val="21"/>
        </w:rPr>
      </w:pPr>
      <w:r w:rsidRPr="00AC639F">
        <w:rPr>
          <w:rFonts w:ascii="Arial" w:eastAsia="Times New Roman" w:hAnsi="Arial" w:cs="Arial"/>
          <w:color w:val="000000"/>
          <w:sz w:val="21"/>
          <w:szCs w:val="21"/>
        </w:rPr>
        <w:t>Draft RMGRR Eliminate Section 7.13, IDR Meter Removal and Installation Process</w:t>
      </w:r>
    </w:p>
    <w:p w:rsidR="00AC639F" w:rsidRPr="00AC639F" w:rsidRDefault="00AC639F" w:rsidP="00AC639F">
      <w:pPr>
        <w:numPr>
          <w:ilvl w:val="1"/>
          <w:numId w:val="4"/>
        </w:numPr>
        <w:shd w:val="clear" w:color="auto" w:fill="FFFFFF"/>
        <w:spacing w:after="45" w:line="240" w:lineRule="auto"/>
        <w:rPr>
          <w:rFonts w:ascii="Arial" w:eastAsia="Times New Roman" w:hAnsi="Arial" w:cs="Arial"/>
          <w:color w:val="000000"/>
          <w:sz w:val="21"/>
          <w:szCs w:val="21"/>
        </w:rPr>
      </w:pPr>
      <w:r w:rsidRPr="00AC639F">
        <w:rPr>
          <w:rFonts w:ascii="Arial" w:eastAsia="Times New Roman" w:hAnsi="Arial" w:cs="Arial"/>
          <w:color w:val="000000"/>
          <w:sz w:val="21"/>
          <w:szCs w:val="21"/>
        </w:rPr>
        <w:t>Draft NPRR Modify IDR Meter Requirement and Eliminate IDR Meter Requirement Report</w:t>
      </w:r>
    </w:p>
    <w:p w:rsidR="00AC639F" w:rsidRDefault="00AC639F" w:rsidP="00AC639F">
      <w:pPr>
        <w:numPr>
          <w:ilvl w:val="1"/>
          <w:numId w:val="4"/>
        </w:numPr>
        <w:shd w:val="clear" w:color="auto" w:fill="FFFFFF"/>
        <w:spacing w:after="45" w:line="240" w:lineRule="auto"/>
        <w:rPr>
          <w:rFonts w:ascii="Arial" w:eastAsia="Times New Roman" w:hAnsi="Arial" w:cs="Arial"/>
          <w:color w:val="000000"/>
          <w:sz w:val="21"/>
          <w:szCs w:val="21"/>
        </w:rPr>
      </w:pPr>
      <w:r w:rsidRPr="00AC639F">
        <w:rPr>
          <w:rFonts w:ascii="Arial" w:eastAsia="Times New Roman" w:hAnsi="Arial" w:cs="Arial"/>
          <w:color w:val="000000"/>
          <w:sz w:val="21"/>
          <w:szCs w:val="21"/>
        </w:rPr>
        <w:t>Draft LPGRR Creation of New BUSLRG and BUSLRGDG Profile Types</w:t>
      </w:r>
    </w:p>
    <w:p w:rsidR="00D22A08" w:rsidRPr="00AC639F" w:rsidRDefault="00D22A08" w:rsidP="00D22A08">
      <w:pPr>
        <w:shd w:val="clear" w:color="auto" w:fill="FFFFFF"/>
        <w:spacing w:after="45" w:line="240" w:lineRule="auto"/>
        <w:ind w:left="1440"/>
        <w:rPr>
          <w:rFonts w:ascii="Arial" w:eastAsia="Times New Roman" w:hAnsi="Arial" w:cs="Arial"/>
          <w:color w:val="000000"/>
          <w:sz w:val="21"/>
          <w:szCs w:val="21"/>
        </w:rPr>
      </w:pPr>
    </w:p>
    <w:p w:rsidR="00AC639F" w:rsidRDefault="00AC639F" w:rsidP="00AC639F">
      <w:pPr>
        <w:pStyle w:val="ListParagraph"/>
        <w:spacing w:after="0" w:line="240" w:lineRule="auto"/>
        <w:rPr>
          <w:b/>
          <w:u w:val="single"/>
        </w:rPr>
      </w:pPr>
    </w:p>
    <w:p w:rsidR="00AC639F" w:rsidRDefault="00AC639F" w:rsidP="00325638">
      <w:pPr>
        <w:pStyle w:val="ListParagraph"/>
        <w:numPr>
          <w:ilvl w:val="0"/>
          <w:numId w:val="4"/>
        </w:numPr>
        <w:spacing w:after="0" w:line="240" w:lineRule="auto"/>
        <w:rPr>
          <w:b/>
          <w:u w:val="single"/>
        </w:rPr>
      </w:pPr>
      <w:r>
        <w:rPr>
          <w:b/>
          <w:u w:val="single"/>
        </w:rPr>
        <w:lastRenderedPageBreak/>
        <w:t>Review analysis of O</w:t>
      </w:r>
      <w:r w:rsidR="00A112BB">
        <w:rPr>
          <w:b/>
          <w:u w:val="single"/>
        </w:rPr>
        <w:t xml:space="preserve">il </w:t>
      </w:r>
      <w:r>
        <w:rPr>
          <w:b/>
          <w:u w:val="single"/>
        </w:rPr>
        <w:t>&amp;</w:t>
      </w:r>
      <w:r w:rsidR="00A112BB">
        <w:rPr>
          <w:b/>
          <w:u w:val="single"/>
        </w:rPr>
        <w:t xml:space="preserve"> </w:t>
      </w:r>
      <w:r>
        <w:rPr>
          <w:b/>
          <w:u w:val="single"/>
        </w:rPr>
        <w:t>G</w:t>
      </w:r>
      <w:r w:rsidR="00A112BB">
        <w:rPr>
          <w:b/>
          <w:u w:val="single"/>
        </w:rPr>
        <w:t>as</w:t>
      </w:r>
      <w:r>
        <w:rPr>
          <w:b/>
          <w:u w:val="single"/>
        </w:rPr>
        <w:t xml:space="preserve"> Flat Profiles</w:t>
      </w:r>
    </w:p>
    <w:p w:rsidR="00A112BB" w:rsidRPr="00044222" w:rsidRDefault="00A112BB" w:rsidP="00A112BB">
      <w:pPr>
        <w:pStyle w:val="ListParagraph"/>
        <w:numPr>
          <w:ilvl w:val="1"/>
          <w:numId w:val="4"/>
        </w:numPr>
        <w:spacing w:after="0" w:line="240" w:lineRule="auto"/>
        <w:rPr>
          <w:b/>
          <w:u w:val="single"/>
        </w:rPr>
      </w:pPr>
      <w:r>
        <w:t>There was a concern that O&amp;G</w:t>
      </w:r>
      <w:r w:rsidR="00044222">
        <w:t xml:space="preserve"> Flat profiles might not be </w:t>
      </w:r>
      <w:r>
        <w:t xml:space="preserve">true indicators of “flat” usage.  This would be somewhat concerning for REPs who may be pricing such customers </w:t>
      </w:r>
      <w:r w:rsidR="00044222">
        <w:t>with</w:t>
      </w:r>
      <w:r>
        <w:t xml:space="preserve"> more usage volatility than what their O&amp;G Flat profile might indicate.  At the request of a market participant</w:t>
      </w:r>
      <w:r w:rsidR="006564AD">
        <w:t xml:space="preserve"> last month</w:t>
      </w:r>
      <w:r>
        <w:t xml:space="preserve">, ERCOT provided some insights and analysis of these O&amp;G Flat customers across the 3 different </w:t>
      </w:r>
      <w:proofErr w:type="spellStart"/>
      <w:r>
        <w:t>Avg</w:t>
      </w:r>
      <w:proofErr w:type="spellEnd"/>
      <w:r>
        <w:t xml:space="preserve"> Load Factor Ranges below.  The expectation as most would be in the BUSHI (AVGLF&gt;0.6) group</w:t>
      </w:r>
      <w:r w:rsidR="00044222">
        <w:t xml:space="preserve">ing as shown, but there was also some expressed concern that </w:t>
      </w:r>
      <w:proofErr w:type="spellStart"/>
      <w:r w:rsidR="00044222">
        <w:t>approx</w:t>
      </w:r>
      <w:proofErr w:type="spellEnd"/>
      <w:r w:rsidR="00044222">
        <w:t xml:space="preserve"> 13% were in the BUSLO grouping.  The REP community found this insightful and may possibly provide feedback/thoughts at next PWG meeting.</w:t>
      </w:r>
    </w:p>
    <w:p w:rsidR="00044222" w:rsidRDefault="00044222" w:rsidP="00044222">
      <w:pPr>
        <w:pStyle w:val="ListParagraph"/>
        <w:spacing w:after="0" w:line="240" w:lineRule="auto"/>
        <w:ind w:left="1440"/>
        <w:rPr>
          <w:b/>
          <w:u w:val="single"/>
        </w:rPr>
      </w:pPr>
    </w:p>
    <w:p w:rsidR="00AC639F" w:rsidRPr="00A112BB" w:rsidRDefault="00A112BB" w:rsidP="00A112BB">
      <w:pPr>
        <w:spacing w:after="0" w:line="240" w:lineRule="auto"/>
        <w:rPr>
          <w:b/>
          <w:u w:val="single"/>
        </w:rPr>
      </w:pPr>
      <w:r>
        <w:rPr>
          <w:noProof/>
        </w:rPr>
        <w:drawing>
          <wp:inline distT="0" distB="0" distL="0" distR="0" wp14:anchorId="0998B1C2" wp14:editId="379B4DCF">
            <wp:extent cx="5910762" cy="43586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16286" cy="4362714"/>
                    </a:xfrm>
                    <a:prstGeom prst="rect">
                      <a:avLst/>
                    </a:prstGeom>
                  </pic:spPr>
                </pic:pic>
              </a:graphicData>
            </a:graphic>
          </wp:inline>
        </w:drawing>
      </w:r>
    </w:p>
    <w:p w:rsidR="006564AD" w:rsidRDefault="006564AD" w:rsidP="00D22A08">
      <w:pPr>
        <w:pStyle w:val="ListParagraph"/>
        <w:spacing w:after="0"/>
        <w:ind w:left="1080"/>
      </w:pPr>
    </w:p>
    <w:p w:rsidR="00D22A08" w:rsidRDefault="00D22A08" w:rsidP="00D22A08">
      <w:pPr>
        <w:spacing w:after="0"/>
      </w:pPr>
    </w:p>
    <w:p w:rsidR="00D22A08" w:rsidRPr="00D22A08" w:rsidRDefault="00D22A08" w:rsidP="00D22A08">
      <w:pPr>
        <w:pStyle w:val="ListParagraph"/>
        <w:numPr>
          <w:ilvl w:val="0"/>
          <w:numId w:val="4"/>
        </w:numPr>
        <w:spacing w:after="0" w:line="240" w:lineRule="auto"/>
        <w:rPr>
          <w:b/>
          <w:u w:val="single"/>
        </w:rPr>
      </w:pPr>
      <w:r>
        <w:rPr>
          <w:b/>
          <w:u w:val="single"/>
        </w:rPr>
        <w:t>Discussion on Proposal for TDSPs to provide additional information on the DG Load Profile Template</w:t>
      </w:r>
    </w:p>
    <w:p w:rsidR="00D22A08" w:rsidRDefault="008B2916" w:rsidP="001C4981">
      <w:pPr>
        <w:pStyle w:val="ListParagraph"/>
        <w:numPr>
          <w:ilvl w:val="0"/>
          <w:numId w:val="24"/>
        </w:numPr>
        <w:spacing w:after="0"/>
      </w:pPr>
      <w:r>
        <w:t>Clayton Stice, ERCOT, presented a proposal for additional information related to unregistered DG on the DG Load Profile Template spreadsheet for future modelling and forecasting purposes:</w:t>
      </w:r>
    </w:p>
    <w:p w:rsidR="008B2916" w:rsidRDefault="008B2916" w:rsidP="008B2916">
      <w:pPr>
        <w:spacing w:after="0"/>
      </w:pPr>
      <w:r>
        <w:rPr>
          <w:noProof/>
        </w:rPr>
        <w:lastRenderedPageBreak/>
        <w:drawing>
          <wp:inline distT="0" distB="0" distL="0" distR="0" wp14:anchorId="480BFCDA" wp14:editId="7C639E6E">
            <wp:extent cx="6858000" cy="51403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58000" cy="5140325"/>
                    </a:xfrm>
                    <a:prstGeom prst="rect">
                      <a:avLst/>
                    </a:prstGeom>
                  </pic:spPr>
                </pic:pic>
              </a:graphicData>
            </a:graphic>
          </wp:inline>
        </w:drawing>
      </w:r>
    </w:p>
    <w:p w:rsidR="008B2916" w:rsidRDefault="008B2916" w:rsidP="008B2916">
      <w:pPr>
        <w:pStyle w:val="ListParagraph"/>
        <w:numPr>
          <w:ilvl w:val="0"/>
          <w:numId w:val="24"/>
        </w:numPr>
        <w:spacing w:after="0"/>
      </w:pPr>
      <w:r>
        <w:t>While TDSPs were generally supportive of ERCOT’s needs, there were some raised concerns on the manual effort and task of submitting this additional information on a regular basis to ERCOT given the growth of DG (</w:t>
      </w:r>
      <w:proofErr w:type="spellStart"/>
      <w:r>
        <w:t>eg</w:t>
      </w:r>
      <w:proofErr w:type="spellEnd"/>
      <w:r>
        <w:t xml:space="preserve"> rooftop solar).</w:t>
      </w:r>
    </w:p>
    <w:p w:rsidR="003636F9" w:rsidRDefault="003636F9" w:rsidP="003636F9">
      <w:pPr>
        <w:pStyle w:val="ListParagraph"/>
        <w:numPr>
          <w:ilvl w:val="0"/>
          <w:numId w:val="24"/>
        </w:numPr>
        <w:spacing w:after="0"/>
      </w:pPr>
      <w:r>
        <w:t>TDSPs plan to take back this</w:t>
      </w:r>
      <w:r w:rsidR="008B2916">
        <w:t xml:space="preserve"> proposal to their respective shops as well as discuss amongst the TDSPs on a </w:t>
      </w:r>
      <w:r>
        <w:t>collective path to move forward.</w:t>
      </w:r>
      <w:bookmarkStart w:id="0" w:name="_GoBack"/>
      <w:bookmarkEnd w:id="0"/>
    </w:p>
    <w:p w:rsidR="003636F9" w:rsidRDefault="003636F9" w:rsidP="003636F9">
      <w:pPr>
        <w:spacing w:after="0"/>
      </w:pPr>
    </w:p>
    <w:p w:rsidR="009B5895" w:rsidRDefault="009B5895" w:rsidP="009B5895">
      <w:pPr>
        <w:shd w:val="clear" w:color="auto" w:fill="FFFFFF"/>
        <w:spacing w:after="45" w:line="240" w:lineRule="auto"/>
        <w:ind w:left="1080"/>
        <w:rPr>
          <w:rFonts w:ascii="Arial" w:eastAsia="Times New Roman" w:hAnsi="Arial" w:cs="Arial"/>
          <w:color w:val="000000"/>
          <w:sz w:val="21"/>
          <w:szCs w:val="21"/>
        </w:rPr>
      </w:pPr>
    </w:p>
    <w:p w:rsidR="009B5895" w:rsidRPr="009B5895" w:rsidRDefault="009B5895" w:rsidP="009B5895">
      <w:pPr>
        <w:pStyle w:val="ListParagraph"/>
        <w:numPr>
          <w:ilvl w:val="0"/>
          <w:numId w:val="25"/>
        </w:numPr>
        <w:rPr>
          <w:noProof/>
          <w:u w:val="single"/>
        </w:rPr>
      </w:pPr>
      <w:r>
        <w:rPr>
          <w:b/>
          <w:noProof/>
          <w:u w:val="single"/>
        </w:rPr>
        <w:t>Next Meeting:</w:t>
      </w:r>
      <w:r>
        <w:rPr>
          <w:noProof/>
        </w:rPr>
        <w:t xml:space="preserve">  </w:t>
      </w:r>
      <w:r w:rsidR="003636F9">
        <w:rPr>
          <w:noProof/>
        </w:rPr>
        <w:t>The group felt there was no urgent need for an unscheduled December meeting.  Therefore, the next PWG meeting will be January 13, 2021 @ 9:30am.</w:t>
      </w:r>
    </w:p>
    <w:sectPr w:rsidR="009B5895" w:rsidRPr="009B5895" w:rsidSect="001235B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F5877"/>
    <w:multiLevelType w:val="hybridMultilevel"/>
    <w:tmpl w:val="505A1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1474F"/>
    <w:multiLevelType w:val="hybridMultilevel"/>
    <w:tmpl w:val="F0546A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D77A8"/>
    <w:multiLevelType w:val="hybridMultilevel"/>
    <w:tmpl w:val="C5AE3686"/>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97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90706"/>
    <w:multiLevelType w:val="hybridMultilevel"/>
    <w:tmpl w:val="0B40E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143FA9"/>
    <w:multiLevelType w:val="hybridMultilevel"/>
    <w:tmpl w:val="CB6204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6F58BA"/>
    <w:multiLevelType w:val="multilevel"/>
    <w:tmpl w:val="2A4C1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554BE2"/>
    <w:multiLevelType w:val="hybridMultilevel"/>
    <w:tmpl w:val="E586EC9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C0759"/>
    <w:multiLevelType w:val="hybridMultilevel"/>
    <w:tmpl w:val="8946E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33134A"/>
    <w:multiLevelType w:val="hybridMultilevel"/>
    <w:tmpl w:val="559EEA5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5D3CCB"/>
    <w:multiLevelType w:val="hybridMultilevel"/>
    <w:tmpl w:val="E1589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3A57FE"/>
    <w:multiLevelType w:val="hybridMultilevel"/>
    <w:tmpl w:val="D3F88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E4D0A"/>
    <w:multiLevelType w:val="hybridMultilevel"/>
    <w:tmpl w:val="9F5C1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992A59"/>
    <w:multiLevelType w:val="hybridMultilevel"/>
    <w:tmpl w:val="DD546C8A"/>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222E4B"/>
    <w:multiLevelType w:val="hybridMultilevel"/>
    <w:tmpl w:val="59EE84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6B72108"/>
    <w:multiLevelType w:val="hybridMultilevel"/>
    <w:tmpl w:val="20BEA0EE"/>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1A737A"/>
    <w:multiLevelType w:val="hybridMultilevel"/>
    <w:tmpl w:val="E806B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A6D3F30"/>
    <w:multiLevelType w:val="multilevel"/>
    <w:tmpl w:val="9A16C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C921A1"/>
    <w:multiLevelType w:val="hybridMultilevel"/>
    <w:tmpl w:val="9E2698D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D543AB8"/>
    <w:multiLevelType w:val="hybridMultilevel"/>
    <w:tmpl w:val="D7927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3E05FFE"/>
    <w:multiLevelType w:val="hybridMultilevel"/>
    <w:tmpl w:val="DCE00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9467357"/>
    <w:multiLevelType w:val="hybridMultilevel"/>
    <w:tmpl w:val="D5B07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DB578A7"/>
    <w:multiLevelType w:val="hybridMultilevel"/>
    <w:tmpl w:val="D46A7878"/>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8B5E2A"/>
    <w:multiLevelType w:val="hybridMultilevel"/>
    <w:tmpl w:val="3E4A2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4F777F5"/>
    <w:multiLevelType w:val="hybridMultilevel"/>
    <w:tmpl w:val="A4E42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1021FD"/>
    <w:multiLevelType w:val="hybridMultilevel"/>
    <w:tmpl w:val="FC88AA9A"/>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6739F7"/>
    <w:multiLevelType w:val="hybridMultilevel"/>
    <w:tmpl w:val="14DEE514"/>
    <w:lvl w:ilvl="0" w:tplc="0409000B">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79725616"/>
    <w:multiLevelType w:val="hybridMultilevel"/>
    <w:tmpl w:val="B8124128"/>
    <w:lvl w:ilvl="0" w:tplc="043E3F86">
      <w:start w:val="1"/>
      <w:numFmt w:val="bullet"/>
      <w:lvlText w:val="–"/>
      <w:lvlJc w:val="left"/>
      <w:pPr>
        <w:tabs>
          <w:tab w:val="num" w:pos="720"/>
        </w:tabs>
        <w:ind w:left="720" w:hanging="360"/>
      </w:pPr>
      <w:rPr>
        <w:rFonts w:ascii="Times New Roman" w:hAnsi="Times New Roman" w:hint="default"/>
      </w:rPr>
    </w:lvl>
    <w:lvl w:ilvl="1" w:tplc="88524E3A">
      <w:start w:val="1"/>
      <w:numFmt w:val="bullet"/>
      <w:lvlText w:val="–"/>
      <w:lvlJc w:val="left"/>
      <w:pPr>
        <w:tabs>
          <w:tab w:val="num" w:pos="1440"/>
        </w:tabs>
        <w:ind w:left="1440" w:hanging="360"/>
      </w:pPr>
      <w:rPr>
        <w:rFonts w:ascii="Times New Roman" w:hAnsi="Times New Roman" w:hint="default"/>
      </w:rPr>
    </w:lvl>
    <w:lvl w:ilvl="2" w:tplc="7DAEE044" w:tentative="1">
      <w:start w:val="1"/>
      <w:numFmt w:val="bullet"/>
      <w:lvlText w:val="–"/>
      <w:lvlJc w:val="left"/>
      <w:pPr>
        <w:tabs>
          <w:tab w:val="num" w:pos="2160"/>
        </w:tabs>
        <w:ind w:left="2160" w:hanging="360"/>
      </w:pPr>
      <w:rPr>
        <w:rFonts w:ascii="Times New Roman" w:hAnsi="Times New Roman" w:hint="default"/>
      </w:rPr>
    </w:lvl>
    <w:lvl w:ilvl="3" w:tplc="0CAC9118" w:tentative="1">
      <w:start w:val="1"/>
      <w:numFmt w:val="bullet"/>
      <w:lvlText w:val="–"/>
      <w:lvlJc w:val="left"/>
      <w:pPr>
        <w:tabs>
          <w:tab w:val="num" w:pos="2880"/>
        </w:tabs>
        <w:ind w:left="2880" w:hanging="360"/>
      </w:pPr>
      <w:rPr>
        <w:rFonts w:ascii="Times New Roman" w:hAnsi="Times New Roman" w:hint="default"/>
      </w:rPr>
    </w:lvl>
    <w:lvl w:ilvl="4" w:tplc="E6889F58" w:tentative="1">
      <w:start w:val="1"/>
      <w:numFmt w:val="bullet"/>
      <w:lvlText w:val="–"/>
      <w:lvlJc w:val="left"/>
      <w:pPr>
        <w:tabs>
          <w:tab w:val="num" w:pos="3600"/>
        </w:tabs>
        <w:ind w:left="3600" w:hanging="360"/>
      </w:pPr>
      <w:rPr>
        <w:rFonts w:ascii="Times New Roman" w:hAnsi="Times New Roman" w:hint="default"/>
      </w:rPr>
    </w:lvl>
    <w:lvl w:ilvl="5" w:tplc="592C66E8" w:tentative="1">
      <w:start w:val="1"/>
      <w:numFmt w:val="bullet"/>
      <w:lvlText w:val="–"/>
      <w:lvlJc w:val="left"/>
      <w:pPr>
        <w:tabs>
          <w:tab w:val="num" w:pos="4320"/>
        </w:tabs>
        <w:ind w:left="4320" w:hanging="360"/>
      </w:pPr>
      <w:rPr>
        <w:rFonts w:ascii="Times New Roman" w:hAnsi="Times New Roman" w:hint="default"/>
      </w:rPr>
    </w:lvl>
    <w:lvl w:ilvl="6" w:tplc="4C32A46A" w:tentative="1">
      <w:start w:val="1"/>
      <w:numFmt w:val="bullet"/>
      <w:lvlText w:val="–"/>
      <w:lvlJc w:val="left"/>
      <w:pPr>
        <w:tabs>
          <w:tab w:val="num" w:pos="5040"/>
        </w:tabs>
        <w:ind w:left="5040" w:hanging="360"/>
      </w:pPr>
      <w:rPr>
        <w:rFonts w:ascii="Times New Roman" w:hAnsi="Times New Roman" w:hint="default"/>
      </w:rPr>
    </w:lvl>
    <w:lvl w:ilvl="7" w:tplc="25DCB72A" w:tentative="1">
      <w:start w:val="1"/>
      <w:numFmt w:val="bullet"/>
      <w:lvlText w:val="–"/>
      <w:lvlJc w:val="left"/>
      <w:pPr>
        <w:tabs>
          <w:tab w:val="num" w:pos="5760"/>
        </w:tabs>
        <w:ind w:left="5760" w:hanging="360"/>
      </w:pPr>
      <w:rPr>
        <w:rFonts w:ascii="Times New Roman" w:hAnsi="Times New Roman" w:hint="default"/>
      </w:rPr>
    </w:lvl>
    <w:lvl w:ilvl="8" w:tplc="3F4A625C"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2"/>
  </w:num>
  <w:num w:numId="3">
    <w:abstractNumId w:val="14"/>
  </w:num>
  <w:num w:numId="4">
    <w:abstractNumId w:val="21"/>
  </w:num>
  <w:num w:numId="5">
    <w:abstractNumId w:val="24"/>
  </w:num>
  <w:num w:numId="6">
    <w:abstractNumId w:val="6"/>
  </w:num>
  <w:num w:numId="7">
    <w:abstractNumId w:val="26"/>
  </w:num>
  <w:num w:numId="8">
    <w:abstractNumId w:val="18"/>
  </w:num>
  <w:num w:numId="9">
    <w:abstractNumId w:val="10"/>
  </w:num>
  <w:num w:numId="10">
    <w:abstractNumId w:val="17"/>
  </w:num>
  <w:num w:numId="11">
    <w:abstractNumId w:val="8"/>
  </w:num>
  <w:num w:numId="12">
    <w:abstractNumId w:val="16"/>
  </w:num>
  <w:num w:numId="13">
    <w:abstractNumId w:val="13"/>
  </w:num>
  <w:num w:numId="14">
    <w:abstractNumId w:val="20"/>
  </w:num>
  <w:num w:numId="15">
    <w:abstractNumId w:val="7"/>
  </w:num>
  <w:num w:numId="16">
    <w:abstractNumId w:val="3"/>
  </w:num>
  <w:num w:numId="17">
    <w:abstractNumId w:val="22"/>
  </w:num>
  <w:num w:numId="18">
    <w:abstractNumId w:val="15"/>
  </w:num>
  <w:num w:numId="19">
    <w:abstractNumId w:val="0"/>
  </w:num>
  <w:num w:numId="20">
    <w:abstractNumId w:val="11"/>
  </w:num>
  <w:num w:numId="21">
    <w:abstractNumId w:val="9"/>
  </w:num>
  <w:num w:numId="22">
    <w:abstractNumId w:val="23"/>
  </w:num>
  <w:num w:numId="23">
    <w:abstractNumId w:val="19"/>
  </w:num>
  <w:num w:numId="24">
    <w:abstractNumId w:val="4"/>
  </w:num>
  <w:num w:numId="25">
    <w:abstractNumId w:val="25"/>
  </w:num>
  <w:num w:numId="26">
    <w:abstractNumId w:val="1"/>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3D2"/>
    <w:rsid w:val="00044222"/>
    <w:rsid w:val="000A696E"/>
    <w:rsid w:val="00115AF1"/>
    <w:rsid w:val="00130133"/>
    <w:rsid w:val="001534DB"/>
    <w:rsid w:val="00156BBC"/>
    <w:rsid w:val="001C4981"/>
    <w:rsid w:val="001D7649"/>
    <w:rsid w:val="001F650B"/>
    <w:rsid w:val="0020079F"/>
    <w:rsid w:val="0020423B"/>
    <w:rsid w:val="00225FCD"/>
    <w:rsid w:val="0025643E"/>
    <w:rsid w:val="0027109C"/>
    <w:rsid w:val="002A04E7"/>
    <w:rsid w:val="002D2F39"/>
    <w:rsid w:val="002D453E"/>
    <w:rsid w:val="00300295"/>
    <w:rsid w:val="003171E2"/>
    <w:rsid w:val="00325638"/>
    <w:rsid w:val="0034356D"/>
    <w:rsid w:val="003636F9"/>
    <w:rsid w:val="003643B4"/>
    <w:rsid w:val="00397A08"/>
    <w:rsid w:val="003A517C"/>
    <w:rsid w:val="003B7BE2"/>
    <w:rsid w:val="003F25AD"/>
    <w:rsid w:val="00415CAA"/>
    <w:rsid w:val="00422D07"/>
    <w:rsid w:val="004938A8"/>
    <w:rsid w:val="00494D44"/>
    <w:rsid w:val="004C4622"/>
    <w:rsid w:val="00527A5F"/>
    <w:rsid w:val="005C0942"/>
    <w:rsid w:val="005C6145"/>
    <w:rsid w:val="005F0D0F"/>
    <w:rsid w:val="005F65D0"/>
    <w:rsid w:val="00602C15"/>
    <w:rsid w:val="00612EDD"/>
    <w:rsid w:val="006564AD"/>
    <w:rsid w:val="00684EBB"/>
    <w:rsid w:val="00686961"/>
    <w:rsid w:val="006954D3"/>
    <w:rsid w:val="006D6D0D"/>
    <w:rsid w:val="006F6C24"/>
    <w:rsid w:val="007054E5"/>
    <w:rsid w:val="00730027"/>
    <w:rsid w:val="007B1AA9"/>
    <w:rsid w:val="007F26B7"/>
    <w:rsid w:val="00811E20"/>
    <w:rsid w:val="0087181C"/>
    <w:rsid w:val="008A7614"/>
    <w:rsid w:val="008B2916"/>
    <w:rsid w:val="008E0501"/>
    <w:rsid w:val="009042C9"/>
    <w:rsid w:val="00921756"/>
    <w:rsid w:val="00934EDD"/>
    <w:rsid w:val="00962CF2"/>
    <w:rsid w:val="009A1FAB"/>
    <w:rsid w:val="009B5895"/>
    <w:rsid w:val="009D5394"/>
    <w:rsid w:val="00A112BB"/>
    <w:rsid w:val="00A23E45"/>
    <w:rsid w:val="00A913D2"/>
    <w:rsid w:val="00AC639F"/>
    <w:rsid w:val="00B07436"/>
    <w:rsid w:val="00B138FE"/>
    <w:rsid w:val="00B13962"/>
    <w:rsid w:val="00B35DD7"/>
    <w:rsid w:val="00B603D1"/>
    <w:rsid w:val="00B801D2"/>
    <w:rsid w:val="00B83A3F"/>
    <w:rsid w:val="00B84F6C"/>
    <w:rsid w:val="00B8792A"/>
    <w:rsid w:val="00BA1574"/>
    <w:rsid w:val="00BB11E5"/>
    <w:rsid w:val="00BE1D5A"/>
    <w:rsid w:val="00BF1E35"/>
    <w:rsid w:val="00C060EF"/>
    <w:rsid w:val="00C44B4F"/>
    <w:rsid w:val="00C472A5"/>
    <w:rsid w:val="00C4734F"/>
    <w:rsid w:val="00C544AD"/>
    <w:rsid w:val="00CA7714"/>
    <w:rsid w:val="00D127B1"/>
    <w:rsid w:val="00D22A08"/>
    <w:rsid w:val="00D449BC"/>
    <w:rsid w:val="00D62BBC"/>
    <w:rsid w:val="00D9460F"/>
    <w:rsid w:val="00DD77CA"/>
    <w:rsid w:val="00DE492A"/>
    <w:rsid w:val="00E05A3E"/>
    <w:rsid w:val="00E422B4"/>
    <w:rsid w:val="00E471B9"/>
    <w:rsid w:val="00E4794E"/>
    <w:rsid w:val="00E74B3A"/>
    <w:rsid w:val="00E81584"/>
    <w:rsid w:val="00EE1261"/>
    <w:rsid w:val="00EE6B82"/>
    <w:rsid w:val="00EF0405"/>
    <w:rsid w:val="00F06E43"/>
    <w:rsid w:val="00F53BE3"/>
    <w:rsid w:val="00FF3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82D38D-9D67-4F3D-96D0-D6AFA8F80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3D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3D2"/>
    <w:pPr>
      <w:ind w:left="720"/>
    </w:pPr>
  </w:style>
  <w:style w:type="table" w:styleId="GridTable5Dark-Accent1">
    <w:name w:val="Grid Table 5 Dark Accent 1"/>
    <w:basedOn w:val="TableNormal"/>
    <w:uiPriority w:val="50"/>
    <w:rsid w:val="003F25A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Header">
    <w:name w:val="header"/>
    <w:basedOn w:val="Normal"/>
    <w:link w:val="HeaderChar"/>
    <w:uiPriority w:val="99"/>
    <w:unhideWhenUsed/>
    <w:rsid w:val="003F25AD"/>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3F2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86592">
      <w:bodyDiv w:val="1"/>
      <w:marLeft w:val="0"/>
      <w:marRight w:val="0"/>
      <w:marTop w:val="0"/>
      <w:marBottom w:val="0"/>
      <w:divBdr>
        <w:top w:val="none" w:sz="0" w:space="0" w:color="auto"/>
        <w:left w:val="none" w:sz="0" w:space="0" w:color="auto"/>
        <w:bottom w:val="none" w:sz="0" w:space="0" w:color="auto"/>
        <w:right w:val="none" w:sz="0" w:space="0" w:color="auto"/>
      </w:divBdr>
    </w:div>
    <w:div w:id="200672013">
      <w:bodyDiv w:val="1"/>
      <w:marLeft w:val="0"/>
      <w:marRight w:val="0"/>
      <w:marTop w:val="0"/>
      <w:marBottom w:val="0"/>
      <w:divBdr>
        <w:top w:val="none" w:sz="0" w:space="0" w:color="auto"/>
        <w:left w:val="none" w:sz="0" w:space="0" w:color="auto"/>
        <w:bottom w:val="none" w:sz="0" w:space="0" w:color="auto"/>
        <w:right w:val="none" w:sz="0" w:space="0" w:color="auto"/>
      </w:divBdr>
    </w:div>
    <w:div w:id="593127003">
      <w:bodyDiv w:val="1"/>
      <w:marLeft w:val="0"/>
      <w:marRight w:val="0"/>
      <w:marTop w:val="0"/>
      <w:marBottom w:val="0"/>
      <w:divBdr>
        <w:top w:val="none" w:sz="0" w:space="0" w:color="auto"/>
        <w:left w:val="none" w:sz="0" w:space="0" w:color="auto"/>
        <w:bottom w:val="none" w:sz="0" w:space="0" w:color="auto"/>
        <w:right w:val="none" w:sz="0" w:space="0" w:color="auto"/>
      </w:divBdr>
    </w:div>
    <w:div w:id="1855806072">
      <w:bodyDiv w:val="1"/>
      <w:marLeft w:val="0"/>
      <w:marRight w:val="0"/>
      <w:marTop w:val="0"/>
      <w:marBottom w:val="0"/>
      <w:divBdr>
        <w:top w:val="none" w:sz="0" w:space="0" w:color="auto"/>
        <w:left w:val="none" w:sz="0" w:space="0" w:color="auto"/>
        <w:bottom w:val="none" w:sz="0" w:space="0" w:color="auto"/>
        <w:right w:val="none" w:sz="0" w:space="0" w:color="auto"/>
      </w:divBdr>
      <w:divsChild>
        <w:div w:id="470559927">
          <w:marLeft w:val="1166"/>
          <w:marRight w:val="0"/>
          <w:marTop w:val="96"/>
          <w:marBottom w:val="0"/>
          <w:divBdr>
            <w:top w:val="none" w:sz="0" w:space="0" w:color="auto"/>
            <w:left w:val="none" w:sz="0" w:space="0" w:color="auto"/>
            <w:bottom w:val="none" w:sz="0" w:space="0" w:color="auto"/>
            <w:right w:val="none" w:sz="0" w:space="0" w:color="auto"/>
          </w:divBdr>
        </w:div>
        <w:div w:id="1532184509">
          <w:marLeft w:val="1166"/>
          <w:marRight w:val="0"/>
          <w:marTop w:val="96"/>
          <w:marBottom w:val="0"/>
          <w:divBdr>
            <w:top w:val="none" w:sz="0" w:space="0" w:color="auto"/>
            <w:left w:val="none" w:sz="0" w:space="0" w:color="auto"/>
            <w:bottom w:val="none" w:sz="0" w:space="0" w:color="auto"/>
            <w:right w:val="none" w:sz="0" w:space="0" w:color="auto"/>
          </w:divBdr>
        </w:div>
        <w:div w:id="1798602016">
          <w:marLeft w:val="1166"/>
          <w:marRight w:val="0"/>
          <w:marTop w:val="96"/>
          <w:marBottom w:val="0"/>
          <w:divBdr>
            <w:top w:val="none" w:sz="0" w:space="0" w:color="auto"/>
            <w:left w:val="none" w:sz="0" w:space="0" w:color="auto"/>
            <w:bottom w:val="none" w:sz="0" w:space="0" w:color="auto"/>
            <w:right w:val="none" w:sz="0" w:space="0" w:color="auto"/>
          </w:divBdr>
        </w:div>
      </w:divsChild>
    </w:div>
    <w:div w:id="211073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7EA42-E48F-48BD-AEC9-F4F767639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Oncor Electric Delivery</Company>
  <LinksUpToDate>false</LinksUpToDate>
  <CharactersWithSpaces>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 Sam</dc:creator>
  <cp:keywords/>
  <dc:description/>
  <cp:lastModifiedBy>Pak, Sam</cp:lastModifiedBy>
  <cp:revision>7</cp:revision>
  <dcterms:created xsi:type="dcterms:W3CDTF">2021-01-08T21:25:00Z</dcterms:created>
  <dcterms:modified xsi:type="dcterms:W3CDTF">2021-01-08T22:35:00Z</dcterms:modified>
</cp:coreProperties>
</file>