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rsidTr="00D54DC7">
        <w:trPr>
          <w:trHeight w:val="620"/>
        </w:trPr>
        <w:tc>
          <w:tcPr>
            <w:tcW w:w="1620" w:type="dxa"/>
            <w:tcBorders>
              <w:bottom w:val="single" w:sz="4" w:space="0" w:color="auto"/>
            </w:tcBorders>
            <w:shd w:val="clear" w:color="auto" w:fill="FFFFFF"/>
            <w:vAlign w:val="center"/>
          </w:tcPr>
          <w:p w:rsidR="00C97625" w:rsidRDefault="00471A6A" w:rsidP="00D54DC7">
            <w:pPr>
              <w:pStyle w:val="Header"/>
            </w:pPr>
            <w:r>
              <w:t xml:space="preserve">NPRR </w:t>
            </w:r>
            <w:r w:rsidR="00C97625">
              <w:t>Number</w:t>
            </w:r>
          </w:p>
        </w:tc>
        <w:tc>
          <w:tcPr>
            <w:tcW w:w="1440" w:type="dxa"/>
            <w:tcBorders>
              <w:bottom w:val="single" w:sz="4" w:space="0" w:color="auto"/>
            </w:tcBorders>
            <w:vAlign w:val="center"/>
          </w:tcPr>
          <w:p w:rsidR="00C97625" w:rsidRPr="00595DDC" w:rsidRDefault="00821E4B" w:rsidP="002842DB">
            <w:pPr>
              <w:pStyle w:val="Header"/>
              <w:tabs>
                <w:tab w:val="clear" w:pos="4320"/>
                <w:tab w:val="clear" w:pos="8640"/>
              </w:tabs>
            </w:pPr>
            <w:r>
              <w:t>1034</w:t>
            </w:r>
          </w:p>
        </w:tc>
        <w:tc>
          <w:tcPr>
            <w:tcW w:w="1260" w:type="dxa"/>
            <w:tcBorders>
              <w:bottom w:val="single" w:sz="4" w:space="0" w:color="auto"/>
            </w:tcBorders>
            <w:shd w:val="clear" w:color="auto" w:fill="FFFFFF"/>
            <w:vAlign w:val="center"/>
          </w:tcPr>
          <w:p w:rsidR="00C97625" w:rsidRDefault="00471A6A" w:rsidP="00D54DC7">
            <w:pPr>
              <w:pStyle w:val="Header"/>
            </w:pPr>
            <w:r>
              <w:t xml:space="preserve">NPRR </w:t>
            </w:r>
            <w:r w:rsidR="00C97625">
              <w:t>Title</w:t>
            </w:r>
          </w:p>
        </w:tc>
        <w:tc>
          <w:tcPr>
            <w:tcW w:w="6120" w:type="dxa"/>
            <w:tcBorders>
              <w:bottom w:val="single" w:sz="4" w:space="0" w:color="auto"/>
            </w:tcBorders>
            <w:vAlign w:val="center"/>
          </w:tcPr>
          <w:p w:rsidR="00C97625" w:rsidRPr="009F3D0E" w:rsidRDefault="00821E4B" w:rsidP="00124420">
            <w:pPr>
              <w:pStyle w:val="Header"/>
              <w:tabs>
                <w:tab w:val="clear" w:pos="4320"/>
                <w:tab w:val="clear" w:pos="8640"/>
              </w:tabs>
              <w:rPr>
                <w:szCs w:val="23"/>
              </w:rPr>
            </w:pPr>
            <w:r w:rsidRPr="00821E4B">
              <w:rPr>
                <w:szCs w:val="23"/>
              </w:rPr>
              <w:t>Frequency-Based Limits on DC Tie Imports or Exports</w:t>
            </w:r>
          </w:p>
        </w:tc>
      </w:tr>
      <w:tr w:rsidR="00FC0BDC">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FC0BDC" w:rsidRPr="009F3D0E" w:rsidRDefault="00F36413" w:rsidP="009F3D0E">
            <w:pPr>
              <w:spacing w:before="100" w:beforeAutospacing="1" w:after="100" w:afterAutospacing="1"/>
              <w:rPr>
                <w:rFonts w:ascii="Arial" w:hAnsi="Arial" w:cs="Arial"/>
                <w:szCs w:val="22"/>
              </w:rPr>
            </w:pPr>
            <w:r>
              <w:rPr>
                <w:rFonts w:ascii="Arial" w:hAnsi="Arial" w:cs="Arial"/>
                <w:szCs w:val="22"/>
              </w:rPr>
              <w:t>December 15, 2020</w:t>
            </w:r>
          </w:p>
        </w:tc>
      </w:tr>
      <w:tr w:rsidR="00F13670" w:rsidTr="00663934">
        <w:trPr>
          <w:trHeight w:val="602"/>
        </w:trPr>
        <w:tc>
          <w:tcPr>
            <w:tcW w:w="3060" w:type="dxa"/>
            <w:gridSpan w:val="2"/>
            <w:tcBorders>
              <w:top w:val="single" w:sz="4" w:space="0" w:color="auto"/>
              <w:bottom w:val="single" w:sz="4" w:space="0" w:color="auto"/>
            </w:tcBorders>
            <w:shd w:val="clear" w:color="auto" w:fill="FFFFFF"/>
            <w:vAlign w:val="center"/>
          </w:tcPr>
          <w:p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rsidR="00124420" w:rsidRPr="002D68CF" w:rsidRDefault="00821E4B" w:rsidP="00BC7F7A">
            <w:pPr>
              <w:spacing w:before="100" w:beforeAutospacing="1" w:after="100" w:afterAutospacing="1"/>
              <w:rPr>
                <w:rFonts w:ascii="Arial" w:hAnsi="Arial" w:cs="Arial"/>
                <w:sz w:val="22"/>
                <w:szCs w:val="22"/>
              </w:rPr>
            </w:pPr>
            <w:r w:rsidRPr="00821E4B">
              <w:rPr>
                <w:rFonts w:ascii="Arial" w:hAnsi="Arial" w:cs="Arial"/>
              </w:rPr>
              <w:t>Between $50k and $70k (No budgetary impact - see note below.)</w:t>
            </w:r>
          </w:p>
        </w:tc>
      </w:tr>
      <w:tr w:rsidR="00F13670"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26620F" w:rsidRDefault="00821E4B" w:rsidP="00B0156D">
            <w:pPr>
              <w:pStyle w:val="NormalArial"/>
              <w:rPr>
                <w:rFonts w:cs="Arial"/>
              </w:rPr>
            </w:pPr>
            <w:r w:rsidRPr="00821E4B">
              <w:rPr>
                <w:rFonts w:cs="Arial"/>
              </w:rPr>
              <w:t>The timeline for implementing this Nodal Protocol Revision Request (NPRR) is dependent up</w:t>
            </w:r>
            <w:bookmarkStart w:id="0" w:name="_GoBack"/>
            <w:bookmarkEnd w:id="0"/>
            <w:r w:rsidRPr="00821E4B">
              <w:rPr>
                <w:rFonts w:cs="Arial"/>
              </w:rPr>
              <w:t>on ERCOT Board prioritization and approval, as well as satisfaction of the following conditions: (1)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(a) Notice to proceed with the construction of the interconnection; and  (b) The financial security required to fund the interconnection facilities.  Please see the Project Priority List (PPL) for additional information.</w:t>
            </w:r>
          </w:p>
          <w:p w:rsidR="00821E4B" w:rsidRDefault="00821E4B" w:rsidP="00B0156D">
            <w:pPr>
              <w:pStyle w:val="NormalArial"/>
              <w:rPr>
                <w:rFonts w:cs="Arial"/>
              </w:rPr>
            </w:pPr>
          </w:p>
          <w:p w:rsidR="0026620F" w:rsidRPr="00511748" w:rsidRDefault="0026620F" w:rsidP="00821E4B">
            <w:pPr>
              <w:pStyle w:val="NormalArial"/>
              <w:rPr>
                <w:sz w:val="22"/>
                <w:szCs w:val="22"/>
              </w:rPr>
            </w:pPr>
            <w:r w:rsidRPr="0026620F">
              <w:rPr>
                <w:rFonts w:cs="Arial"/>
              </w:rPr>
              <w:t xml:space="preserve">Estimated project duration:  </w:t>
            </w:r>
            <w:r w:rsidR="00821E4B">
              <w:rPr>
                <w:rFonts w:cs="Arial"/>
              </w:rPr>
              <w:t>5</w:t>
            </w:r>
            <w:r w:rsidRPr="0026620F">
              <w:rPr>
                <w:rFonts w:cs="Arial"/>
              </w:rPr>
              <w:t xml:space="preserve"> to </w:t>
            </w:r>
            <w:r w:rsidR="00821E4B">
              <w:rPr>
                <w:rFonts w:cs="Arial"/>
              </w:rPr>
              <w:t>7</w:t>
            </w:r>
            <w:r w:rsidRPr="0026620F">
              <w:rPr>
                <w:rFonts w:cs="Arial"/>
              </w:rPr>
              <w:t xml:space="preserve"> months</w:t>
            </w:r>
          </w:p>
        </w:tc>
      </w:tr>
      <w:tr w:rsidR="00F13670">
        <w:trPr>
          <w:trHeight w:val="962"/>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Staffing Impacts (across all areas)</w:t>
            </w:r>
          </w:p>
        </w:tc>
        <w:tc>
          <w:tcPr>
            <w:tcW w:w="7380" w:type="dxa"/>
            <w:gridSpan w:val="2"/>
            <w:tcBorders>
              <w:top w:val="single" w:sz="4" w:space="0" w:color="auto"/>
            </w:tcBorders>
            <w:vAlign w:val="center"/>
          </w:tcPr>
          <w:p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821E4B">
              <w:t>10</w:t>
            </w:r>
            <w:r w:rsidR="00CB2C65" w:rsidRPr="00CB2C65">
              <w:t>0% ERCOT; 0% Vendor</w:t>
            </w:r>
          </w:p>
          <w:p w:rsidR="00CB2C65" w:rsidRDefault="00CB2C65" w:rsidP="002D6CAB">
            <w:pPr>
              <w:pStyle w:val="NormalArial"/>
            </w:pPr>
          </w:p>
          <w:p w:rsidR="00CB2C65" w:rsidRPr="00F02EB9" w:rsidRDefault="00CB2C65" w:rsidP="002D6CAB">
            <w:pPr>
              <w:pStyle w:val="NormalArial"/>
            </w:pPr>
            <w:r w:rsidRPr="00F02EB9">
              <w:t>Ongoing Requirements: No impact</w:t>
            </w:r>
            <w:r w:rsidR="00D95CCE">
              <w:t>s</w:t>
            </w:r>
            <w:r w:rsidRPr="00F02EB9">
              <w:t xml:space="preserve"> to ERCOT staffing.</w:t>
            </w:r>
          </w:p>
        </w:tc>
      </w:tr>
      <w:tr w:rsidR="00F13670">
        <w:trPr>
          <w:trHeight w:val="845"/>
        </w:trPr>
        <w:tc>
          <w:tcPr>
            <w:tcW w:w="3060" w:type="dxa"/>
            <w:gridSpan w:val="2"/>
            <w:tcBorders>
              <w:top w:val="single" w:sz="4" w:space="0" w:color="auto"/>
              <w:bottom w:val="single" w:sz="4" w:space="0" w:color="auto"/>
            </w:tcBorders>
            <w:shd w:val="clear" w:color="auto" w:fill="FFFFFF"/>
            <w:vAlign w:val="center"/>
          </w:tcPr>
          <w:p w:rsidR="00F13670" w:rsidRDefault="00CB3C8E">
            <w:pPr>
              <w:pStyle w:val="Header"/>
            </w:pPr>
            <w:r>
              <w:t>ERCOT Computer System Impacts</w:t>
            </w:r>
          </w:p>
        </w:tc>
        <w:tc>
          <w:tcPr>
            <w:tcW w:w="7380" w:type="dxa"/>
            <w:gridSpan w:val="2"/>
            <w:tcBorders>
              <w:top w:val="single" w:sz="4" w:space="0" w:color="auto"/>
            </w:tcBorders>
            <w:vAlign w:val="center"/>
          </w:tcPr>
          <w:p w:rsidR="004C3BCE" w:rsidRDefault="009207B4" w:rsidP="002D6CAB">
            <w:pPr>
              <w:pStyle w:val="NormalArial"/>
              <w:rPr>
                <w:rFonts w:cs="Arial"/>
              </w:rPr>
            </w:pPr>
            <w:r w:rsidRPr="009207B4">
              <w:rPr>
                <w:rFonts w:cs="Arial"/>
              </w:rPr>
              <w:t>The following ERCOT systems would be impacted:</w:t>
            </w:r>
          </w:p>
          <w:p w:rsidR="009207B4" w:rsidRDefault="009207B4" w:rsidP="002D6CAB">
            <w:pPr>
              <w:pStyle w:val="NormalArial"/>
              <w:rPr>
                <w:rFonts w:cs="Arial"/>
              </w:rPr>
            </w:pPr>
          </w:p>
          <w:p w:rsidR="004B1BFC" w:rsidRPr="00821E4B" w:rsidRDefault="00821E4B" w:rsidP="00821E4B">
            <w:pPr>
              <w:pStyle w:val="NormalArial"/>
              <w:numPr>
                <w:ilvl w:val="0"/>
                <w:numId w:val="7"/>
              </w:numPr>
            </w:pPr>
            <w:r w:rsidRPr="00821E4B">
              <w:t>Grid Application Displays</w:t>
            </w:r>
            <w:r>
              <w:t xml:space="preserve">                        52%</w:t>
            </w:r>
          </w:p>
          <w:p w:rsidR="00821E4B" w:rsidRPr="00821E4B" w:rsidRDefault="00821E4B" w:rsidP="00821E4B">
            <w:pPr>
              <w:pStyle w:val="NormalArial"/>
              <w:numPr>
                <w:ilvl w:val="0"/>
                <w:numId w:val="7"/>
              </w:numPr>
            </w:pPr>
            <w:r w:rsidRPr="00821E4B">
              <w:t>Market Management Systems (MMS)</w:t>
            </w:r>
            <w:r>
              <w:t xml:space="preserve">    18%</w:t>
            </w:r>
          </w:p>
          <w:p w:rsidR="00821E4B" w:rsidRPr="00821E4B" w:rsidRDefault="00821E4B" w:rsidP="00821E4B">
            <w:pPr>
              <w:pStyle w:val="NormalArial"/>
              <w:numPr>
                <w:ilvl w:val="0"/>
                <w:numId w:val="7"/>
              </w:numPr>
            </w:pPr>
            <w:r w:rsidRPr="00821E4B">
              <w:t>Data and Information Products (DAIP)</w:t>
            </w:r>
            <w:r>
              <w:t xml:space="preserve">   17%</w:t>
            </w:r>
          </w:p>
          <w:p w:rsidR="00821E4B" w:rsidRPr="00821E4B" w:rsidRDefault="00821E4B" w:rsidP="00821E4B">
            <w:pPr>
              <w:pStyle w:val="NormalArial"/>
              <w:numPr>
                <w:ilvl w:val="0"/>
                <w:numId w:val="7"/>
              </w:numPr>
            </w:pPr>
            <w:r w:rsidRPr="00821E4B">
              <w:t>NoticeBuilder</w:t>
            </w:r>
            <w:r>
              <w:t xml:space="preserve">                                            9%</w:t>
            </w:r>
          </w:p>
          <w:p w:rsidR="00821E4B" w:rsidRPr="00821E4B" w:rsidRDefault="00821E4B" w:rsidP="00821E4B">
            <w:pPr>
              <w:pStyle w:val="NormalArial"/>
              <w:numPr>
                <w:ilvl w:val="0"/>
                <w:numId w:val="7"/>
              </w:numPr>
              <w:rPr>
                <w:sz w:val="22"/>
                <w:szCs w:val="22"/>
              </w:rPr>
            </w:pPr>
            <w:r w:rsidRPr="00821E4B">
              <w:t>Data Access &amp; Transparency</w:t>
            </w:r>
            <w:r>
              <w:t xml:space="preserve">                   4%</w:t>
            </w:r>
          </w:p>
          <w:p w:rsidR="00821E4B" w:rsidRPr="00FE71C0" w:rsidRDefault="00821E4B" w:rsidP="00821E4B">
            <w:pPr>
              <w:pStyle w:val="NormalArial"/>
              <w:ind w:left="720"/>
              <w:rPr>
                <w:sz w:val="22"/>
                <w:szCs w:val="22"/>
              </w:rPr>
            </w:pPr>
            <w:r>
              <w:t xml:space="preserve">  </w:t>
            </w:r>
          </w:p>
        </w:tc>
      </w:tr>
      <w:tr w:rsidR="00F13670">
        <w:trPr>
          <w:trHeight w:val="782"/>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Business Function Impacts</w:t>
            </w:r>
          </w:p>
        </w:tc>
        <w:tc>
          <w:tcPr>
            <w:tcW w:w="7380" w:type="dxa"/>
            <w:gridSpan w:val="2"/>
            <w:tcBorders>
              <w:top w:val="single" w:sz="4" w:space="0" w:color="auto"/>
            </w:tcBorders>
            <w:vAlign w:val="center"/>
          </w:tcPr>
          <w:p w:rsidR="004D252E" w:rsidRPr="009266AD" w:rsidRDefault="00C63B97" w:rsidP="00D54DC7">
            <w:pPr>
              <w:pStyle w:val="NormalArial"/>
              <w:rPr>
                <w:sz w:val="22"/>
                <w:szCs w:val="22"/>
              </w:rPr>
            </w:pPr>
            <w:r>
              <w:rPr>
                <w:rFonts w:cs="Arial"/>
              </w:rPr>
              <w:t xml:space="preserve">No </w:t>
            </w:r>
            <w:r w:rsidR="002D6CAB">
              <w:rPr>
                <w:rFonts w:cs="Arial"/>
              </w:rPr>
              <w:t xml:space="preserve">impacts to </w:t>
            </w:r>
            <w:r w:rsidR="001E4FDC">
              <w:rPr>
                <w:rFonts w:cs="Arial"/>
              </w:rPr>
              <w:t xml:space="preserve">ERCOT </w:t>
            </w:r>
            <w:r>
              <w:rPr>
                <w:rFonts w:cs="Arial"/>
              </w:rPr>
              <w:t>business fu</w:t>
            </w:r>
            <w:r w:rsidR="002D6CAB">
              <w:rPr>
                <w:rFonts w:cs="Arial"/>
              </w:rPr>
              <w:t>nctions</w:t>
            </w:r>
            <w:r>
              <w:rPr>
                <w:rFonts w:cs="Arial"/>
              </w:rPr>
              <w:t>.</w:t>
            </w:r>
          </w:p>
        </w:tc>
      </w:tr>
      <w:tr w:rsidR="00F13670">
        <w:trPr>
          <w:trHeight w:val="818"/>
        </w:trPr>
        <w:tc>
          <w:tcPr>
            <w:tcW w:w="3060" w:type="dxa"/>
            <w:gridSpan w:val="2"/>
            <w:tcBorders>
              <w:bottom w:val="single" w:sz="4" w:space="0" w:color="auto"/>
            </w:tcBorders>
            <w:shd w:val="clear" w:color="auto" w:fill="FFFFFF"/>
            <w:vAlign w:val="center"/>
          </w:tcPr>
          <w:p w:rsidR="00F13670" w:rsidRDefault="00FB22A3">
            <w:pPr>
              <w:pStyle w:val="Header"/>
            </w:pPr>
            <w:r>
              <w:t>Grid Operations &amp; Practices Impacts</w:t>
            </w:r>
          </w:p>
        </w:tc>
        <w:tc>
          <w:tcPr>
            <w:tcW w:w="7380" w:type="dxa"/>
            <w:gridSpan w:val="2"/>
            <w:tcBorders>
              <w:bottom w:val="single" w:sz="4" w:space="0" w:color="auto"/>
            </w:tcBorders>
            <w:vAlign w:val="center"/>
          </w:tcPr>
          <w:p w:rsidR="004E7041" w:rsidRPr="00D54DC7" w:rsidRDefault="00821E4B" w:rsidP="00D54DC7">
            <w:pPr>
              <w:pStyle w:val="Header"/>
              <w:rPr>
                <w:b w:val="0"/>
                <w:sz w:val="22"/>
                <w:szCs w:val="22"/>
              </w:rPr>
            </w:pPr>
            <w:r w:rsidRPr="00821E4B">
              <w:rPr>
                <w:b w:val="0"/>
              </w:rPr>
              <w:t>ERCOT will update grid operations and practices to implement this NPRR.</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629"/>
        </w:trPr>
        <w:tc>
          <w:tcPr>
            <w:tcW w:w="10440" w:type="dxa"/>
            <w:shd w:val="clear" w:color="auto" w:fill="FFFFFF"/>
            <w:vAlign w:val="center"/>
          </w:tcPr>
          <w:p w:rsidR="00C97625" w:rsidRDefault="00CB2C65">
            <w:pPr>
              <w:pStyle w:val="Header"/>
              <w:jc w:val="center"/>
            </w:pPr>
            <w:r w:rsidRPr="00F02EB9">
              <w:t>Evaluation of Interim Solutions or Alternatives for a More Efficient Implementation</w:t>
            </w:r>
          </w:p>
        </w:tc>
      </w:tr>
      <w:tr w:rsidR="00C97625">
        <w:trPr>
          <w:trHeight w:val="413"/>
        </w:trPr>
        <w:tc>
          <w:tcPr>
            <w:tcW w:w="10440" w:type="dxa"/>
            <w:tcBorders>
              <w:bottom w:val="single" w:sz="4" w:space="0" w:color="auto"/>
            </w:tcBorders>
            <w:shd w:val="clear" w:color="auto" w:fill="FFFFFF"/>
            <w:vAlign w:val="center"/>
          </w:tcPr>
          <w:p w:rsidR="00C97625" w:rsidRPr="00F555E9" w:rsidRDefault="00E702AF">
            <w:pPr>
              <w:pStyle w:val="NormalArial"/>
            </w:pPr>
            <w:r>
              <w:t>None offered.</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422"/>
        </w:trPr>
        <w:tc>
          <w:tcPr>
            <w:tcW w:w="10440" w:type="dxa"/>
            <w:shd w:val="clear" w:color="auto" w:fill="FFFFFF"/>
            <w:vAlign w:val="center"/>
          </w:tcPr>
          <w:p w:rsidR="00C97625" w:rsidRDefault="00C97625">
            <w:pPr>
              <w:pStyle w:val="Header"/>
              <w:jc w:val="center"/>
              <w:rPr>
                <w:rFonts w:ascii="Verdana" w:hAnsi="Verdana"/>
                <w:b w:val="0"/>
                <w:sz w:val="22"/>
              </w:rPr>
            </w:pPr>
            <w:r>
              <w:t>Comments</w:t>
            </w:r>
          </w:p>
        </w:tc>
      </w:tr>
      <w:tr w:rsidR="00C97625">
        <w:trPr>
          <w:trHeight w:val="512"/>
        </w:trPr>
        <w:tc>
          <w:tcPr>
            <w:tcW w:w="10440" w:type="dxa"/>
            <w:tcBorders>
              <w:bottom w:val="single" w:sz="4" w:space="0" w:color="auto"/>
            </w:tcBorders>
            <w:shd w:val="clear" w:color="auto" w:fill="FFFFFF"/>
            <w:vAlign w:val="center"/>
          </w:tcPr>
          <w:p w:rsidR="000A2646" w:rsidRPr="00A36BDB" w:rsidRDefault="00821E4B" w:rsidP="0088379F">
            <w:pPr>
              <w:pStyle w:val="NormalArial"/>
            </w:pPr>
            <w:r w:rsidRPr="00821E4B">
              <w:lastRenderedPageBreak/>
              <w:t>Pursuant to the order of the Public Utility Commission of Texas (PUCT) in Project No. 46304 and the terms of a Memorandum of Understanding between ERCOT and Southern Cross, the entire cost of implementing this NPRR is to be borne by Southern Cross.  Accordingly, although the cost of implementing the project is estimated to be between $50k and $70k, the project is not expected to have a budgetary impact on ERCOT.</w:t>
            </w:r>
          </w:p>
        </w:tc>
      </w:tr>
    </w:tbl>
    <w:p w:rsidR="00BE76F0" w:rsidRDefault="00BE76F0" w:rsidP="00BE76F0"/>
    <w:sectPr w:rsidR="00BE76F0" w:rsidSect="001F5696">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3B" w:rsidRDefault="00BF6B3B">
      <w:r>
        <w:separator/>
      </w:r>
    </w:p>
  </w:endnote>
  <w:endnote w:type="continuationSeparator" w:id="0">
    <w:p w:rsidR="00BF6B3B" w:rsidRDefault="00BF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F36413"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1034NPRR-14 Impact Analysis 121520</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separate"/>
    </w:r>
    <w:r w:rsidR="00892AB0">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Pr>
        <w:rFonts w:ascii="Arial" w:hAnsi="Arial"/>
        <w:noProof/>
        <w:sz w:val="18"/>
      </w:rPr>
      <w:t>2</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Pr>
        <w:rFonts w:ascii="Arial" w:hAnsi="Arial"/>
        <w:noProof/>
        <w:sz w:val="18"/>
      </w:rPr>
      <w:t>2</w:t>
    </w:r>
    <w:r w:rsidR="006B0C5E">
      <w:rPr>
        <w:rFonts w:ascii="Arial" w:hAnsi="Arial"/>
        <w:sz w:val="18"/>
      </w:rPr>
      <w:fldChar w:fldCharType="end"/>
    </w:r>
  </w:p>
  <w:p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3B" w:rsidRDefault="00BF6B3B">
      <w:r>
        <w:separator/>
      </w:r>
    </w:p>
  </w:footnote>
  <w:footnote w:type="continuationSeparator" w:id="0">
    <w:p w:rsidR="00BF6B3B" w:rsidRDefault="00BF6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4404F02">
      <w:start w:val="1"/>
      <w:numFmt w:val="bullet"/>
      <w:lvlText w:val=""/>
      <w:lvlJc w:val="left"/>
      <w:pPr>
        <w:tabs>
          <w:tab w:val="num" w:pos="720"/>
        </w:tabs>
        <w:ind w:left="720" w:hanging="360"/>
      </w:pPr>
      <w:rPr>
        <w:rFonts w:ascii="Wingdings" w:hAnsi="Wingdings" w:hint="default"/>
      </w:rPr>
    </w:lvl>
    <w:lvl w:ilvl="1" w:tplc="7DA8F942" w:tentative="1">
      <w:start w:val="1"/>
      <w:numFmt w:val="bullet"/>
      <w:lvlText w:val="o"/>
      <w:lvlJc w:val="left"/>
      <w:pPr>
        <w:tabs>
          <w:tab w:val="num" w:pos="1440"/>
        </w:tabs>
        <w:ind w:left="1440" w:hanging="360"/>
      </w:pPr>
      <w:rPr>
        <w:rFonts w:ascii="Courier New" w:hAnsi="Courier New" w:cs="Courier New" w:hint="default"/>
      </w:rPr>
    </w:lvl>
    <w:lvl w:ilvl="2" w:tplc="22821A78" w:tentative="1">
      <w:start w:val="1"/>
      <w:numFmt w:val="bullet"/>
      <w:lvlText w:val=""/>
      <w:lvlJc w:val="left"/>
      <w:pPr>
        <w:tabs>
          <w:tab w:val="num" w:pos="2160"/>
        </w:tabs>
        <w:ind w:left="2160" w:hanging="360"/>
      </w:pPr>
      <w:rPr>
        <w:rFonts w:ascii="Wingdings" w:hAnsi="Wingdings" w:hint="default"/>
      </w:rPr>
    </w:lvl>
    <w:lvl w:ilvl="3" w:tplc="E7F06C94" w:tentative="1">
      <w:start w:val="1"/>
      <w:numFmt w:val="bullet"/>
      <w:lvlText w:val=""/>
      <w:lvlJc w:val="left"/>
      <w:pPr>
        <w:tabs>
          <w:tab w:val="num" w:pos="2880"/>
        </w:tabs>
        <w:ind w:left="2880" w:hanging="360"/>
      </w:pPr>
      <w:rPr>
        <w:rFonts w:ascii="Symbol" w:hAnsi="Symbol" w:hint="default"/>
      </w:rPr>
    </w:lvl>
    <w:lvl w:ilvl="4" w:tplc="DB223E9C" w:tentative="1">
      <w:start w:val="1"/>
      <w:numFmt w:val="bullet"/>
      <w:lvlText w:val="o"/>
      <w:lvlJc w:val="left"/>
      <w:pPr>
        <w:tabs>
          <w:tab w:val="num" w:pos="3600"/>
        </w:tabs>
        <w:ind w:left="3600" w:hanging="360"/>
      </w:pPr>
      <w:rPr>
        <w:rFonts w:ascii="Courier New" w:hAnsi="Courier New" w:cs="Courier New" w:hint="default"/>
      </w:rPr>
    </w:lvl>
    <w:lvl w:ilvl="5" w:tplc="3202D5AA" w:tentative="1">
      <w:start w:val="1"/>
      <w:numFmt w:val="bullet"/>
      <w:lvlText w:val=""/>
      <w:lvlJc w:val="left"/>
      <w:pPr>
        <w:tabs>
          <w:tab w:val="num" w:pos="4320"/>
        </w:tabs>
        <w:ind w:left="4320" w:hanging="360"/>
      </w:pPr>
      <w:rPr>
        <w:rFonts w:ascii="Wingdings" w:hAnsi="Wingdings" w:hint="default"/>
      </w:rPr>
    </w:lvl>
    <w:lvl w:ilvl="6" w:tplc="7F3EEE96" w:tentative="1">
      <w:start w:val="1"/>
      <w:numFmt w:val="bullet"/>
      <w:lvlText w:val=""/>
      <w:lvlJc w:val="left"/>
      <w:pPr>
        <w:tabs>
          <w:tab w:val="num" w:pos="5040"/>
        </w:tabs>
        <w:ind w:left="5040" w:hanging="360"/>
      </w:pPr>
      <w:rPr>
        <w:rFonts w:ascii="Symbol" w:hAnsi="Symbol" w:hint="default"/>
      </w:rPr>
    </w:lvl>
    <w:lvl w:ilvl="7" w:tplc="7A22F1A6" w:tentative="1">
      <w:start w:val="1"/>
      <w:numFmt w:val="bullet"/>
      <w:lvlText w:val="o"/>
      <w:lvlJc w:val="left"/>
      <w:pPr>
        <w:tabs>
          <w:tab w:val="num" w:pos="5760"/>
        </w:tabs>
        <w:ind w:left="5760" w:hanging="360"/>
      </w:pPr>
      <w:rPr>
        <w:rFonts w:ascii="Courier New" w:hAnsi="Courier New" w:cs="Courier New" w:hint="default"/>
      </w:rPr>
    </w:lvl>
    <w:lvl w:ilvl="8" w:tplc="1DA480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C6E0D"/>
    <w:multiLevelType w:val="multilevel"/>
    <w:tmpl w:val="4D923352"/>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A66DF3"/>
    <w:multiLevelType w:val="hybridMultilevel"/>
    <w:tmpl w:val="81FC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11854"/>
    <w:multiLevelType w:val="hybridMultilevel"/>
    <w:tmpl w:val="D3B42F86"/>
    <w:lvl w:ilvl="0" w:tplc="A6D6DE76">
      <w:start w:val="1"/>
      <w:numFmt w:val="decimal"/>
      <w:lvlText w:val="(%1)"/>
      <w:lvlJc w:val="left"/>
      <w:pPr>
        <w:tabs>
          <w:tab w:val="num" w:pos="720"/>
        </w:tabs>
        <w:ind w:left="720" w:hanging="360"/>
      </w:pPr>
      <w:rPr>
        <w:rFonts w:hint="default"/>
      </w:rPr>
    </w:lvl>
    <w:lvl w:ilvl="1" w:tplc="D1705746" w:tentative="1">
      <w:start w:val="1"/>
      <w:numFmt w:val="lowerLetter"/>
      <w:lvlText w:val="%2."/>
      <w:lvlJc w:val="left"/>
      <w:pPr>
        <w:tabs>
          <w:tab w:val="num" w:pos="1440"/>
        </w:tabs>
        <w:ind w:left="1440" w:hanging="360"/>
      </w:pPr>
    </w:lvl>
    <w:lvl w:ilvl="2" w:tplc="8F2E5400" w:tentative="1">
      <w:start w:val="1"/>
      <w:numFmt w:val="lowerRoman"/>
      <w:lvlText w:val="%3."/>
      <w:lvlJc w:val="right"/>
      <w:pPr>
        <w:tabs>
          <w:tab w:val="num" w:pos="2160"/>
        </w:tabs>
        <w:ind w:left="2160" w:hanging="180"/>
      </w:pPr>
    </w:lvl>
    <w:lvl w:ilvl="3" w:tplc="0A7A30C0" w:tentative="1">
      <w:start w:val="1"/>
      <w:numFmt w:val="decimal"/>
      <w:lvlText w:val="%4."/>
      <w:lvlJc w:val="left"/>
      <w:pPr>
        <w:tabs>
          <w:tab w:val="num" w:pos="2880"/>
        </w:tabs>
        <w:ind w:left="2880" w:hanging="360"/>
      </w:pPr>
    </w:lvl>
    <w:lvl w:ilvl="4" w:tplc="9866F306" w:tentative="1">
      <w:start w:val="1"/>
      <w:numFmt w:val="lowerLetter"/>
      <w:lvlText w:val="%5."/>
      <w:lvlJc w:val="left"/>
      <w:pPr>
        <w:tabs>
          <w:tab w:val="num" w:pos="3600"/>
        </w:tabs>
        <w:ind w:left="3600" w:hanging="360"/>
      </w:pPr>
    </w:lvl>
    <w:lvl w:ilvl="5" w:tplc="EABCD882" w:tentative="1">
      <w:start w:val="1"/>
      <w:numFmt w:val="lowerRoman"/>
      <w:lvlText w:val="%6."/>
      <w:lvlJc w:val="right"/>
      <w:pPr>
        <w:tabs>
          <w:tab w:val="num" w:pos="4320"/>
        </w:tabs>
        <w:ind w:left="4320" w:hanging="180"/>
      </w:pPr>
    </w:lvl>
    <w:lvl w:ilvl="6" w:tplc="A1B2B8FA" w:tentative="1">
      <w:start w:val="1"/>
      <w:numFmt w:val="decimal"/>
      <w:lvlText w:val="%7."/>
      <w:lvlJc w:val="left"/>
      <w:pPr>
        <w:tabs>
          <w:tab w:val="num" w:pos="5040"/>
        </w:tabs>
        <w:ind w:left="5040" w:hanging="360"/>
      </w:pPr>
    </w:lvl>
    <w:lvl w:ilvl="7" w:tplc="071050B4" w:tentative="1">
      <w:start w:val="1"/>
      <w:numFmt w:val="lowerLetter"/>
      <w:lvlText w:val="%8."/>
      <w:lvlJc w:val="left"/>
      <w:pPr>
        <w:tabs>
          <w:tab w:val="num" w:pos="5760"/>
        </w:tabs>
        <w:ind w:left="5760" w:hanging="360"/>
      </w:pPr>
    </w:lvl>
    <w:lvl w:ilvl="8" w:tplc="72B87508"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1E4B"/>
    <w:rsid w:val="00824182"/>
    <w:rsid w:val="00831001"/>
    <w:rsid w:val="0083171D"/>
    <w:rsid w:val="0083263B"/>
    <w:rsid w:val="0083309D"/>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36413"/>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2.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0FB0E-4C55-4105-B818-381374742E8E}">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312</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2186</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Brittney Albracht</cp:lastModifiedBy>
  <cp:revision>4</cp:revision>
  <cp:lastPrinted>2007-01-12T13:31:00Z</cp:lastPrinted>
  <dcterms:created xsi:type="dcterms:W3CDTF">2019-09-09T19:40:00Z</dcterms:created>
  <dcterms:modified xsi:type="dcterms:W3CDTF">2020-12-15T17:23:00Z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