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CB68ED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November</w:t>
      </w:r>
      <w:r w:rsidR="00C33E4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16th</w:t>
      </w:r>
      <w:r w:rsidR="002F5B65">
        <w:rPr>
          <w:b/>
          <w:sz w:val="28"/>
          <w:szCs w:val="24"/>
        </w:rPr>
        <w:t>,</w:t>
      </w:r>
      <w:r w:rsidR="005645B7">
        <w:rPr>
          <w:b/>
          <w:sz w:val="28"/>
          <w:szCs w:val="24"/>
        </w:rPr>
        <w:t xml:space="preserve"> 2020</w:t>
      </w:r>
    </w:p>
    <w:p w:rsidR="009F7D81" w:rsidRPr="00123FEE" w:rsidRDefault="005645B7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</w:t>
      </w:r>
    </w:p>
    <w:tbl>
      <w:tblPr>
        <w:tblStyle w:val="GridTable4-Accent3"/>
        <w:tblW w:w="11065" w:type="dxa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800"/>
        <w:gridCol w:w="1710"/>
        <w:gridCol w:w="1890"/>
      </w:tblGrid>
      <w:tr w:rsidR="00EA742D" w:rsidRPr="00020312" w:rsidTr="002E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C0504D" w:themeFill="accent2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0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1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9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1D16C1" w:rsidP="00446742">
            <w:pPr>
              <w:rPr>
                <w:b w:val="0"/>
              </w:rPr>
            </w:pPr>
            <w:r>
              <w:rPr>
                <w:b w:val="0"/>
              </w:rPr>
              <w:t>Diana Rehfeldt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9361FE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 Lee</w:t>
            </w:r>
          </w:p>
        </w:tc>
        <w:tc>
          <w:tcPr>
            <w:tcW w:w="1800" w:type="dxa"/>
          </w:tcPr>
          <w:p w:rsidR="00446742" w:rsidRPr="00020312" w:rsidRDefault="009361FE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1710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020312" w:rsidRDefault="002F5B65" w:rsidP="002F5B65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2F5B65" w:rsidRPr="00020312" w:rsidRDefault="009D7657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Steven Pliler</w:t>
            </w:r>
          </w:p>
        </w:tc>
        <w:tc>
          <w:tcPr>
            <w:tcW w:w="1800" w:type="dxa"/>
          </w:tcPr>
          <w:p w:rsidR="002F5B65" w:rsidRPr="00020312" w:rsidRDefault="009D7657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TXU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B65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020312" w:rsidRDefault="002F5B65" w:rsidP="002F5B65">
            <w:pPr>
              <w:rPr>
                <w:b w:val="0"/>
              </w:rPr>
            </w:pPr>
            <w:r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Blakey</w:t>
            </w: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 Energy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3D3023" w:rsidRDefault="002F5B65" w:rsidP="002F5B65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:rsidR="002F5B65" w:rsidRPr="00020312" w:rsidRDefault="009D7657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Lauren Damen</w:t>
            </w:r>
          </w:p>
        </w:tc>
        <w:tc>
          <w:tcPr>
            <w:tcW w:w="1800" w:type="dxa"/>
          </w:tcPr>
          <w:p w:rsidR="002F5B65" w:rsidRPr="00020312" w:rsidRDefault="009D7657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NRG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B65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3D3023" w:rsidRDefault="002F5B65" w:rsidP="002F5B65">
            <w:pPr>
              <w:rPr>
                <w:b w:val="0"/>
              </w:rPr>
            </w:pPr>
            <w:r w:rsidRPr="003D3023">
              <w:rPr>
                <w:b w:val="0"/>
              </w:rPr>
              <w:t>Jordan Troublefield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2F5B65" w:rsidRPr="00020312" w:rsidRDefault="009D7657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 Ritch</w:t>
            </w:r>
          </w:p>
        </w:tc>
        <w:tc>
          <w:tcPr>
            <w:tcW w:w="1800" w:type="dxa"/>
          </w:tcPr>
          <w:p w:rsidR="002F5B65" w:rsidRPr="00020312" w:rsidRDefault="009D7657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Gexa</w:t>
            </w:r>
            <w:proofErr w:type="spellEnd"/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020312" w:rsidRDefault="002F5B65" w:rsidP="002F5B65">
            <w:pPr>
              <w:rPr>
                <w:b w:val="0"/>
              </w:rPr>
            </w:pP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B65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D17CF3" w:rsidRDefault="002F5B65" w:rsidP="002F5B65">
            <w:pPr>
              <w:rPr>
                <w:b w:val="0"/>
              </w:rPr>
            </w:pPr>
            <w:r>
              <w:rPr>
                <w:b w:val="0"/>
              </w:rPr>
              <w:t>Mick Hanna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gridSpan w:val="6"/>
          </w:tcPr>
          <w:p w:rsidR="002F5B65" w:rsidRPr="00020312" w:rsidRDefault="002F5B65" w:rsidP="002F5B65"/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  <w:r w:rsidR="00CE3D30">
        <w:rPr>
          <w:b/>
          <w:u w:val="single"/>
        </w:rPr>
        <w:t xml:space="preserve"> &amp; Antitrust</w:t>
      </w:r>
    </w:p>
    <w:p w:rsidR="00CE3D30" w:rsidRPr="00CE3D30" w:rsidRDefault="00CE3D30" w:rsidP="00245452">
      <w:pPr>
        <w:pStyle w:val="NoSpacing"/>
        <w:numPr>
          <w:ilvl w:val="0"/>
          <w:numId w:val="1"/>
        </w:numPr>
        <w:rPr>
          <w:u w:val="single"/>
        </w:rPr>
      </w:pPr>
      <w:r>
        <w:t xml:space="preserve">Antitrust Admonition was read by Sheri </w:t>
      </w:r>
    </w:p>
    <w:p w:rsidR="00326666" w:rsidRPr="00643E89" w:rsidRDefault="002F5B65" w:rsidP="00245452">
      <w:pPr>
        <w:pStyle w:val="NoSpacing"/>
        <w:numPr>
          <w:ilvl w:val="0"/>
          <w:numId w:val="1"/>
        </w:numPr>
        <w:rPr>
          <w:u w:val="single"/>
        </w:rPr>
      </w:pPr>
      <w:r>
        <w:t>M</w:t>
      </w:r>
      <w:r w:rsidR="00326666">
        <w:t xml:space="preserve">inutes </w:t>
      </w:r>
      <w:r w:rsidR="001D16C1">
        <w:t xml:space="preserve">from </w:t>
      </w:r>
      <w:r w:rsidR="009D7657">
        <w:t>10</w:t>
      </w:r>
      <w:r w:rsidR="00766E5D">
        <w:t>/</w:t>
      </w:r>
      <w:r w:rsidR="009D7657">
        <w:t>22</w:t>
      </w:r>
      <w:r>
        <w:t>/</w:t>
      </w:r>
      <w:r w:rsidR="00766E5D">
        <w:t>20</w:t>
      </w:r>
      <w:r w:rsidR="001D16C1">
        <w:t xml:space="preserve"> </w:t>
      </w:r>
      <w:r w:rsidR="00326666">
        <w:t>were approved</w:t>
      </w:r>
      <w:r w:rsidR="009D7657">
        <w:t xml:space="preserve"> as modified – revisions will be posted</w:t>
      </w:r>
    </w:p>
    <w:p w:rsidR="005645B7" w:rsidRDefault="005645B7" w:rsidP="00AE3E48">
      <w:pPr>
        <w:pStyle w:val="NoSpacing"/>
        <w:rPr>
          <w:b/>
          <w:u w:val="single"/>
        </w:rPr>
      </w:pPr>
    </w:p>
    <w:p w:rsidR="003C2B32" w:rsidRDefault="00351211" w:rsidP="005645B7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ERCOT </w:t>
      </w:r>
      <w:r w:rsidR="00CE3D30">
        <w:rPr>
          <w:b/>
          <w:u w:val="single"/>
        </w:rPr>
        <w:t xml:space="preserve">System Instances </w:t>
      </w:r>
      <w:proofErr w:type="gramStart"/>
      <w:r w:rsidR="00CE3D30">
        <w:rPr>
          <w:b/>
          <w:u w:val="single"/>
        </w:rPr>
        <w:t>And</w:t>
      </w:r>
      <w:proofErr w:type="gramEnd"/>
      <w:r w:rsidR="00CE3D30">
        <w:rPr>
          <w:b/>
          <w:u w:val="single"/>
        </w:rPr>
        <w:t xml:space="preserve"> MarkeTrak Monthly Performance Review</w:t>
      </w:r>
    </w:p>
    <w:p w:rsidR="00C33E4E" w:rsidRDefault="009D7657" w:rsidP="00422CD4">
      <w:pPr>
        <w:pStyle w:val="NoSpacing"/>
        <w:numPr>
          <w:ilvl w:val="0"/>
          <w:numId w:val="1"/>
        </w:numPr>
      </w:pPr>
      <w:r>
        <w:t>MT upgrade over the weekend was successful- ERCOT will continue to watch performance</w:t>
      </w:r>
    </w:p>
    <w:p w:rsidR="00C33E4E" w:rsidRDefault="009D7657" w:rsidP="00422CD4">
      <w:pPr>
        <w:pStyle w:val="NoSpacing"/>
        <w:numPr>
          <w:ilvl w:val="0"/>
          <w:numId w:val="1"/>
        </w:numPr>
      </w:pPr>
      <w:r>
        <w:t>October SLAs were all met – MT performance remains solid – no spikes</w:t>
      </w:r>
    </w:p>
    <w:p w:rsidR="00815480" w:rsidRDefault="00815480" w:rsidP="00422CD4">
      <w:pPr>
        <w:pStyle w:val="NoSpacing"/>
        <w:numPr>
          <w:ilvl w:val="0"/>
          <w:numId w:val="1"/>
        </w:numPr>
      </w:pPr>
      <w:r>
        <w:t>Proposed MT SLA</w:t>
      </w:r>
      <w:r w:rsidR="00E761AD">
        <w:t xml:space="preserve">s and release schedule </w:t>
      </w:r>
      <w:proofErr w:type="gramStart"/>
      <w:r w:rsidR="009D7657">
        <w:t xml:space="preserve">still </w:t>
      </w:r>
      <w:r w:rsidR="00E761AD">
        <w:t>remains</w:t>
      </w:r>
      <w:proofErr w:type="gramEnd"/>
      <w:r w:rsidR="00E761AD">
        <w:t xml:space="preserve"> tentative.  It was suggested this be reviewed at </w:t>
      </w:r>
      <w:r w:rsidR="009D7657">
        <w:t>t</w:t>
      </w:r>
      <w:r w:rsidR="00E761AD">
        <w:t xml:space="preserve">he December RMS when dates may be </w:t>
      </w:r>
      <w:proofErr w:type="gramStart"/>
      <w:r w:rsidR="00E761AD">
        <w:t>more firm</w:t>
      </w:r>
      <w:proofErr w:type="gramEnd"/>
      <w:r w:rsidR="00E761AD">
        <w:t>.</w:t>
      </w:r>
    </w:p>
    <w:p w:rsidR="00815480" w:rsidRDefault="00815480" w:rsidP="00815480">
      <w:pPr>
        <w:pStyle w:val="NoSpacing"/>
        <w:numPr>
          <w:ilvl w:val="1"/>
          <w:numId w:val="1"/>
        </w:numPr>
      </w:pPr>
      <w:r>
        <w:t>Issue Tracking Page – ‘</w:t>
      </w:r>
      <w:r w:rsidR="00EE0F52">
        <w:t>IT Application Service Report’</w:t>
      </w:r>
      <w:r>
        <w:t xml:space="preserve"> – </w:t>
      </w:r>
      <w:r w:rsidR="00E761AD">
        <w:t>this has not been produced since 2016</w:t>
      </w:r>
      <w:r w:rsidR="009D7657">
        <w:t xml:space="preserve"> – the report will resume commencing Jan 1</w:t>
      </w:r>
      <w:r w:rsidR="00EE0F52">
        <w:t>- combining all outages</w:t>
      </w:r>
    </w:p>
    <w:p w:rsidR="009D7657" w:rsidRDefault="00E761AD" w:rsidP="00946289">
      <w:pPr>
        <w:pStyle w:val="NoSpacing"/>
        <w:numPr>
          <w:ilvl w:val="1"/>
          <w:numId w:val="1"/>
        </w:numPr>
      </w:pPr>
      <w:r>
        <w:t>Mick presented proposed report structure</w:t>
      </w:r>
      <w:r w:rsidR="009D7657">
        <w:t xml:space="preserve"> adding in start and stop times</w:t>
      </w:r>
      <w:r>
        <w:t xml:space="preserve">. </w:t>
      </w:r>
      <w:r w:rsidR="009D7657">
        <w:t xml:space="preserve"> </w:t>
      </w:r>
      <w:r>
        <w:t xml:space="preserve">All outages </w:t>
      </w:r>
      <w:r w:rsidR="009D7657">
        <w:t>are to</w:t>
      </w:r>
      <w:r>
        <w:t xml:space="preserve"> be listed on one consolidated report.  </w:t>
      </w:r>
    </w:p>
    <w:p w:rsidR="00E761AD" w:rsidRDefault="00E761AD" w:rsidP="00946289">
      <w:pPr>
        <w:pStyle w:val="NoSpacing"/>
        <w:numPr>
          <w:ilvl w:val="1"/>
          <w:numId w:val="1"/>
        </w:numPr>
      </w:pPr>
      <w:r>
        <w:t>Two SLAs will exist – one for MT and one for Market IT Services</w:t>
      </w:r>
    </w:p>
    <w:p w:rsidR="002F5B65" w:rsidRPr="002F5B65" w:rsidRDefault="002F5B65" w:rsidP="002F5B65">
      <w:pPr>
        <w:pStyle w:val="NoSpacing"/>
        <w:ind w:left="720"/>
        <w:rPr>
          <w:b/>
          <w:u w:val="single"/>
        </w:rPr>
      </w:pPr>
    </w:p>
    <w:p w:rsidR="00EB2B86" w:rsidRDefault="00EB2B86" w:rsidP="002F5B65">
      <w:pPr>
        <w:pStyle w:val="NoSpacing"/>
        <w:rPr>
          <w:b/>
          <w:u w:val="single"/>
        </w:rPr>
      </w:pPr>
      <w:r w:rsidRPr="00EB2B86">
        <w:rPr>
          <w:b/>
          <w:u w:val="single"/>
        </w:rPr>
        <w:t>Transport Layer Security (TLS) Discussion/Timeline</w:t>
      </w:r>
      <w:r w:rsidR="00402D16">
        <w:rPr>
          <w:b/>
          <w:u w:val="single"/>
        </w:rPr>
        <w:t>/ERCOT NAESB Upgrade</w:t>
      </w:r>
    </w:p>
    <w:p w:rsidR="00EE0F52" w:rsidRDefault="00EE0F52" w:rsidP="00EE0F52">
      <w:pPr>
        <w:pStyle w:val="NoSpacing"/>
        <w:numPr>
          <w:ilvl w:val="0"/>
          <w:numId w:val="1"/>
        </w:numPr>
      </w:pPr>
      <w:r>
        <w:t xml:space="preserve">Retail release of TLS 1.2 went relatively smooth – did encounter a couple issues </w:t>
      </w:r>
    </w:p>
    <w:p w:rsidR="00EE0F52" w:rsidRDefault="00EE0F52" w:rsidP="00EE0F52">
      <w:pPr>
        <w:pStyle w:val="NoSpacing"/>
        <w:numPr>
          <w:ilvl w:val="0"/>
          <w:numId w:val="1"/>
        </w:numPr>
      </w:pPr>
      <w:r>
        <w:t>Early next year, ERCOT will be deprecating 1.0 TLS</w:t>
      </w:r>
    </w:p>
    <w:p w:rsidR="00EE0F52" w:rsidRDefault="00EE0F52" w:rsidP="00EE0F52">
      <w:pPr>
        <w:pStyle w:val="NoSpacing"/>
      </w:pPr>
    </w:p>
    <w:p w:rsidR="00EE0F52" w:rsidRDefault="00EE0F52" w:rsidP="00EE0F52">
      <w:pPr>
        <w:pStyle w:val="NoSpacing"/>
        <w:rPr>
          <w:b/>
          <w:u w:val="single"/>
        </w:rPr>
      </w:pPr>
      <w:r w:rsidRPr="00EE0F52">
        <w:rPr>
          <w:b/>
          <w:u w:val="single"/>
        </w:rPr>
        <w:t>MT Enhancements – review of SCR items</w:t>
      </w:r>
    </w:p>
    <w:p w:rsidR="00EE0F52" w:rsidRPr="00EE0F52" w:rsidRDefault="00EE0F52" w:rsidP="00EE0F52">
      <w:pPr>
        <w:pStyle w:val="NoSpacing"/>
        <w:numPr>
          <w:ilvl w:val="0"/>
          <w:numId w:val="8"/>
        </w:numPr>
        <w:rPr>
          <w:b/>
          <w:u w:val="single"/>
        </w:rPr>
      </w:pPr>
      <w:r>
        <w:t>Reviewed Rolodex suggested entries from earlier</w:t>
      </w:r>
    </w:p>
    <w:p w:rsidR="00EE0F52" w:rsidRPr="00EE0F52" w:rsidRDefault="00EE0F52" w:rsidP="00EE0F52">
      <w:pPr>
        <w:pStyle w:val="NoSpacing"/>
        <w:numPr>
          <w:ilvl w:val="1"/>
          <w:numId w:val="8"/>
        </w:numPr>
        <w:rPr>
          <w:b/>
          <w:u w:val="single"/>
        </w:rPr>
      </w:pPr>
      <w:r>
        <w:t>ACTION:  Sheri to confer with Dave Michelson to see if developer might have different options on structure – currently each category has 4 contacts – Primary/Secondary and Escalation Primary/Escalation Secondary</w:t>
      </w:r>
    </w:p>
    <w:p w:rsidR="00EE0F52" w:rsidRPr="00EE0F52" w:rsidRDefault="00EE0F52" w:rsidP="00EE0F52">
      <w:pPr>
        <w:pStyle w:val="NoSpacing"/>
        <w:numPr>
          <w:ilvl w:val="1"/>
          <w:numId w:val="8"/>
        </w:numPr>
        <w:rPr>
          <w:b/>
          <w:u w:val="single"/>
        </w:rPr>
      </w:pPr>
      <w:r>
        <w:t>Need to add Switch Hold to the list</w:t>
      </w:r>
    </w:p>
    <w:p w:rsidR="00EE0F52" w:rsidRPr="00EE0F52" w:rsidRDefault="00EE0F52" w:rsidP="00EE0F52">
      <w:pPr>
        <w:pStyle w:val="NoSpacing"/>
        <w:numPr>
          <w:ilvl w:val="0"/>
          <w:numId w:val="8"/>
        </w:numPr>
        <w:rPr>
          <w:b/>
          <w:u w:val="single"/>
        </w:rPr>
      </w:pPr>
      <w:r>
        <w:t xml:space="preserve">Still working on </w:t>
      </w:r>
      <w:proofErr w:type="spellStart"/>
      <w:r>
        <w:t>Unexecutable</w:t>
      </w:r>
      <w:proofErr w:type="spellEnd"/>
      <w:r>
        <w:t xml:space="preserve"> reasons listing</w:t>
      </w:r>
    </w:p>
    <w:p w:rsidR="00EE0F52" w:rsidRPr="0096742E" w:rsidRDefault="00EE0F52" w:rsidP="00EE0F52">
      <w:pPr>
        <w:pStyle w:val="NoSpacing"/>
        <w:numPr>
          <w:ilvl w:val="0"/>
          <w:numId w:val="8"/>
        </w:numPr>
        <w:rPr>
          <w:b/>
          <w:u w:val="single"/>
        </w:rPr>
      </w:pPr>
      <w:r>
        <w:t xml:space="preserve">Review of lower volume MT Subtype data – ACTION:  Sheri to follow up with Dave Michelson to see if these unused MTs may be archived </w:t>
      </w:r>
    </w:p>
    <w:p w:rsidR="0096742E" w:rsidRPr="0096742E" w:rsidRDefault="0096742E" w:rsidP="00EE0F52">
      <w:pPr>
        <w:pStyle w:val="NoSpacing"/>
        <w:numPr>
          <w:ilvl w:val="0"/>
          <w:numId w:val="8"/>
        </w:numPr>
        <w:rPr>
          <w:b/>
          <w:u w:val="single"/>
        </w:rPr>
      </w:pPr>
      <w:r>
        <w:t>From list need to confirm with Dave Michelson</w:t>
      </w:r>
    </w:p>
    <w:p w:rsidR="0096742E" w:rsidRPr="00766AED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#13 – possibly 7 days</w:t>
      </w:r>
      <w:r w:rsidR="00766AED">
        <w:t xml:space="preserve"> escalation email sent if MT is not transitioned</w:t>
      </w:r>
    </w:p>
    <w:p w:rsidR="00766AED" w:rsidRPr="0096742E" w:rsidRDefault="00766AED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#</w:t>
      </w:r>
      <w:proofErr w:type="gramStart"/>
      <w:r>
        <w:t>14  -</w:t>
      </w:r>
      <w:proofErr w:type="gramEnd"/>
      <w:r>
        <w:t xml:space="preserve"> following the 2 and 2 guideline for rescission handling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#</w:t>
      </w:r>
      <w:r w:rsidR="005D1F24">
        <w:t>22</w:t>
      </w:r>
      <w:r>
        <w:t xml:space="preserve"> – affirm </w:t>
      </w:r>
      <w:bookmarkStart w:id="0" w:name="_GoBack"/>
      <w:bookmarkEnd w:id="0"/>
      <w:r>
        <w:t>and aligns with CNP date/time stamp issues</w:t>
      </w:r>
      <w:r w:rsidR="00766AED">
        <w:t xml:space="preserve"> – defaults time stamp to 00:00:00</w:t>
      </w:r>
    </w:p>
    <w:p w:rsidR="0096742E" w:rsidRPr="0096742E" w:rsidRDefault="0096742E" w:rsidP="0096742E">
      <w:pPr>
        <w:pStyle w:val="NoSpacing"/>
        <w:numPr>
          <w:ilvl w:val="0"/>
          <w:numId w:val="8"/>
        </w:numPr>
        <w:rPr>
          <w:b/>
          <w:u w:val="single"/>
        </w:rPr>
      </w:pPr>
      <w:r>
        <w:t>TIMELINE for SCR: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One SCR for all items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Will utilize Serena resources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Need to submit soon as would occur before TXSET alignment and MT validations piece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lastRenderedPageBreak/>
        <w:t>Schedule for SCR may not require as many resources, yet may not have the funding until 2022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 xml:space="preserve">Suggested to submit in Q1 2021 into the ‘hopper’ for IT rank and prioritization 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Success of approval of SCR will be in presentation of requirements noting MT system has been operating for 10 years on the same program and ready for an upgrade</w:t>
      </w:r>
    </w:p>
    <w:p w:rsidR="0096742E" w:rsidRPr="0096742E" w:rsidRDefault="0096742E" w:rsidP="0096742E">
      <w:pPr>
        <w:pStyle w:val="NoSpacing"/>
        <w:numPr>
          <w:ilvl w:val="1"/>
          <w:numId w:val="8"/>
        </w:numPr>
        <w:rPr>
          <w:b/>
          <w:u w:val="single"/>
        </w:rPr>
      </w:pPr>
      <w:r>
        <w:t>WG will continue development of SCR at the next few meetings</w:t>
      </w:r>
    </w:p>
    <w:p w:rsidR="00F83FF7" w:rsidRDefault="00F83FF7" w:rsidP="00F83FF7">
      <w:pPr>
        <w:pStyle w:val="NoSpacing"/>
      </w:pPr>
    </w:p>
    <w:p w:rsidR="00F83FF7" w:rsidRDefault="00F83FF7" w:rsidP="00F83FF7">
      <w:pPr>
        <w:pStyle w:val="NoSpacing"/>
        <w:rPr>
          <w:b/>
          <w:u w:val="single"/>
        </w:rPr>
      </w:pPr>
      <w:r w:rsidRPr="00F83FF7">
        <w:rPr>
          <w:b/>
          <w:u w:val="single"/>
        </w:rPr>
        <w:t>IAG Proposal/Solution – Review of Timeline Data</w:t>
      </w:r>
    </w:p>
    <w:p w:rsidR="00B303A3" w:rsidRDefault="00F83FF7" w:rsidP="00F83FF7">
      <w:pPr>
        <w:pStyle w:val="NoSpacing"/>
      </w:pPr>
      <w:r>
        <w:t>Sam provided leadership in guiding the WG through the various data points on the timeline for the processing of an IAG</w:t>
      </w:r>
      <w:r w:rsidR="00B303A3">
        <w:t xml:space="preserve"> representing </w:t>
      </w:r>
      <w:r w:rsidR="0096742E">
        <w:t xml:space="preserve">July 2019 to July 2020 data.  Interestingly, not many of the percentages varied drastically from January data review.  </w:t>
      </w:r>
      <w:r>
        <w:t xml:space="preserve">  </w:t>
      </w:r>
    </w:p>
    <w:p w:rsidR="00B303A3" w:rsidRDefault="00B303A3" w:rsidP="00F83FF7">
      <w:pPr>
        <w:pStyle w:val="NoSpacing"/>
      </w:pPr>
    </w:p>
    <w:p w:rsidR="00733038" w:rsidRDefault="00733038" w:rsidP="00F83FF7">
      <w:pPr>
        <w:pStyle w:val="NoSpacing"/>
      </w:pPr>
      <w:r>
        <w:t xml:space="preserve">Below is </w:t>
      </w:r>
      <w:r w:rsidR="0096742E">
        <w:t xml:space="preserve">a </w:t>
      </w:r>
      <w:r>
        <w:t>summary of the findings</w:t>
      </w:r>
      <w:r w:rsidR="0096742E">
        <w:t xml:space="preserve"> along with comments which will be presented at RMS in December:</w:t>
      </w:r>
    </w:p>
    <w:tbl>
      <w:tblPr>
        <w:tblW w:w="14782" w:type="dxa"/>
        <w:tblInd w:w="-5" w:type="dxa"/>
        <w:tblLook w:val="04A0" w:firstRow="1" w:lastRow="0" w:firstColumn="1" w:lastColumn="0" w:noHBand="0" w:noVBand="1"/>
      </w:tblPr>
      <w:tblGrid>
        <w:gridCol w:w="1320"/>
        <w:gridCol w:w="907"/>
        <w:gridCol w:w="50"/>
        <w:gridCol w:w="499"/>
        <w:gridCol w:w="25"/>
        <w:gridCol w:w="1279"/>
        <w:gridCol w:w="77"/>
        <w:gridCol w:w="883"/>
        <w:gridCol w:w="77"/>
        <w:gridCol w:w="449"/>
        <w:gridCol w:w="77"/>
        <w:gridCol w:w="82"/>
        <w:gridCol w:w="1275"/>
        <w:gridCol w:w="77"/>
        <w:gridCol w:w="28"/>
        <w:gridCol w:w="7595"/>
        <w:gridCol w:w="82"/>
      </w:tblGrid>
      <w:tr w:rsidR="00B749BF" w:rsidRPr="00B749BF" w:rsidTr="00B749BF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→ 1</w:t>
            </w:r>
          </w:p>
        </w:tc>
        <w:tc>
          <w:tcPr>
            <w:tcW w:w="134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original transaction to submittal of MT</w:t>
            </w:r>
          </w:p>
        </w:tc>
      </w:tr>
      <w:tr w:rsidR="00B749BF" w:rsidRPr="00B749BF" w:rsidTr="00B749BF">
        <w:trPr>
          <w:gridAfter w:val="2"/>
          <w:wAfter w:w="7677" w:type="dxa"/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IAGs</w:t>
            </w:r>
          </w:p>
        </w:tc>
        <w:tc>
          <w:tcPr>
            <w:tcW w:w="29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IALs</w:t>
            </w:r>
          </w:p>
        </w:tc>
      </w:tr>
      <w:tr w:rsidR="00B749BF" w:rsidRPr="00B749BF" w:rsidTr="00B749BF">
        <w:trPr>
          <w:gridAfter w:val="2"/>
          <w:wAfter w:w="7677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</w:tr>
      <w:tr w:rsidR="00B749BF" w:rsidRPr="00B749BF" w:rsidTr="00B749BF">
        <w:trPr>
          <w:gridAfter w:val="2"/>
          <w:wAfter w:w="7677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0 - 1 day</w:t>
            </w:r>
          </w:p>
        </w:tc>
        <w:tc>
          <w:tcPr>
            <w:tcW w:w="1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  <w:tr w:rsidR="00B749BF" w:rsidRPr="00B749BF" w:rsidTr="00B749BF">
        <w:trPr>
          <w:gridAfter w:val="2"/>
          <w:wAfter w:w="7677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0 - 7 days</w:t>
            </w:r>
          </w:p>
        </w:tc>
        <w:tc>
          <w:tcPr>
            <w:tcW w:w="1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51%</w:t>
            </w:r>
          </w:p>
        </w:tc>
      </w:tr>
      <w:tr w:rsidR="00B749BF" w:rsidRPr="00B749BF" w:rsidTr="00B749BF">
        <w:trPr>
          <w:gridAfter w:val="2"/>
          <w:wAfter w:w="7677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over 30 days</w:t>
            </w:r>
          </w:p>
        </w:tc>
        <w:tc>
          <w:tcPr>
            <w:tcW w:w="1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</w:tr>
      <w:tr w:rsidR="00B749BF" w:rsidRPr="00B749BF" w:rsidTr="00B749BF">
        <w:trPr>
          <w:gridAfter w:val="2"/>
          <w:wAfter w:w="7677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Wt. Average</w:t>
            </w:r>
          </w:p>
        </w:tc>
        <w:tc>
          <w:tcPr>
            <w:tcW w:w="1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18 days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16.7 days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15 days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14.7 days</w:t>
            </w:r>
          </w:p>
        </w:tc>
      </w:tr>
      <w:tr w:rsidR="00B749BF" w:rsidRPr="00B749BF" w:rsidTr="00B749BF">
        <w:trPr>
          <w:gridAfter w:val="2"/>
          <w:wAfter w:w="7677" w:type="dxa"/>
          <w:trHeight w:val="5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1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 days is sweet spot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~ 80 days - onesie/</w:t>
            </w:r>
            <w:proofErr w:type="spellStart"/>
            <w:r w:rsidRPr="00B749BF">
              <w:rPr>
                <w:rFonts w:ascii="Calibri" w:eastAsia="Times New Roman" w:hAnsi="Calibri" w:cs="Calibri"/>
                <w:color w:val="000000"/>
              </w:rPr>
              <w:t>twosies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49BF" w:rsidRPr="00B749BF" w:rsidTr="00B749BF">
        <w:trPr>
          <w:gridAfter w:val="2"/>
          <w:wAfter w:w="7677" w:type="dxa"/>
          <w:trHeight w:val="8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1607 reviewed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 xml:space="preserve">21,000 reviewed 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removed blanks &amp; negatives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23,000 reviewed</w:t>
            </w:r>
          </w:p>
        </w:tc>
      </w:tr>
      <w:tr w:rsidR="00B749BF" w:rsidRPr="00B749BF" w:rsidTr="00B749BF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→ 3</w:t>
            </w:r>
          </w:p>
        </w:tc>
        <w:tc>
          <w:tcPr>
            <w:tcW w:w="134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 long to begin working</w:t>
            </w:r>
          </w:p>
        </w:tc>
      </w:tr>
      <w:tr w:rsidR="00B749BF" w:rsidRPr="00B749BF" w:rsidTr="00B749BF">
        <w:trPr>
          <w:gridAfter w:val="3"/>
          <w:wAfter w:w="7705" w:type="dxa"/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IAGs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IALs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same day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45%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within 3 days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0-7 days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B749BF" w:rsidRPr="00B749BF" w:rsidTr="00B749BF">
        <w:trPr>
          <w:gridAfter w:val="3"/>
          <w:wAfter w:w="7705" w:type="dxa"/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49BF" w:rsidRPr="00B749BF" w:rsidTr="00B749BF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→ 4</w:t>
            </w:r>
          </w:p>
        </w:tc>
        <w:tc>
          <w:tcPr>
            <w:tcW w:w="134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 long to agree once touched</w:t>
            </w:r>
          </w:p>
        </w:tc>
      </w:tr>
      <w:tr w:rsidR="00B749BF" w:rsidRPr="00B749BF" w:rsidTr="00B749BF">
        <w:trPr>
          <w:gridAfter w:val="3"/>
          <w:wAfter w:w="7705" w:type="dxa"/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IAGs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IALs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same day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0 - 7 days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</w:tr>
      <w:tr w:rsidR="00B749BF" w:rsidRPr="00B749BF" w:rsidTr="00B749BF">
        <w:trPr>
          <w:gridAfter w:val="3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&gt; 15 days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onesie/</w:t>
            </w:r>
            <w:proofErr w:type="spellStart"/>
            <w:r w:rsidRPr="00B749BF">
              <w:rPr>
                <w:rFonts w:ascii="Calibri" w:eastAsia="Times New Roman" w:hAnsi="Calibri" w:cs="Calibri"/>
                <w:color w:val="000000"/>
              </w:rPr>
              <w:t>twosie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onesie/</w:t>
            </w:r>
            <w:proofErr w:type="spellStart"/>
            <w:r w:rsidRPr="00B749BF">
              <w:rPr>
                <w:rFonts w:ascii="Calibri" w:eastAsia="Times New Roman" w:hAnsi="Calibri" w:cs="Calibri"/>
                <w:color w:val="000000"/>
              </w:rPr>
              <w:t>twosie</w:t>
            </w:r>
            <w:proofErr w:type="spellEnd"/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49BF" w:rsidRPr="00B749BF" w:rsidTr="00B749BF">
        <w:trPr>
          <w:gridAfter w:val="3"/>
          <w:wAfter w:w="7705" w:type="dxa"/>
          <w:trHeight w:val="8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49BF" w:rsidRPr="00B749BF" w:rsidTr="00B749BF">
        <w:trPr>
          <w:gridAfter w:val="1"/>
          <w:wAfter w:w="82" w:type="dxa"/>
          <w:trHeight w:val="36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→ 4</w:t>
            </w:r>
          </w:p>
        </w:tc>
        <w:tc>
          <w:tcPr>
            <w:tcW w:w="13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agreement between CRs</w:t>
            </w:r>
          </w:p>
        </w:tc>
      </w:tr>
      <w:tr w:rsidR="00B749BF" w:rsidRPr="00B749BF" w:rsidTr="00B749BF">
        <w:trPr>
          <w:gridAfter w:val="4"/>
          <w:wAfter w:w="7782" w:type="dxa"/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IAGs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IALs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same day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0 - 7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&gt; 15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onesie/</w:t>
            </w:r>
            <w:proofErr w:type="spellStart"/>
            <w:r w:rsidRPr="00B749BF">
              <w:rPr>
                <w:rFonts w:ascii="Calibri" w:eastAsia="Times New Roman" w:hAnsi="Calibri" w:cs="Calibri"/>
                <w:color w:val="000000"/>
              </w:rPr>
              <w:t>twosie</w:t>
            </w:r>
            <w:proofErr w:type="spellEnd"/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B749BF" w:rsidRPr="00B749BF" w:rsidTr="00B749BF">
        <w:trPr>
          <w:gridAfter w:val="4"/>
          <w:wAfter w:w="7782" w:type="dxa"/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49BF" w:rsidRPr="00B749BF" w:rsidTr="00B749BF">
        <w:trPr>
          <w:gridAfter w:val="1"/>
          <w:wAfter w:w="82" w:type="dxa"/>
          <w:trHeight w:val="36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→ 6</w:t>
            </w:r>
          </w:p>
        </w:tc>
        <w:tc>
          <w:tcPr>
            <w:tcW w:w="13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Losing CR to send BDMVI</w:t>
            </w:r>
          </w:p>
        </w:tc>
      </w:tr>
      <w:tr w:rsidR="00B749BF" w:rsidRPr="00B749BF" w:rsidTr="00B749BF">
        <w:trPr>
          <w:gridAfter w:val="4"/>
          <w:wAfter w:w="7782" w:type="dxa"/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IAGs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IALs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same day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0 - 7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8 - 21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</w:tr>
      <w:tr w:rsidR="00B749BF" w:rsidRPr="00B749BF" w:rsidTr="00B749BF">
        <w:trPr>
          <w:gridAfter w:val="4"/>
          <w:wAfter w:w="7782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after 7 days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</w:tr>
      <w:tr w:rsidR="00B749BF" w:rsidRPr="00B749BF" w:rsidTr="00B749BF">
        <w:trPr>
          <w:gridAfter w:val="4"/>
          <w:wAfter w:w="7782" w:type="dxa"/>
          <w:trHeight w:val="17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5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What % of REPs are sending BDMVIs during these times?</w:t>
            </w:r>
          </w:p>
        </w:tc>
      </w:tr>
      <w:tr w:rsidR="00B749BF" w:rsidRPr="00B749BF" w:rsidTr="00B749BF">
        <w:trPr>
          <w:gridAfter w:val="4"/>
          <w:wAfter w:w="7782" w:type="dxa"/>
          <w:trHeight w:val="18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The key metric supporting the PUSH vs PULL option</w:t>
            </w:r>
          </w:p>
        </w:tc>
      </w:tr>
    </w:tbl>
    <w:p w:rsidR="00733038" w:rsidRPr="00F83FF7" w:rsidRDefault="00733038" w:rsidP="00F83FF7">
      <w:pPr>
        <w:pStyle w:val="NoSpacing"/>
      </w:pPr>
    </w:p>
    <w:p w:rsidR="00F14D1F" w:rsidRDefault="00F14D1F" w:rsidP="00F14D1F">
      <w:pPr>
        <w:pStyle w:val="NoSpacing"/>
        <w:ind w:left="720"/>
      </w:pPr>
    </w:p>
    <w:tbl>
      <w:tblPr>
        <w:tblW w:w="14705" w:type="dxa"/>
        <w:tblInd w:w="-5" w:type="dxa"/>
        <w:tblLook w:val="04A0" w:firstRow="1" w:lastRow="0" w:firstColumn="1" w:lastColumn="0" w:noHBand="0" w:noVBand="1"/>
      </w:tblPr>
      <w:tblGrid>
        <w:gridCol w:w="1320"/>
        <w:gridCol w:w="1380"/>
        <w:gridCol w:w="1380"/>
        <w:gridCol w:w="960"/>
        <w:gridCol w:w="1960"/>
        <w:gridCol w:w="7705"/>
      </w:tblGrid>
      <w:tr w:rsidR="00B749BF" w:rsidRPr="00B749BF" w:rsidTr="00B749BF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→ 6</w:t>
            </w:r>
          </w:p>
        </w:tc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Ready to Receive to submittal of BDMVI</w:t>
            </w:r>
          </w:p>
        </w:tc>
      </w:tr>
      <w:tr w:rsidR="00B749BF" w:rsidRPr="00B749BF" w:rsidTr="00B749BF">
        <w:trPr>
          <w:gridAfter w:val="1"/>
          <w:wAfter w:w="7705" w:type="dxa"/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IAGs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IALs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same day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 xml:space="preserve">same values as 4 </w:t>
            </w:r>
            <w:proofErr w:type="gramStart"/>
            <w:r w:rsidRPr="00B749BF">
              <w:rPr>
                <w:rFonts w:ascii="Calibri" w:eastAsia="Times New Roman" w:hAnsi="Calibri" w:cs="Calibri"/>
                <w:color w:val="000000"/>
              </w:rPr>
              <w:t>to  6</w:t>
            </w:r>
            <w:proofErr w:type="gramEnd"/>
            <w:r w:rsidRPr="00B749BF">
              <w:rPr>
                <w:rFonts w:ascii="Calibri" w:eastAsia="Times New Roman" w:hAnsi="Calibri" w:cs="Calibri"/>
                <w:color w:val="000000"/>
              </w:rPr>
              <w:t xml:space="preserve"> since using 'ready to receive' date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 xml:space="preserve">same values as 4 </w:t>
            </w:r>
            <w:proofErr w:type="gramStart"/>
            <w:r w:rsidRPr="00B749BF">
              <w:rPr>
                <w:rFonts w:ascii="Calibri" w:eastAsia="Times New Roman" w:hAnsi="Calibri" w:cs="Calibri"/>
                <w:color w:val="000000"/>
              </w:rPr>
              <w:t>to  6</w:t>
            </w:r>
            <w:proofErr w:type="gramEnd"/>
            <w:r w:rsidRPr="00B749BF">
              <w:rPr>
                <w:rFonts w:ascii="Calibri" w:eastAsia="Times New Roman" w:hAnsi="Calibri" w:cs="Calibri"/>
                <w:color w:val="000000"/>
              </w:rPr>
              <w:t xml:space="preserve"> since using 'ready to receive' 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0 - 7 days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8 - 21 days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after 7 days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B749BF" w:rsidRPr="00B749BF" w:rsidTr="00B749BF">
        <w:trPr>
          <w:gridAfter w:val="1"/>
          <w:wAfter w:w="7705" w:type="dxa"/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REPs may not be transitioning MT</w:t>
            </w:r>
          </w:p>
        </w:tc>
      </w:tr>
    </w:tbl>
    <w:p w:rsidR="00C41BC0" w:rsidRDefault="00C41BC0" w:rsidP="00FE2C19">
      <w:pPr>
        <w:pStyle w:val="NoSpacing"/>
      </w:pPr>
    </w:p>
    <w:tbl>
      <w:tblPr>
        <w:tblW w:w="14705" w:type="dxa"/>
        <w:tblInd w:w="-5" w:type="dxa"/>
        <w:tblLook w:val="04A0" w:firstRow="1" w:lastRow="0" w:firstColumn="1" w:lastColumn="0" w:noHBand="0" w:noVBand="1"/>
      </w:tblPr>
      <w:tblGrid>
        <w:gridCol w:w="1320"/>
        <w:gridCol w:w="907"/>
        <w:gridCol w:w="1853"/>
        <w:gridCol w:w="960"/>
        <w:gridCol w:w="1960"/>
        <w:gridCol w:w="7705"/>
      </w:tblGrid>
      <w:tr w:rsidR="00B749BF" w:rsidRPr="00B749BF" w:rsidTr="00B749BF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→ 8</w:t>
            </w:r>
          </w:p>
        </w:tc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749B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 resolution time</w:t>
            </w:r>
          </w:p>
        </w:tc>
      </w:tr>
      <w:tr w:rsidR="00B749BF" w:rsidRPr="00B749BF" w:rsidTr="00B749BF">
        <w:trPr>
          <w:gridAfter w:val="1"/>
          <w:wAfter w:w="7705" w:type="dxa"/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IAGs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IALs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Jan-20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Jul-19 - Jul-20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within 7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lastRenderedPageBreak/>
              <w:t>8 - 21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after 7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B749BF" w:rsidRPr="00B749BF" w:rsidTr="00B749BF">
        <w:trPr>
          <w:gridAfter w:val="1"/>
          <w:wAfter w:w="7705" w:type="dxa"/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0 - 21 days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B749BF" w:rsidRPr="00B749BF" w:rsidTr="00B749BF">
        <w:trPr>
          <w:gridAfter w:val="1"/>
          <w:wAfter w:w="7705" w:type="dxa"/>
          <w:trHeight w:val="11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49BF">
              <w:rPr>
                <w:rFonts w:ascii="Calibri" w:eastAsia="Times New Roman" w:hAnsi="Calibri" w:cs="Calibri"/>
                <w:color w:val="000000"/>
              </w:rPr>
              <w:t>What % of REPs are over 21 days?</w:t>
            </w:r>
          </w:p>
        </w:tc>
      </w:tr>
    </w:tbl>
    <w:p w:rsidR="00C41BC0" w:rsidRDefault="00B22277" w:rsidP="00FE2C19">
      <w:pPr>
        <w:pStyle w:val="NoSpacing"/>
      </w:pPr>
      <w:r>
        <w:t xml:space="preserve">For full notes see attached matrix. </w:t>
      </w:r>
    </w:p>
    <w:p w:rsidR="00B22277" w:rsidRDefault="00B22277" w:rsidP="00FE2C19">
      <w:pPr>
        <w:pStyle w:val="NoSpacing"/>
      </w:pPr>
      <w:r>
        <w:object w:dxaOrig="1154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37.2pt" o:ole="">
            <v:imagedata r:id="rId6" o:title=""/>
          </v:shape>
          <o:OLEObject Type="Embed" ProgID="Excel.Sheet.12" ShapeID="_x0000_i1025" DrawAspect="Icon" ObjectID="_1668263932" r:id="rId7"/>
        </w:object>
      </w:r>
    </w:p>
    <w:p w:rsidR="00B749BF" w:rsidRDefault="00820B4A" w:rsidP="00FE2C19">
      <w:pPr>
        <w:pStyle w:val="NoSpacing"/>
      </w:pPr>
      <w:r>
        <w:t xml:space="preserve">The REPs may have further discussion around the PUSH vs PULL argument.  Sam has agreed to provide the data in a </w:t>
      </w:r>
      <w:proofErr w:type="gramStart"/>
      <w:r>
        <w:t>user friendly</w:t>
      </w:r>
      <w:proofErr w:type="gramEnd"/>
      <w:r>
        <w:t xml:space="preserve"> format for all REPs to view their own performance and measure against their peers.  The data may also be used in reviewing new SLAs around MT processing.  </w:t>
      </w:r>
    </w:p>
    <w:p w:rsidR="00820B4A" w:rsidRPr="00FE2C19" w:rsidRDefault="00820B4A" w:rsidP="00FE2C19">
      <w:pPr>
        <w:pStyle w:val="NoSpacing"/>
      </w:pPr>
    </w:p>
    <w:p w:rsidR="007660CA" w:rsidRPr="007660CA" w:rsidRDefault="007660CA" w:rsidP="00F145EE">
      <w:pPr>
        <w:pStyle w:val="NoSpacing"/>
        <w:rPr>
          <w:b/>
          <w:u w:val="single"/>
        </w:rPr>
      </w:pPr>
      <w:r w:rsidRPr="007660CA">
        <w:rPr>
          <w:b/>
          <w:u w:val="single"/>
        </w:rPr>
        <w:t xml:space="preserve">AGENDA for </w:t>
      </w:r>
      <w:r w:rsidR="00EE0F52">
        <w:rPr>
          <w:b/>
          <w:u w:val="single"/>
        </w:rPr>
        <w:t>12</w:t>
      </w:r>
      <w:r w:rsidR="00C44212">
        <w:rPr>
          <w:b/>
          <w:u w:val="single"/>
        </w:rPr>
        <w:t>/</w:t>
      </w:r>
      <w:r w:rsidR="00F83FF7">
        <w:rPr>
          <w:b/>
          <w:u w:val="single"/>
        </w:rPr>
        <w:t>16</w:t>
      </w:r>
      <w:r w:rsidRPr="007660CA">
        <w:rPr>
          <w:b/>
          <w:u w:val="single"/>
        </w:rPr>
        <w:t>/20 Meeting</w:t>
      </w:r>
    </w:p>
    <w:p w:rsidR="00257783" w:rsidRPr="00257783" w:rsidRDefault="00257783" w:rsidP="00245452">
      <w:pPr>
        <w:pStyle w:val="NoSpacing"/>
        <w:numPr>
          <w:ilvl w:val="0"/>
          <w:numId w:val="5"/>
        </w:numPr>
        <w:rPr>
          <w:b/>
          <w:u w:val="single"/>
        </w:rPr>
      </w:pPr>
      <w:r>
        <w:t>ERCOT Update</w:t>
      </w:r>
    </w:p>
    <w:p w:rsidR="00257783" w:rsidRPr="00345EA2" w:rsidRDefault="00257783" w:rsidP="00245452">
      <w:pPr>
        <w:pStyle w:val="NoSpacing"/>
        <w:numPr>
          <w:ilvl w:val="1"/>
          <w:numId w:val="5"/>
        </w:numPr>
        <w:rPr>
          <w:b/>
          <w:u w:val="single"/>
        </w:rPr>
      </w:pPr>
      <w:r>
        <w:t>System Instances and MarkeTrak Monthly Performance Review</w:t>
      </w:r>
    </w:p>
    <w:p w:rsidR="00453CB9" w:rsidRPr="00345EA2" w:rsidRDefault="00345EA2" w:rsidP="00123FEE">
      <w:pPr>
        <w:pStyle w:val="NoSpacing"/>
        <w:numPr>
          <w:ilvl w:val="0"/>
          <w:numId w:val="5"/>
        </w:numPr>
        <w:rPr>
          <w:b/>
          <w:u w:val="single"/>
        </w:rPr>
      </w:pPr>
      <w:r>
        <w:t>Accomplishments of 2020/ Goals for 2021</w:t>
      </w:r>
    </w:p>
    <w:p w:rsidR="00257783" w:rsidRPr="00257783" w:rsidRDefault="00257783" w:rsidP="00245452">
      <w:pPr>
        <w:pStyle w:val="NoSpacing"/>
        <w:numPr>
          <w:ilvl w:val="0"/>
          <w:numId w:val="5"/>
        </w:numPr>
        <w:rPr>
          <w:b/>
          <w:u w:val="single"/>
        </w:rPr>
      </w:pPr>
      <w:r>
        <w:t xml:space="preserve">MT Enhancements- </w:t>
      </w:r>
      <w:r w:rsidR="00345EA2">
        <w:t>follow up on SCR items</w:t>
      </w:r>
    </w:p>
    <w:p w:rsidR="00257783" w:rsidRPr="00345EA2" w:rsidRDefault="00257783" w:rsidP="00245452">
      <w:pPr>
        <w:pStyle w:val="NoSpacing"/>
        <w:numPr>
          <w:ilvl w:val="1"/>
          <w:numId w:val="5"/>
        </w:numPr>
        <w:rPr>
          <w:b/>
          <w:u w:val="single"/>
        </w:rPr>
      </w:pPr>
      <w:r>
        <w:t>Rolodex entries</w:t>
      </w:r>
    </w:p>
    <w:p w:rsidR="00345EA2" w:rsidRPr="00257783" w:rsidRDefault="00345EA2" w:rsidP="00245452">
      <w:pPr>
        <w:pStyle w:val="NoSpacing"/>
        <w:numPr>
          <w:ilvl w:val="1"/>
          <w:numId w:val="5"/>
        </w:numPr>
        <w:rPr>
          <w:b/>
          <w:u w:val="single"/>
        </w:rPr>
      </w:pPr>
      <w:r>
        <w:t>Archiving of unused subtypes</w:t>
      </w:r>
    </w:p>
    <w:p w:rsidR="00257783" w:rsidRPr="00257783" w:rsidRDefault="00257783" w:rsidP="00245452">
      <w:pPr>
        <w:pStyle w:val="NoSpacing"/>
        <w:numPr>
          <w:ilvl w:val="1"/>
          <w:numId w:val="5"/>
        </w:numPr>
        <w:rPr>
          <w:b/>
          <w:u w:val="single"/>
        </w:rPr>
      </w:pPr>
      <w:proofErr w:type="spellStart"/>
      <w:r>
        <w:t>Unexecutable</w:t>
      </w:r>
      <w:proofErr w:type="spellEnd"/>
      <w:r>
        <w:t xml:space="preserve"> reasons</w:t>
      </w:r>
    </w:p>
    <w:p w:rsidR="00517D7C" w:rsidRDefault="00517D7C" w:rsidP="00245452">
      <w:pPr>
        <w:pStyle w:val="NoSpacing"/>
        <w:numPr>
          <w:ilvl w:val="0"/>
          <w:numId w:val="5"/>
        </w:numPr>
      </w:pPr>
      <w:r>
        <w:t xml:space="preserve">Begin development of SCR </w:t>
      </w:r>
      <w:r w:rsidR="00345EA2">
        <w:t>–</w:t>
      </w:r>
      <w:r>
        <w:t xml:space="preserve"> assignments</w:t>
      </w:r>
    </w:p>
    <w:p w:rsidR="00345EA2" w:rsidRDefault="00345EA2" w:rsidP="00245452">
      <w:pPr>
        <w:pStyle w:val="NoSpacing"/>
        <w:numPr>
          <w:ilvl w:val="0"/>
          <w:numId w:val="5"/>
        </w:numPr>
      </w:pPr>
      <w:r>
        <w:t xml:space="preserve">Review of timing of </w:t>
      </w:r>
      <w:proofErr w:type="spellStart"/>
      <w:r>
        <w:t>Unexecutable</w:t>
      </w:r>
      <w:proofErr w:type="spellEnd"/>
      <w:r>
        <w:t xml:space="preserve"> IAG MTs </w:t>
      </w:r>
    </w:p>
    <w:p w:rsidR="00345EA2" w:rsidRPr="00453CB9" w:rsidRDefault="00345EA2" w:rsidP="00345EA2">
      <w:pPr>
        <w:pStyle w:val="NoSpacing"/>
        <w:ind w:left="720"/>
      </w:pPr>
    </w:p>
    <w:sectPr w:rsidR="00345EA2" w:rsidRPr="00453CB9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B2B"/>
    <w:multiLevelType w:val="hybridMultilevel"/>
    <w:tmpl w:val="6460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B07"/>
    <w:multiLevelType w:val="hybridMultilevel"/>
    <w:tmpl w:val="5A42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877"/>
    <w:multiLevelType w:val="hybridMultilevel"/>
    <w:tmpl w:val="4F3E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5E55"/>
    <w:multiLevelType w:val="hybridMultilevel"/>
    <w:tmpl w:val="00A6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0D13"/>
    <w:multiLevelType w:val="hybridMultilevel"/>
    <w:tmpl w:val="7C2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0BBD"/>
    <w:multiLevelType w:val="hybridMultilevel"/>
    <w:tmpl w:val="F5F8DE6E"/>
    <w:lvl w:ilvl="0" w:tplc="83A4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F1F33"/>
    <w:multiLevelType w:val="hybridMultilevel"/>
    <w:tmpl w:val="DE48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00C4D"/>
    <w:rsid w:val="000153D5"/>
    <w:rsid w:val="00020312"/>
    <w:rsid w:val="00020E68"/>
    <w:rsid w:val="00021FA8"/>
    <w:rsid w:val="00022185"/>
    <w:rsid w:val="00025B49"/>
    <w:rsid w:val="000A1F65"/>
    <w:rsid w:val="000C0AF2"/>
    <w:rsid w:val="000C20CF"/>
    <w:rsid w:val="000C5FAB"/>
    <w:rsid w:val="000D3187"/>
    <w:rsid w:val="000E13F8"/>
    <w:rsid w:val="00110EA2"/>
    <w:rsid w:val="00123FEE"/>
    <w:rsid w:val="001303F8"/>
    <w:rsid w:val="00131DDA"/>
    <w:rsid w:val="00153056"/>
    <w:rsid w:val="00171E07"/>
    <w:rsid w:val="001B1170"/>
    <w:rsid w:val="001C225E"/>
    <w:rsid w:val="001C3FE4"/>
    <w:rsid w:val="001C4664"/>
    <w:rsid w:val="001D16C1"/>
    <w:rsid w:val="001E1FBF"/>
    <w:rsid w:val="00210956"/>
    <w:rsid w:val="0022539C"/>
    <w:rsid w:val="00227F00"/>
    <w:rsid w:val="002417F6"/>
    <w:rsid w:val="00245452"/>
    <w:rsid w:val="00257783"/>
    <w:rsid w:val="00266626"/>
    <w:rsid w:val="00275BB9"/>
    <w:rsid w:val="002B73B5"/>
    <w:rsid w:val="002C5F35"/>
    <w:rsid w:val="002E188E"/>
    <w:rsid w:val="002E4AA8"/>
    <w:rsid w:val="002E52F7"/>
    <w:rsid w:val="002E6D10"/>
    <w:rsid w:val="002F12FE"/>
    <w:rsid w:val="002F5B65"/>
    <w:rsid w:val="002F6A98"/>
    <w:rsid w:val="003147A9"/>
    <w:rsid w:val="0032177A"/>
    <w:rsid w:val="003224FF"/>
    <w:rsid w:val="00326666"/>
    <w:rsid w:val="0032714F"/>
    <w:rsid w:val="00327A45"/>
    <w:rsid w:val="00345EA2"/>
    <w:rsid w:val="0035068E"/>
    <w:rsid w:val="00351211"/>
    <w:rsid w:val="00356955"/>
    <w:rsid w:val="00370FAA"/>
    <w:rsid w:val="00387FDB"/>
    <w:rsid w:val="003939F4"/>
    <w:rsid w:val="00397D90"/>
    <w:rsid w:val="003A0149"/>
    <w:rsid w:val="003A4C4B"/>
    <w:rsid w:val="003B2CDB"/>
    <w:rsid w:val="003C2B32"/>
    <w:rsid w:val="003D3023"/>
    <w:rsid w:val="003D62FC"/>
    <w:rsid w:val="003D7918"/>
    <w:rsid w:val="00402166"/>
    <w:rsid w:val="00402D16"/>
    <w:rsid w:val="00404E6C"/>
    <w:rsid w:val="00420104"/>
    <w:rsid w:val="00423A26"/>
    <w:rsid w:val="00446742"/>
    <w:rsid w:val="004510BA"/>
    <w:rsid w:val="00453CB9"/>
    <w:rsid w:val="0046383E"/>
    <w:rsid w:val="00473E06"/>
    <w:rsid w:val="00474281"/>
    <w:rsid w:val="004852C1"/>
    <w:rsid w:val="00487203"/>
    <w:rsid w:val="004A02A5"/>
    <w:rsid w:val="004B0BD3"/>
    <w:rsid w:val="004C5528"/>
    <w:rsid w:val="004C672D"/>
    <w:rsid w:val="004F3B6C"/>
    <w:rsid w:val="005101FF"/>
    <w:rsid w:val="0051096F"/>
    <w:rsid w:val="00517D7C"/>
    <w:rsid w:val="00527ADA"/>
    <w:rsid w:val="00540840"/>
    <w:rsid w:val="0054333F"/>
    <w:rsid w:val="00543BB4"/>
    <w:rsid w:val="00544D4C"/>
    <w:rsid w:val="00546D6E"/>
    <w:rsid w:val="00547B3B"/>
    <w:rsid w:val="00553D72"/>
    <w:rsid w:val="005572E8"/>
    <w:rsid w:val="00562FBA"/>
    <w:rsid w:val="005645B7"/>
    <w:rsid w:val="005A25C3"/>
    <w:rsid w:val="005D1F24"/>
    <w:rsid w:val="006149AB"/>
    <w:rsid w:val="0062681D"/>
    <w:rsid w:val="00637F5C"/>
    <w:rsid w:val="00643E89"/>
    <w:rsid w:val="00653F95"/>
    <w:rsid w:val="006758D3"/>
    <w:rsid w:val="006816F8"/>
    <w:rsid w:val="00683CC7"/>
    <w:rsid w:val="006F0C42"/>
    <w:rsid w:val="00702CF5"/>
    <w:rsid w:val="00707132"/>
    <w:rsid w:val="00720A5D"/>
    <w:rsid w:val="00733038"/>
    <w:rsid w:val="00733B41"/>
    <w:rsid w:val="007533E9"/>
    <w:rsid w:val="0076567B"/>
    <w:rsid w:val="007660CA"/>
    <w:rsid w:val="00766AED"/>
    <w:rsid w:val="00766E5D"/>
    <w:rsid w:val="00770025"/>
    <w:rsid w:val="0079359B"/>
    <w:rsid w:val="007966CC"/>
    <w:rsid w:val="007C090E"/>
    <w:rsid w:val="007C5998"/>
    <w:rsid w:val="007D1BE9"/>
    <w:rsid w:val="007F145E"/>
    <w:rsid w:val="007F3FC1"/>
    <w:rsid w:val="00806140"/>
    <w:rsid w:val="00807049"/>
    <w:rsid w:val="00815480"/>
    <w:rsid w:val="00820B4A"/>
    <w:rsid w:val="00860321"/>
    <w:rsid w:val="00862522"/>
    <w:rsid w:val="008636F7"/>
    <w:rsid w:val="00875092"/>
    <w:rsid w:val="00887CAB"/>
    <w:rsid w:val="00891A72"/>
    <w:rsid w:val="008B5C93"/>
    <w:rsid w:val="008D78D2"/>
    <w:rsid w:val="008E6934"/>
    <w:rsid w:val="008F2439"/>
    <w:rsid w:val="008F4DC4"/>
    <w:rsid w:val="008F6D8F"/>
    <w:rsid w:val="0090152E"/>
    <w:rsid w:val="00932C1B"/>
    <w:rsid w:val="009361FE"/>
    <w:rsid w:val="0095114C"/>
    <w:rsid w:val="00963F70"/>
    <w:rsid w:val="0096742E"/>
    <w:rsid w:val="009805C2"/>
    <w:rsid w:val="009A0B03"/>
    <w:rsid w:val="009A6188"/>
    <w:rsid w:val="009D5ECB"/>
    <w:rsid w:val="009D7657"/>
    <w:rsid w:val="009D7D5C"/>
    <w:rsid w:val="009F63FD"/>
    <w:rsid w:val="009F7D81"/>
    <w:rsid w:val="00A00502"/>
    <w:rsid w:val="00A01863"/>
    <w:rsid w:val="00A14B4A"/>
    <w:rsid w:val="00A150C2"/>
    <w:rsid w:val="00A17B5F"/>
    <w:rsid w:val="00A24868"/>
    <w:rsid w:val="00A274B3"/>
    <w:rsid w:val="00A367C4"/>
    <w:rsid w:val="00A43FBD"/>
    <w:rsid w:val="00A47BA1"/>
    <w:rsid w:val="00A5566F"/>
    <w:rsid w:val="00A5593F"/>
    <w:rsid w:val="00A60FAD"/>
    <w:rsid w:val="00A67EE2"/>
    <w:rsid w:val="00A86140"/>
    <w:rsid w:val="00A86544"/>
    <w:rsid w:val="00A95E96"/>
    <w:rsid w:val="00AA7CB2"/>
    <w:rsid w:val="00AB4932"/>
    <w:rsid w:val="00AC7F6D"/>
    <w:rsid w:val="00AE38A9"/>
    <w:rsid w:val="00AE3E48"/>
    <w:rsid w:val="00AF71B5"/>
    <w:rsid w:val="00B05A4F"/>
    <w:rsid w:val="00B22277"/>
    <w:rsid w:val="00B22D19"/>
    <w:rsid w:val="00B303A3"/>
    <w:rsid w:val="00B31199"/>
    <w:rsid w:val="00B33AC5"/>
    <w:rsid w:val="00B57B56"/>
    <w:rsid w:val="00B64B2E"/>
    <w:rsid w:val="00B66384"/>
    <w:rsid w:val="00B749BF"/>
    <w:rsid w:val="00B877FC"/>
    <w:rsid w:val="00B90882"/>
    <w:rsid w:val="00BB0367"/>
    <w:rsid w:val="00BB094F"/>
    <w:rsid w:val="00BB571E"/>
    <w:rsid w:val="00BC33B9"/>
    <w:rsid w:val="00C1359E"/>
    <w:rsid w:val="00C21A42"/>
    <w:rsid w:val="00C27CC0"/>
    <w:rsid w:val="00C32B22"/>
    <w:rsid w:val="00C33E4E"/>
    <w:rsid w:val="00C41BC0"/>
    <w:rsid w:val="00C44212"/>
    <w:rsid w:val="00C66CDF"/>
    <w:rsid w:val="00C70FD8"/>
    <w:rsid w:val="00C7529A"/>
    <w:rsid w:val="00C9361E"/>
    <w:rsid w:val="00CA0ED7"/>
    <w:rsid w:val="00CA1A12"/>
    <w:rsid w:val="00CA2667"/>
    <w:rsid w:val="00CB2304"/>
    <w:rsid w:val="00CB68ED"/>
    <w:rsid w:val="00CD26E3"/>
    <w:rsid w:val="00CD7EFB"/>
    <w:rsid w:val="00CE3D30"/>
    <w:rsid w:val="00D00FE4"/>
    <w:rsid w:val="00D021DD"/>
    <w:rsid w:val="00D059C5"/>
    <w:rsid w:val="00D15CA5"/>
    <w:rsid w:val="00D17997"/>
    <w:rsid w:val="00D17CF3"/>
    <w:rsid w:val="00D21886"/>
    <w:rsid w:val="00D30343"/>
    <w:rsid w:val="00D40728"/>
    <w:rsid w:val="00D66857"/>
    <w:rsid w:val="00D734CD"/>
    <w:rsid w:val="00D77953"/>
    <w:rsid w:val="00D848CA"/>
    <w:rsid w:val="00D86915"/>
    <w:rsid w:val="00DC64DC"/>
    <w:rsid w:val="00DD1441"/>
    <w:rsid w:val="00DE49C2"/>
    <w:rsid w:val="00E12C6D"/>
    <w:rsid w:val="00E44630"/>
    <w:rsid w:val="00E522FE"/>
    <w:rsid w:val="00E65CE9"/>
    <w:rsid w:val="00E7036C"/>
    <w:rsid w:val="00E72A60"/>
    <w:rsid w:val="00E761AD"/>
    <w:rsid w:val="00E822B6"/>
    <w:rsid w:val="00E871A3"/>
    <w:rsid w:val="00EA742D"/>
    <w:rsid w:val="00EB2B86"/>
    <w:rsid w:val="00EB3273"/>
    <w:rsid w:val="00EB6375"/>
    <w:rsid w:val="00EC285D"/>
    <w:rsid w:val="00EC7CD0"/>
    <w:rsid w:val="00ED1739"/>
    <w:rsid w:val="00ED6B55"/>
    <w:rsid w:val="00EE0F52"/>
    <w:rsid w:val="00EE7981"/>
    <w:rsid w:val="00EF31E0"/>
    <w:rsid w:val="00EF48D4"/>
    <w:rsid w:val="00F021C5"/>
    <w:rsid w:val="00F02BDF"/>
    <w:rsid w:val="00F145EE"/>
    <w:rsid w:val="00F14D1F"/>
    <w:rsid w:val="00F2039B"/>
    <w:rsid w:val="00F44DF8"/>
    <w:rsid w:val="00F51CAB"/>
    <w:rsid w:val="00F81867"/>
    <w:rsid w:val="00F83FF7"/>
    <w:rsid w:val="00F8406C"/>
    <w:rsid w:val="00F8712A"/>
    <w:rsid w:val="00F93EB7"/>
    <w:rsid w:val="00FA647E"/>
    <w:rsid w:val="00FB04C0"/>
    <w:rsid w:val="00FD4DD1"/>
    <w:rsid w:val="00FD7895"/>
    <w:rsid w:val="00FE0C3D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13B7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669309-64B7-4B20-9EBC-9E07C18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Wiegand, Sheri</cp:lastModifiedBy>
  <cp:revision>2</cp:revision>
  <dcterms:created xsi:type="dcterms:W3CDTF">2020-11-30T23:52:00Z</dcterms:created>
  <dcterms:modified xsi:type="dcterms:W3CDTF">2020-11-30T23:52:00Z</dcterms:modified>
</cp:coreProperties>
</file>