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B8DDA" w14:textId="77777777" w:rsidR="00A91585" w:rsidRPr="00A91585" w:rsidRDefault="00A91585" w:rsidP="00A91585">
      <w:pPr>
        <w:spacing w:after="200" w:line="276" w:lineRule="auto"/>
        <w:rPr>
          <w:rFonts w:eastAsia="MS Mincho" w:cs="Times New Roman"/>
          <w:kern w:val="0"/>
          <w:lang w:val="en-GB" w:eastAsia="en-GB"/>
        </w:rPr>
      </w:pPr>
      <w:r w:rsidRPr="00A91585">
        <w:rPr>
          <w:rFonts w:eastAsia="MS Mincho" w:cs="Times New Roman"/>
          <w:noProof/>
          <w:kern w:val="0"/>
        </w:rPr>
        <mc:AlternateContent>
          <mc:Choice Requires="wps">
            <w:drawing>
              <wp:anchor distT="0" distB="0" distL="114300" distR="114300" simplePos="0" relativeHeight="251665408" behindDoc="0" locked="0" layoutInCell="1" allowOverlap="1" wp14:anchorId="51905435" wp14:editId="28FB53F7">
                <wp:simplePos x="0" y="0"/>
                <wp:positionH relativeFrom="column">
                  <wp:posOffset>3589020</wp:posOffset>
                </wp:positionH>
                <wp:positionV relativeFrom="paragraph">
                  <wp:posOffset>-639445</wp:posOffset>
                </wp:positionV>
                <wp:extent cx="2430780" cy="312420"/>
                <wp:effectExtent l="0" t="0" r="7620" b="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780" cy="3124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D530A" id="Rectangle 193" o:spid="_x0000_s1026" style="position:absolute;margin-left:282.6pt;margin-top:-50.35pt;width:191.4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" fillcolor="window" strokecolor="window" strokeweight="2pt">
                <v:path arrowok="t"/>
              </v:rect>
            </w:pict>
          </mc:Fallback>
        </mc:AlternateContent>
      </w:r>
      <w:r w:rsidRPr="00A91585">
        <w:rPr>
          <w:rFonts w:eastAsia="MS Mincho" w:cs="Times New Roman"/>
          <w:noProof/>
          <w:kern w:val="0"/>
        </w:rPr>
        <w:drawing>
          <wp:anchor distT="36576" distB="36576" distL="36576" distR="36576" simplePos="0" relativeHeight="251664384" behindDoc="0" locked="0" layoutInCell="1" allowOverlap="1" wp14:anchorId="4CD0F4FC" wp14:editId="0753419D">
            <wp:simplePos x="0" y="0"/>
            <wp:positionH relativeFrom="column">
              <wp:posOffset>1495756</wp:posOffset>
            </wp:positionH>
            <wp:positionV relativeFrom="paragraph">
              <wp:posOffset>-416966</wp:posOffset>
            </wp:positionV>
            <wp:extent cx="4452137" cy="892454"/>
            <wp:effectExtent l="19050" t="0" r="5563" b="0"/>
            <wp:wrapNone/>
            <wp:docPr id="10" name="Picture 27" descr="astrape_logo_big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trape_logo_big2013"/>
                    <pic:cNvPicPr>
                      <a:picLocks noChangeAspect="1" noChangeArrowheads="1"/>
                    </pic:cNvPicPr>
                  </pic:nvPicPr>
                  <pic:blipFill>
                    <a:blip r:embed="rId8" cstate="print"/>
                    <a:srcRect/>
                    <a:stretch>
                      <a:fillRect/>
                    </a:stretch>
                  </pic:blipFill>
                  <pic:spPr bwMode="auto">
                    <a:xfrm>
                      <a:off x="0" y="0"/>
                      <a:ext cx="4452137" cy="892454"/>
                    </a:xfrm>
                    <a:prstGeom prst="rect">
                      <a:avLst/>
                    </a:prstGeom>
                    <a:noFill/>
                    <a:ln w="9525" algn="in">
                      <a:noFill/>
                      <a:miter lim="800000"/>
                      <a:headEnd/>
                      <a:tailEnd/>
                    </a:ln>
                    <a:effectLst/>
                  </pic:spPr>
                </pic:pic>
              </a:graphicData>
            </a:graphic>
          </wp:anchor>
        </w:drawing>
      </w:r>
    </w:p>
    <w:p w14:paraId="6DEDB830" w14:textId="77777777" w:rsidR="00A91585" w:rsidRPr="00A91585" w:rsidRDefault="00A91585" w:rsidP="00A91585">
      <w:pPr>
        <w:spacing w:after="200" w:line="276" w:lineRule="auto"/>
        <w:rPr>
          <w:rFonts w:eastAsia="MS Mincho" w:cs="Times New Roman"/>
          <w:kern w:val="0"/>
          <w:lang w:val="en-GB" w:eastAsia="en-GB"/>
        </w:rPr>
      </w:pPr>
    </w:p>
    <w:p w14:paraId="53BFFB07" w14:textId="77777777" w:rsidR="00A91585" w:rsidRPr="00A91585" w:rsidRDefault="00A91585" w:rsidP="00A91585">
      <w:pPr>
        <w:spacing w:after="200" w:line="276" w:lineRule="auto"/>
        <w:rPr>
          <w:rFonts w:eastAsia="MS Mincho" w:cs="Times New Roman"/>
          <w:kern w:val="0"/>
          <w:lang w:val="en-GB" w:eastAsia="en-GB"/>
        </w:rPr>
      </w:pPr>
    </w:p>
    <w:p w14:paraId="070E2379" w14:textId="77777777" w:rsidR="00A91585" w:rsidRPr="00A91585" w:rsidRDefault="00A91585" w:rsidP="00A91585">
      <w:pPr>
        <w:spacing w:after="200" w:line="276" w:lineRule="auto"/>
        <w:rPr>
          <w:rFonts w:eastAsia="MS Mincho" w:cs="Times New Roman"/>
          <w:kern w:val="0"/>
          <w:lang w:val="en-GB" w:eastAsia="en-GB"/>
        </w:rPr>
      </w:pPr>
      <w:r w:rsidRPr="00A91585">
        <w:rPr>
          <w:rFonts w:eastAsia="MS Mincho" w:cs="Times New Roman"/>
          <w:noProof/>
          <w:kern w:val="0"/>
        </w:rPr>
        <w:drawing>
          <wp:inline distT="0" distB="0" distL="0" distR="0" wp14:anchorId="2008E440" wp14:editId="10293848">
            <wp:extent cx="5890437" cy="95693"/>
            <wp:effectExtent l="0" t="0" r="0" b="0"/>
            <wp:docPr id="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91505" cy="100584"/>
                    </a:xfrm>
                    <a:prstGeom prst="rect">
                      <a:avLst/>
                    </a:prstGeom>
                    <a:noFill/>
                    <a:ln>
                      <a:noFill/>
                    </a:ln>
                  </pic:spPr>
                </pic:pic>
              </a:graphicData>
            </a:graphic>
          </wp:inline>
        </w:drawing>
      </w:r>
    </w:p>
    <w:p w14:paraId="1DF91CA3" w14:textId="64901A24" w:rsidR="00A91585" w:rsidRDefault="004A3BF6" w:rsidP="00A91585">
      <w:pPr>
        <w:autoSpaceDE w:val="0"/>
        <w:autoSpaceDN w:val="0"/>
        <w:adjustRightInd w:val="0"/>
        <w:spacing w:before="240" w:after="0" w:line="300" w:lineRule="auto"/>
        <w:rPr>
          <w:rFonts w:ascii="Century Gothic" w:eastAsia="MS Mincho" w:hAnsi="Century Gothic" w:cs="Times New Roman"/>
          <w:b/>
          <w:color w:val="00467F"/>
          <w:kern w:val="0"/>
          <w:sz w:val="48"/>
          <w:szCs w:val="48"/>
          <w:lang w:val="en-GB" w:eastAsia="en-GB"/>
        </w:rPr>
      </w:pPr>
      <w:r>
        <w:rPr>
          <w:rFonts w:ascii="Century Gothic" w:eastAsia="MS Mincho" w:hAnsi="Century Gothic" w:cs="Times New Roman"/>
          <w:b/>
          <w:color w:val="00467F"/>
          <w:kern w:val="0"/>
          <w:sz w:val="48"/>
          <w:szCs w:val="48"/>
          <w:lang w:val="en-GB" w:eastAsia="en-GB"/>
        </w:rPr>
        <w:t>Estimation of the Market Equilibrium and Economically Optimal Reserve Margins for the ERCOT Region</w:t>
      </w:r>
      <w:r w:rsidR="003A1D09">
        <w:rPr>
          <w:rFonts w:ascii="Century Gothic" w:eastAsia="MS Mincho" w:hAnsi="Century Gothic" w:cs="Times New Roman"/>
          <w:b/>
          <w:color w:val="00467F"/>
          <w:kern w:val="0"/>
          <w:sz w:val="48"/>
          <w:szCs w:val="48"/>
          <w:lang w:val="en-GB" w:eastAsia="en-GB"/>
        </w:rPr>
        <w:t xml:space="preserve"> for 2024</w:t>
      </w:r>
    </w:p>
    <w:p w14:paraId="5FB4DB65" w14:textId="1C9E1C15" w:rsidR="004A3BF6" w:rsidRPr="004A3BF6" w:rsidRDefault="004A3BF6" w:rsidP="00A91585">
      <w:pPr>
        <w:autoSpaceDE w:val="0"/>
        <w:autoSpaceDN w:val="0"/>
        <w:adjustRightInd w:val="0"/>
        <w:spacing w:before="240" w:after="0" w:line="300" w:lineRule="auto"/>
        <w:rPr>
          <w:rFonts w:ascii="Century Gothic" w:eastAsia="MS Mincho" w:hAnsi="Century Gothic" w:cs="Times New Roman"/>
          <w:bCs/>
          <w:color w:val="00467F"/>
          <w:kern w:val="0"/>
          <w:sz w:val="48"/>
          <w:szCs w:val="48"/>
          <w:lang w:val="en-GB" w:eastAsia="en-GB"/>
        </w:rPr>
      </w:pPr>
      <w:r>
        <w:rPr>
          <w:rFonts w:ascii="Century Gothic" w:eastAsia="MS Mincho" w:hAnsi="Century Gothic" w:cs="Times New Roman"/>
          <w:bCs/>
          <w:color w:val="00467F"/>
          <w:kern w:val="0"/>
          <w:sz w:val="48"/>
          <w:szCs w:val="48"/>
          <w:lang w:val="en-GB" w:eastAsia="en-GB"/>
        </w:rPr>
        <w:t>DRAFT</w:t>
      </w:r>
    </w:p>
    <w:p w14:paraId="78CC5B13" w14:textId="77777777" w:rsidR="00A91585" w:rsidRPr="00A91585" w:rsidRDefault="00A91585" w:rsidP="00A91585">
      <w:pPr>
        <w:spacing w:after="200" w:line="276" w:lineRule="auto"/>
        <w:rPr>
          <w:rFonts w:eastAsia="MS Mincho" w:cs="Times New Roman"/>
          <w:color w:val="00467F"/>
          <w:kern w:val="0"/>
          <w:lang w:val="en-GB" w:eastAsia="en-GB"/>
        </w:rPr>
      </w:pPr>
      <w:r w:rsidRPr="00A91585">
        <w:rPr>
          <w:rFonts w:eastAsia="MS Mincho" w:cs="Times New Roman"/>
          <w:noProof/>
          <w:kern w:val="0"/>
        </w:rPr>
        <w:drawing>
          <wp:anchor distT="0" distB="0" distL="114300" distR="114300" simplePos="0" relativeHeight="251663360" behindDoc="0" locked="0" layoutInCell="1" allowOverlap="1" wp14:anchorId="1860CB25" wp14:editId="545E0BA1">
            <wp:simplePos x="0" y="0"/>
            <wp:positionH relativeFrom="column">
              <wp:posOffset>0</wp:posOffset>
            </wp:positionH>
            <wp:positionV relativeFrom="paragraph">
              <wp:posOffset>158750</wp:posOffset>
            </wp:positionV>
            <wp:extent cx="5943600" cy="36576"/>
            <wp:effectExtent l="0" t="0" r="0" b="1905"/>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36576"/>
                    </a:xfrm>
                    <a:prstGeom prst="rect">
                      <a:avLst/>
                    </a:prstGeom>
                    <a:noFill/>
                    <a:ln>
                      <a:noFill/>
                    </a:ln>
                  </pic:spPr>
                </pic:pic>
              </a:graphicData>
            </a:graphic>
          </wp:anchor>
        </w:drawing>
      </w:r>
    </w:p>
    <w:p w14:paraId="52CEDB24" w14:textId="77777777" w:rsidR="00A91585" w:rsidRPr="00A91585" w:rsidRDefault="00A91585" w:rsidP="00A91585">
      <w:pPr>
        <w:autoSpaceDE w:val="0"/>
        <w:autoSpaceDN w:val="0"/>
        <w:adjustRightInd w:val="0"/>
        <w:spacing w:after="0" w:line="480" w:lineRule="auto"/>
        <w:jc w:val="both"/>
        <w:rPr>
          <w:rFonts w:ascii="Century Gothic" w:eastAsia="MS Mincho" w:hAnsi="Century Gothic" w:cs="Times New Roman"/>
          <w:color w:val="00467F"/>
          <w:spacing w:val="20"/>
          <w:kern w:val="0"/>
          <w:szCs w:val="23"/>
          <w:lang w:val="en-GB" w:eastAsia="en-GB"/>
        </w:rPr>
      </w:pPr>
    </w:p>
    <w:p w14:paraId="64B9DC00" w14:textId="079F6954" w:rsidR="00A91585" w:rsidRDefault="00A91585" w:rsidP="00A91585">
      <w:pPr>
        <w:spacing w:after="200" w:line="276" w:lineRule="auto"/>
        <w:rPr>
          <w:rFonts w:eastAsia="MS Mincho" w:cs="Times New Roman"/>
          <w:kern w:val="0"/>
          <w:lang w:val="en-GB" w:eastAsia="en-GB"/>
        </w:rPr>
      </w:pPr>
    </w:p>
    <w:p w14:paraId="099880AE" w14:textId="3A8D396D" w:rsidR="0085211C" w:rsidRDefault="0085211C" w:rsidP="00A91585">
      <w:pPr>
        <w:spacing w:after="200" w:line="276" w:lineRule="auto"/>
        <w:rPr>
          <w:rFonts w:eastAsia="MS Mincho" w:cs="Times New Roman"/>
          <w:kern w:val="0"/>
          <w:lang w:val="en-GB" w:eastAsia="en-GB"/>
        </w:rPr>
      </w:pPr>
    </w:p>
    <w:p w14:paraId="56E0D680" w14:textId="77777777" w:rsidR="0085211C" w:rsidRPr="00A91585" w:rsidRDefault="0085211C" w:rsidP="00A91585">
      <w:pPr>
        <w:spacing w:after="200" w:line="276" w:lineRule="auto"/>
        <w:rPr>
          <w:rFonts w:eastAsia="MS Mincho" w:cs="Times New Roman"/>
          <w:kern w:val="0"/>
          <w:lang w:val="en-GB" w:eastAsia="en-GB"/>
        </w:rPr>
      </w:pPr>
    </w:p>
    <w:p w14:paraId="4939E9BB" w14:textId="77777777" w:rsidR="00A91585" w:rsidRPr="00A91585" w:rsidRDefault="00A91585" w:rsidP="00A91585">
      <w:pPr>
        <w:spacing w:after="200" w:line="276" w:lineRule="auto"/>
        <w:rPr>
          <w:rFonts w:eastAsia="MS Mincho" w:cs="Times New Roman"/>
          <w:kern w:val="0"/>
          <w:lang w:val="en-GB" w:eastAsia="en-GB"/>
        </w:rPr>
      </w:pPr>
    </w:p>
    <w:p w14:paraId="4DC87CD4" w14:textId="77777777" w:rsidR="00A91585" w:rsidRPr="00A91585" w:rsidRDefault="00A91585" w:rsidP="00A91585">
      <w:pPr>
        <w:spacing w:after="200" w:line="276" w:lineRule="auto"/>
        <w:rPr>
          <w:rFonts w:eastAsia="MS Mincho" w:cs="Times New Roman"/>
          <w:kern w:val="0"/>
          <w:lang w:val="en-GB" w:eastAsia="en-GB"/>
        </w:rPr>
      </w:pPr>
    </w:p>
    <w:p w14:paraId="1F69BF50" w14:textId="5AE57317" w:rsidR="00A91585" w:rsidRPr="00A91585" w:rsidRDefault="003A1D09" w:rsidP="00A91585">
      <w:pPr>
        <w:autoSpaceDE w:val="0"/>
        <w:autoSpaceDN w:val="0"/>
        <w:adjustRightInd w:val="0"/>
        <w:spacing w:after="0" w:line="480" w:lineRule="auto"/>
        <w:jc w:val="both"/>
        <w:rPr>
          <w:rFonts w:ascii="Century Gothic" w:eastAsia="MS Mincho" w:hAnsi="Century Gothic" w:cs="Times New Roman"/>
          <w:color w:val="00467F"/>
          <w:spacing w:val="20"/>
          <w:kern w:val="0"/>
          <w:sz w:val="23"/>
          <w:szCs w:val="23"/>
          <w:lang w:val="en-GB" w:eastAsia="en-GB"/>
        </w:rPr>
      </w:pPr>
      <w:r>
        <w:rPr>
          <w:rFonts w:ascii="Century Gothic" w:eastAsia="MS Mincho" w:hAnsi="Century Gothic" w:cs="Times New Roman"/>
          <w:color w:val="00467F"/>
          <w:spacing w:val="20"/>
          <w:kern w:val="0"/>
          <w:sz w:val="23"/>
          <w:szCs w:val="23"/>
          <w:lang w:val="en-GB" w:eastAsia="en-GB"/>
        </w:rPr>
        <w:t>12</w:t>
      </w:r>
      <w:r w:rsidR="005541C9">
        <w:rPr>
          <w:rFonts w:ascii="Century Gothic" w:eastAsia="MS Mincho" w:hAnsi="Century Gothic" w:cs="Times New Roman"/>
          <w:color w:val="00467F"/>
          <w:spacing w:val="20"/>
          <w:kern w:val="0"/>
          <w:sz w:val="23"/>
          <w:szCs w:val="23"/>
          <w:lang w:val="en-GB" w:eastAsia="en-GB"/>
        </w:rPr>
        <w:t>/</w:t>
      </w:r>
      <w:r>
        <w:rPr>
          <w:rFonts w:ascii="Century Gothic" w:eastAsia="MS Mincho" w:hAnsi="Century Gothic" w:cs="Times New Roman"/>
          <w:color w:val="00467F"/>
          <w:spacing w:val="20"/>
          <w:kern w:val="0"/>
          <w:sz w:val="23"/>
          <w:szCs w:val="23"/>
          <w:lang w:val="en-GB" w:eastAsia="en-GB"/>
        </w:rPr>
        <w:t>1</w:t>
      </w:r>
      <w:r w:rsidR="001C79ED">
        <w:rPr>
          <w:rFonts w:ascii="Century Gothic" w:eastAsia="MS Mincho" w:hAnsi="Century Gothic" w:cs="Times New Roman"/>
          <w:color w:val="00467F"/>
          <w:spacing w:val="20"/>
          <w:kern w:val="0"/>
          <w:sz w:val="23"/>
          <w:szCs w:val="23"/>
          <w:lang w:val="en-GB" w:eastAsia="en-GB"/>
        </w:rPr>
        <w:t>/2020</w:t>
      </w:r>
    </w:p>
    <w:p w14:paraId="36DD21ED" w14:textId="77777777" w:rsidR="00A91585" w:rsidRPr="00A91585" w:rsidRDefault="00A91585" w:rsidP="00A91585">
      <w:pPr>
        <w:autoSpaceDE w:val="0"/>
        <w:autoSpaceDN w:val="0"/>
        <w:adjustRightInd w:val="0"/>
        <w:spacing w:after="0" w:line="360" w:lineRule="auto"/>
        <w:jc w:val="both"/>
        <w:rPr>
          <w:rFonts w:ascii="Century Gothic" w:eastAsia="MS Mincho" w:hAnsi="Century Gothic" w:cs="Times New Roman"/>
          <w:b/>
          <w:color w:val="00467F"/>
          <w:spacing w:val="20"/>
          <w:kern w:val="0"/>
          <w:szCs w:val="23"/>
          <w:lang w:val="en-GB" w:eastAsia="en-GB"/>
        </w:rPr>
      </w:pPr>
    </w:p>
    <w:p w14:paraId="5C6B4DF9" w14:textId="77777777" w:rsidR="00A91585" w:rsidRPr="00A91585" w:rsidRDefault="00A91585" w:rsidP="00A91585">
      <w:pPr>
        <w:autoSpaceDE w:val="0"/>
        <w:autoSpaceDN w:val="0"/>
        <w:adjustRightInd w:val="0"/>
        <w:spacing w:after="0" w:line="480" w:lineRule="auto"/>
        <w:jc w:val="both"/>
        <w:rPr>
          <w:rFonts w:ascii="Century Gothic" w:eastAsia="MS Mincho" w:hAnsi="Century Gothic" w:cs="Times New Roman"/>
          <w:b/>
          <w:color w:val="00467F"/>
          <w:spacing w:val="20"/>
          <w:kern w:val="0"/>
          <w:szCs w:val="23"/>
          <w:lang w:val="en-GB" w:eastAsia="en-GB"/>
        </w:rPr>
      </w:pPr>
      <w:r w:rsidRPr="00A91585">
        <w:rPr>
          <w:rFonts w:ascii="Century Gothic" w:eastAsia="MS Mincho" w:hAnsi="Century Gothic" w:cs="Times New Roman"/>
          <w:b/>
          <w:color w:val="00467F"/>
          <w:spacing w:val="20"/>
          <w:kern w:val="0"/>
          <w:szCs w:val="23"/>
          <w:lang w:val="en-GB" w:eastAsia="en-GB"/>
        </w:rPr>
        <w:t>PREPARED FOR</w:t>
      </w:r>
    </w:p>
    <w:p w14:paraId="1B9B313C" w14:textId="6DE31F28" w:rsidR="00A91585" w:rsidRPr="00A91585" w:rsidRDefault="0085211C" w:rsidP="00A91585">
      <w:pPr>
        <w:autoSpaceDE w:val="0"/>
        <w:autoSpaceDN w:val="0"/>
        <w:adjustRightInd w:val="0"/>
        <w:spacing w:after="0" w:line="240" w:lineRule="auto"/>
        <w:jc w:val="both"/>
        <w:rPr>
          <w:rFonts w:ascii="Century Gothic" w:eastAsia="MS Mincho" w:hAnsi="Century Gothic" w:cs="Times New Roman"/>
          <w:b/>
          <w:i/>
          <w:color w:val="00467F"/>
          <w:kern w:val="0"/>
          <w:szCs w:val="23"/>
          <w:lang w:val="en-GB" w:eastAsia="en-GB"/>
        </w:rPr>
      </w:pPr>
      <w:r>
        <w:rPr>
          <w:rFonts w:ascii="Century Gothic" w:eastAsia="MS Mincho" w:hAnsi="Century Gothic" w:cs="Times New Roman"/>
          <w:b/>
          <w:i/>
          <w:color w:val="00467F"/>
          <w:kern w:val="0"/>
          <w:szCs w:val="23"/>
          <w:lang w:val="en-GB" w:eastAsia="en-GB"/>
        </w:rPr>
        <w:t xml:space="preserve">Electric Reliability Council of Texas </w:t>
      </w:r>
      <w:r w:rsidR="00211ABA">
        <w:rPr>
          <w:rFonts w:ascii="Century Gothic" w:eastAsia="MS Mincho" w:hAnsi="Century Gothic" w:cs="Times New Roman"/>
          <w:b/>
          <w:i/>
          <w:color w:val="00467F"/>
          <w:kern w:val="0"/>
          <w:szCs w:val="23"/>
          <w:lang w:val="en-GB" w:eastAsia="en-GB"/>
        </w:rPr>
        <w:t>(“</w:t>
      </w:r>
      <w:r>
        <w:rPr>
          <w:rFonts w:ascii="Century Gothic" w:eastAsia="MS Mincho" w:hAnsi="Century Gothic" w:cs="Times New Roman"/>
          <w:b/>
          <w:i/>
          <w:color w:val="00467F"/>
          <w:kern w:val="0"/>
          <w:szCs w:val="23"/>
          <w:lang w:val="en-GB" w:eastAsia="en-GB"/>
        </w:rPr>
        <w:t>ERCOT</w:t>
      </w:r>
      <w:r w:rsidR="00211ABA">
        <w:rPr>
          <w:rFonts w:ascii="Century Gothic" w:eastAsia="MS Mincho" w:hAnsi="Century Gothic" w:cs="Times New Roman"/>
          <w:b/>
          <w:i/>
          <w:color w:val="00467F"/>
          <w:kern w:val="0"/>
          <w:szCs w:val="23"/>
          <w:lang w:val="en-GB" w:eastAsia="en-GB"/>
        </w:rPr>
        <w:t>”)</w:t>
      </w:r>
    </w:p>
    <w:p w14:paraId="2BBC943A" w14:textId="77777777" w:rsidR="00A91585" w:rsidRPr="00A91585" w:rsidRDefault="00A91585" w:rsidP="00A91585">
      <w:pPr>
        <w:spacing w:after="200" w:line="276" w:lineRule="auto"/>
        <w:rPr>
          <w:rFonts w:eastAsia="MS Mincho" w:cs="Times New Roman"/>
          <w:kern w:val="0"/>
          <w:lang w:val="en-GB" w:eastAsia="en-GB"/>
        </w:rPr>
      </w:pPr>
    </w:p>
    <w:p w14:paraId="7C8F4F35" w14:textId="77777777" w:rsidR="00A91585" w:rsidRPr="00A91585" w:rsidRDefault="00A91585" w:rsidP="00A91585">
      <w:pPr>
        <w:autoSpaceDE w:val="0"/>
        <w:autoSpaceDN w:val="0"/>
        <w:adjustRightInd w:val="0"/>
        <w:spacing w:after="0" w:line="480" w:lineRule="auto"/>
        <w:jc w:val="both"/>
        <w:rPr>
          <w:rFonts w:ascii="Century Gothic" w:eastAsia="MS Mincho" w:hAnsi="Century Gothic" w:cs="Times New Roman"/>
          <w:b/>
          <w:color w:val="00467F"/>
          <w:spacing w:val="20"/>
          <w:kern w:val="0"/>
          <w:szCs w:val="23"/>
          <w:lang w:val="en-GB" w:eastAsia="en-GB"/>
        </w:rPr>
      </w:pPr>
      <w:r w:rsidRPr="00A91585">
        <w:rPr>
          <w:rFonts w:ascii="Century Gothic" w:eastAsia="MS Mincho" w:hAnsi="Century Gothic" w:cs="Times New Roman"/>
          <w:b/>
          <w:color w:val="00467F"/>
          <w:spacing w:val="20"/>
          <w:kern w:val="0"/>
          <w:szCs w:val="23"/>
          <w:lang w:val="en-GB" w:eastAsia="en-GB"/>
        </w:rPr>
        <w:t>PREPARED BY</w:t>
      </w:r>
    </w:p>
    <w:p w14:paraId="20DE91CD" w14:textId="77777777" w:rsidR="00A91585" w:rsidRPr="00A91585" w:rsidRDefault="00A91585" w:rsidP="00A91585">
      <w:pPr>
        <w:autoSpaceDE w:val="0"/>
        <w:autoSpaceDN w:val="0"/>
        <w:adjustRightInd w:val="0"/>
        <w:spacing w:after="0" w:line="240" w:lineRule="auto"/>
        <w:jc w:val="both"/>
        <w:rPr>
          <w:rFonts w:ascii="Century Gothic" w:eastAsia="MS Mincho" w:hAnsi="Century Gothic" w:cs="Times New Roman"/>
          <w:color w:val="1F497D"/>
          <w:kern w:val="0"/>
          <w:sz w:val="28"/>
          <w:szCs w:val="28"/>
          <w:lang w:val="en-GB" w:eastAsia="en-GB"/>
        </w:rPr>
      </w:pPr>
      <w:r w:rsidRPr="00A91585">
        <w:rPr>
          <w:rFonts w:ascii="Century Gothic" w:eastAsia="MS Mincho" w:hAnsi="Century Gothic" w:cs="Times New Roman"/>
          <w:color w:val="1F497D"/>
          <w:kern w:val="0"/>
          <w:sz w:val="28"/>
          <w:szCs w:val="28"/>
          <w:lang w:val="en-GB" w:eastAsia="en-GB"/>
        </w:rPr>
        <w:t xml:space="preserve">Kevin Carden </w:t>
      </w:r>
    </w:p>
    <w:p w14:paraId="158C2E88" w14:textId="77777777" w:rsidR="00A91585" w:rsidRDefault="00A91585" w:rsidP="00A91585">
      <w:pPr>
        <w:autoSpaceDE w:val="0"/>
        <w:autoSpaceDN w:val="0"/>
        <w:adjustRightInd w:val="0"/>
        <w:spacing w:after="0" w:line="240" w:lineRule="auto"/>
        <w:jc w:val="both"/>
        <w:rPr>
          <w:rFonts w:ascii="Century Gothic" w:eastAsia="MS Mincho" w:hAnsi="Century Gothic" w:cs="Times New Roman"/>
          <w:color w:val="00467F"/>
          <w:kern w:val="0"/>
          <w:sz w:val="28"/>
          <w:szCs w:val="23"/>
          <w:lang w:val="en-GB" w:eastAsia="en-GB"/>
        </w:rPr>
      </w:pPr>
      <w:r w:rsidRPr="00A91585">
        <w:rPr>
          <w:rFonts w:ascii="Century Gothic" w:eastAsia="MS Mincho" w:hAnsi="Century Gothic" w:cs="Times New Roman"/>
          <w:color w:val="00467F"/>
          <w:kern w:val="0"/>
          <w:sz w:val="28"/>
          <w:szCs w:val="23"/>
          <w:lang w:val="en-GB" w:eastAsia="en-GB"/>
        </w:rPr>
        <w:t>Alex Krasny</w:t>
      </w:r>
      <w:r w:rsidR="006C2BDC">
        <w:rPr>
          <w:rFonts w:ascii="Century Gothic" w:eastAsia="MS Mincho" w:hAnsi="Century Gothic" w:cs="Times New Roman"/>
          <w:color w:val="00467F"/>
          <w:kern w:val="0"/>
          <w:sz w:val="28"/>
          <w:szCs w:val="23"/>
          <w:lang w:val="en-GB" w:eastAsia="en-GB"/>
        </w:rPr>
        <w:t xml:space="preserve"> Dombrowsky</w:t>
      </w:r>
    </w:p>
    <w:p w14:paraId="3DE1CEB4" w14:textId="2A91F454" w:rsidR="003615B8" w:rsidRPr="00A91585" w:rsidRDefault="003615B8" w:rsidP="00A91585">
      <w:pPr>
        <w:autoSpaceDE w:val="0"/>
        <w:autoSpaceDN w:val="0"/>
        <w:adjustRightInd w:val="0"/>
        <w:spacing w:after="0" w:line="240" w:lineRule="auto"/>
        <w:jc w:val="both"/>
        <w:rPr>
          <w:rFonts w:ascii="Century Gothic" w:eastAsia="MS Mincho" w:hAnsi="Century Gothic" w:cs="Times New Roman"/>
          <w:color w:val="00467F"/>
          <w:kern w:val="0"/>
          <w:sz w:val="28"/>
          <w:szCs w:val="23"/>
          <w:lang w:val="en-GB" w:eastAsia="en-GB"/>
        </w:rPr>
      </w:pPr>
    </w:p>
    <w:p w14:paraId="1C9A8615" w14:textId="3371296B" w:rsidR="004A3BF6" w:rsidRPr="004B58AD" w:rsidRDefault="00A91585" w:rsidP="004B58AD">
      <w:pPr>
        <w:autoSpaceDE w:val="0"/>
        <w:autoSpaceDN w:val="0"/>
        <w:adjustRightInd w:val="0"/>
        <w:spacing w:after="0" w:line="240" w:lineRule="auto"/>
        <w:jc w:val="both"/>
        <w:rPr>
          <w:rFonts w:ascii="Century Gothic" w:eastAsia="MS Mincho" w:hAnsi="Century Gothic" w:cs="Times New Roman"/>
          <w:i/>
          <w:color w:val="00467F"/>
          <w:kern w:val="0"/>
          <w:sz w:val="20"/>
          <w:szCs w:val="23"/>
          <w:lang w:val="en-GB" w:eastAsia="en-GB"/>
        </w:rPr>
      </w:pPr>
      <w:r w:rsidRPr="00A91585">
        <w:rPr>
          <w:rFonts w:ascii="Century Gothic" w:eastAsia="MS Mincho" w:hAnsi="Century Gothic" w:cs="Times New Roman"/>
          <w:i/>
          <w:color w:val="1F497D"/>
          <w:kern w:val="0"/>
          <w:sz w:val="28"/>
          <w:szCs w:val="28"/>
          <w:lang w:val="en-GB" w:eastAsia="en-GB"/>
        </w:rPr>
        <w:t>Astrapé Consulting</w:t>
      </w:r>
      <w:bookmarkStart w:id="0" w:name="_Toc44595437"/>
    </w:p>
    <w:p w14:paraId="1D605F1F" w14:textId="2BD641A0" w:rsidR="004A3BF6" w:rsidRPr="00310D1F" w:rsidRDefault="004A3BF6" w:rsidP="004A3BF6">
      <w:pPr>
        <w:pStyle w:val="BGAcknowledgement"/>
        <w:rPr>
          <w:rFonts w:ascii="Calibri" w:hAnsi="Calibri" w:cs="Calibri"/>
          <w:color w:val="auto"/>
          <w:sz w:val="22"/>
          <w:szCs w:val="22"/>
        </w:rPr>
      </w:pPr>
      <w:r w:rsidRPr="00310D1F">
        <w:rPr>
          <w:rFonts w:ascii="Calibri" w:hAnsi="Calibri" w:cs="Calibri"/>
          <w:i/>
          <w:color w:val="auto"/>
          <w:sz w:val="22"/>
          <w:szCs w:val="22"/>
        </w:rPr>
        <w:lastRenderedPageBreak/>
        <w:t>Disclaimer:</w:t>
      </w:r>
      <w:r w:rsidRPr="00310D1F">
        <w:rPr>
          <w:rFonts w:ascii="Calibri" w:hAnsi="Calibri" w:cs="Calibri"/>
          <w:color w:val="auto"/>
          <w:sz w:val="22"/>
          <w:szCs w:val="22"/>
        </w:rPr>
        <w:t xml:space="preserve"> This report was prepared by the authors for the Electric Reliability Council of Texas (ERCOT).  It is provided as is, and Astrapé Consulting and ERCOT disclaim any and all express or implied representations or warranties of any kind relating to the accuracy, reliability, completeness, or currency of the data, conclusions, forecasts or any other information in this report. Readers of this report should independently verify the accuracy, reliability, completeness, currency, and suitability for any particular purpose of any information in this report. </w:t>
      </w:r>
    </w:p>
    <w:p w14:paraId="152DDBAA" w14:textId="77777777" w:rsidR="004A3BF6" w:rsidRPr="00310D1F" w:rsidRDefault="004A3BF6" w:rsidP="004A3BF6">
      <w:pPr>
        <w:pStyle w:val="BGNormal125"/>
        <w:rPr>
          <w:rFonts w:ascii="Calibri" w:hAnsi="Calibri" w:cs="Calibri"/>
          <w:color w:val="auto"/>
          <w:sz w:val="22"/>
          <w:szCs w:val="22"/>
        </w:rPr>
      </w:pPr>
      <w:r w:rsidRPr="00310D1F">
        <w:rPr>
          <w:rFonts w:ascii="Calibri" w:hAnsi="Calibri" w:cs="Calibri"/>
          <w:color w:val="auto"/>
          <w:sz w:val="22"/>
          <w:szCs w:val="22"/>
        </w:rPr>
        <w:t>Furthermore, this report is not intended nor should it be read as either comprehensive or fully applicable to any specific opportunity in the ERCOT market, as all opportunities have idiosyncratic features that will be impacted by actual market conditions.  Readers of this report should seek independent expert advice regarding any information in this report and any conclusions that could be drawn from this report. The report itself in no way offers to serve as a substitute for such independent expert advice.</w:t>
      </w:r>
    </w:p>
    <w:p w14:paraId="1B50D377" w14:textId="065CCDF1" w:rsidR="004A3BF6" w:rsidRPr="00310D1F" w:rsidRDefault="004A3BF6" w:rsidP="004A3BF6">
      <w:pPr>
        <w:pStyle w:val="BGNormal125"/>
        <w:rPr>
          <w:rFonts w:ascii="Calibri" w:hAnsi="Calibri" w:cs="Calibri"/>
          <w:color w:val="auto"/>
          <w:sz w:val="22"/>
          <w:szCs w:val="22"/>
        </w:rPr>
      </w:pPr>
      <w:r w:rsidRPr="00310D1F">
        <w:rPr>
          <w:rFonts w:ascii="Calibri" w:hAnsi="Calibri" w:cs="Calibri"/>
          <w:color w:val="auto"/>
          <w:sz w:val="22"/>
          <w:szCs w:val="22"/>
        </w:rPr>
        <w:t xml:space="preserve">To the fullest extent permitted by law, Astrapé Consulting and ERCOT, along with their respective directors, officers, and employees, shall not be liable for any errors, omissions, defects, or misrepresentations in the information contained in this report, whether intentional or unintentional, or for any loss or damage suffered by persons who use or rely on such information or any conclusions that could be drawn from the report that turn out to be inaccurate (including by reason of negligence, negligent misstatement, or otherwise).  </w:t>
      </w:r>
    </w:p>
    <w:p w14:paraId="06CD3362" w14:textId="77777777" w:rsidR="004A3BF6" w:rsidRPr="00310D1F" w:rsidRDefault="004A3BF6" w:rsidP="004A3BF6">
      <w:pPr>
        <w:pStyle w:val="BGNormal125"/>
        <w:rPr>
          <w:rFonts w:ascii="Calibri" w:hAnsi="Calibri" w:cs="Calibri"/>
          <w:color w:val="auto"/>
          <w:sz w:val="22"/>
          <w:szCs w:val="22"/>
        </w:rPr>
      </w:pPr>
      <w:r w:rsidRPr="00310D1F">
        <w:rPr>
          <w:rFonts w:ascii="Calibri" w:hAnsi="Calibri" w:cs="Calibri"/>
          <w:color w:val="auto"/>
          <w:sz w:val="22"/>
          <w:szCs w:val="22"/>
        </w:rPr>
        <w:t xml:space="preserve">By reviewing this report, the reader agrees to accept the terms of this disclaimer.  </w:t>
      </w:r>
    </w:p>
    <w:p w14:paraId="0938DE18" w14:textId="0882A023" w:rsidR="004A3BF6" w:rsidRPr="00310D1F" w:rsidRDefault="004A3BF6" w:rsidP="004A3BF6">
      <w:pPr>
        <w:pStyle w:val="BGAcknowledgement"/>
        <w:spacing w:before="160"/>
        <w:rPr>
          <w:rFonts w:ascii="Calibri" w:hAnsi="Calibri" w:cs="Calibri"/>
          <w:color w:val="auto"/>
          <w:sz w:val="22"/>
          <w:szCs w:val="22"/>
        </w:rPr>
      </w:pPr>
      <w:r w:rsidRPr="00310D1F">
        <w:rPr>
          <w:rFonts w:ascii="Calibri" w:hAnsi="Calibri" w:cs="Calibri"/>
          <w:i/>
          <w:color w:val="auto"/>
          <w:sz w:val="22"/>
          <w:szCs w:val="22"/>
        </w:rPr>
        <w:t xml:space="preserve">Acknowledgement: </w:t>
      </w:r>
      <w:r w:rsidRPr="00310D1F">
        <w:rPr>
          <w:rFonts w:ascii="Calibri" w:hAnsi="Calibri" w:cs="Calibri"/>
          <w:color w:val="auto"/>
          <w:sz w:val="22"/>
          <w:szCs w:val="22"/>
        </w:rPr>
        <w:t xml:space="preserve">We acknowledge the valuable contributions of many individuals to this report and to the underlying analysis, including </w:t>
      </w:r>
      <w:r w:rsidR="00B60282" w:rsidRPr="00310D1F">
        <w:rPr>
          <w:rFonts w:ascii="Calibri" w:hAnsi="Calibri" w:cs="Calibri"/>
          <w:color w:val="auto"/>
          <w:sz w:val="22"/>
          <w:szCs w:val="22"/>
        </w:rPr>
        <w:t>peer review and input offered by ERCOT staff</w:t>
      </w:r>
      <w:r w:rsidR="00952C07">
        <w:rPr>
          <w:rFonts w:ascii="Calibri" w:hAnsi="Calibri" w:cs="Calibri"/>
          <w:color w:val="auto"/>
          <w:sz w:val="22"/>
          <w:szCs w:val="22"/>
        </w:rPr>
        <w:t xml:space="preserve"> and</w:t>
      </w:r>
      <w:r w:rsidR="00B60282" w:rsidRPr="00310D1F">
        <w:rPr>
          <w:rFonts w:ascii="Calibri" w:hAnsi="Calibri" w:cs="Calibri"/>
          <w:color w:val="auto"/>
          <w:sz w:val="22"/>
          <w:szCs w:val="22"/>
        </w:rPr>
        <w:t xml:space="preserve"> members of the ERCOT stakeholder groups.</w:t>
      </w:r>
      <w:r w:rsidRPr="00310D1F">
        <w:rPr>
          <w:rFonts w:ascii="Calibri" w:hAnsi="Calibri" w:cs="Calibri"/>
          <w:color w:val="auto"/>
          <w:sz w:val="22"/>
          <w:szCs w:val="22"/>
        </w:rPr>
        <w:t xml:space="preserve"> </w:t>
      </w:r>
      <w:r w:rsidR="00952C07">
        <w:rPr>
          <w:rFonts w:ascii="Calibri" w:hAnsi="Calibri" w:cs="Calibri"/>
          <w:color w:val="auto"/>
          <w:sz w:val="22"/>
          <w:szCs w:val="22"/>
        </w:rPr>
        <w:t xml:space="preserve"> </w:t>
      </w:r>
      <w:r w:rsidRPr="00310D1F">
        <w:rPr>
          <w:rFonts w:ascii="Calibri" w:hAnsi="Calibri" w:cs="Calibri"/>
          <w:color w:val="auto"/>
          <w:sz w:val="22"/>
          <w:szCs w:val="22"/>
        </w:rPr>
        <w:t xml:space="preserve">In particular, we would like to acknowledge the analytical, technical, and conceptual contributions of </w:t>
      </w:r>
      <w:r w:rsidR="007B2C10" w:rsidRPr="004A168A">
        <w:rPr>
          <w:rFonts w:ascii="Calibri" w:hAnsi="Calibri" w:cs="Calibri"/>
          <w:color w:val="auto"/>
          <w:sz w:val="22"/>
          <w:szCs w:val="22"/>
        </w:rPr>
        <w:t>Julie Jin</w:t>
      </w:r>
      <w:r w:rsidR="007B2C10">
        <w:rPr>
          <w:rFonts w:ascii="Calibri" w:hAnsi="Calibri" w:cs="Calibri"/>
          <w:color w:val="auto"/>
          <w:sz w:val="22"/>
          <w:szCs w:val="22"/>
        </w:rPr>
        <w:t xml:space="preserve">, </w:t>
      </w:r>
      <w:r w:rsidR="007B2C10" w:rsidRPr="004A168A">
        <w:rPr>
          <w:rFonts w:ascii="Calibri" w:hAnsi="Calibri" w:cs="Calibri"/>
          <w:color w:val="auto"/>
          <w:sz w:val="22"/>
          <w:szCs w:val="22"/>
        </w:rPr>
        <w:t>Kevin Hanson</w:t>
      </w:r>
      <w:r w:rsidR="007B2C10">
        <w:rPr>
          <w:rFonts w:ascii="Calibri" w:hAnsi="Calibri" w:cs="Calibri"/>
          <w:color w:val="auto"/>
          <w:sz w:val="22"/>
          <w:szCs w:val="22"/>
        </w:rPr>
        <w:t xml:space="preserve"> and</w:t>
      </w:r>
      <w:r w:rsidR="007B2C10" w:rsidRPr="007B2C10">
        <w:rPr>
          <w:rFonts w:ascii="Calibri" w:hAnsi="Calibri" w:cs="Calibri"/>
          <w:color w:val="auto"/>
          <w:sz w:val="22"/>
          <w:szCs w:val="22"/>
        </w:rPr>
        <w:t xml:space="preserve"> </w:t>
      </w:r>
      <w:r w:rsidRPr="00310D1F">
        <w:rPr>
          <w:rFonts w:ascii="Calibri" w:hAnsi="Calibri" w:cs="Calibri"/>
          <w:color w:val="auto"/>
          <w:sz w:val="22"/>
          <w:szCs w:val="22"/>
        </w:rPr>
        <w:t>Peter Warnken.</w:t>
      </w:r>
      <w:r w:rsidR="00952C07">
        <w:rPr>
          <w:rFonts w:ascii="Calibri" w:hAnsi="Calibri" w:cs="Calibri"/>
          <w:color w:val="auto"/>
          <w:sz w:val="22"/>
          <w:szCs w:val="22"/>
        </w:rPr>
        <w:t xml:space="preserve"> We are deeply indebted to the Brattle Group for developing the framework for addressing many off the topics covered in the report and would like to acknowledge the input and review for this report from Kathleen Spees, Sam Newell and Michael Hagerty.</w:t>
      </w:r>
    </w:p>
    <w:p w14:paraId="52157CC4" w14:textId="05C2FC05" w:rsidR="004A3BF6" w:rsidRPr="00107FB9" w:rsidRDefault="004A3BF6" w:rsidP="009D2856"/>
    <w:p w14:paraId="244AEDC3" w14:textId="0E26809F" w:rsidR="009D5510" w:rsidRDefault="009D5510" w:rsidP="009D2856"/>
    <w:p w14:paraId="76210B95" w14:textId="6CC63954" w:rsidR="009D5510" w:rsidRDefault="009D5510" w:rsidP="009D2856"/>
    <w:p w14:paraId="0B92426E" w14:textId="050B33A1" w:rsidR="009D5510" w:rsidRDefault="009D5510" w:rsidP="009D2856"/>
    <w:p w14:paraId="19C86DC6" w14:textId="392806F1" w:rsidR="009D5510" w:rsidRDefault="009D5510" w:rsidP="009D2856"/>
    <w:p w14:paraId="4F9F265D" w14:textId="278F9D52" w:rsidR="009D5510" w:rsidRDefault="009D5510" w:rsidP="009D2856"/>
    <w:p w14:paraId="4B931CF8" w14:textId="77777777" w:rsidR="009D5510" w:rsidRDefault="009D5510" w:rsidP="009D2856"/>
    <w:p w14:paraId="11C88BE3" w14:textId="55AB41E1" w:rsidR="0085211C" w:rsidRDefault="0085211C" w:rsidP="009D2856"/>
    <w:sdt>
      <w:sdtPr>
        <w:rPr>
          <w:rFonts w:ascii="Calibri" w:eastAsiaTheme="minorHAnsi" w:hAnsi="Calibri" w:cstheme="minorBidi"/>
          <w:b w:val="0"/>
          <w:color w:val="auto"/>
          <w:kern w:val="24"/>
          <w:sz w:val="22"/>
          <w:szCs w:val="22"/>
        </w:rPr>
        <w:id w:val="73337568"/>
        <w:docPartObj>
          <w:docPartGallery w:val="Table of Contents"/>
          <w:docPartUnique/>
        </w:docPartObj>
      </w:sdtPr>
      <w:sdtEndPr>
        <w:rPr>
          <w:bCs/>
          <w:noProof/>
        </w:rPr>
      </w:sdtEndPr>
      <w:sdtContent>
        <w:p w14:paraId="08EC2FD8" w14:textId="0C77D444" w:rsidR="004A3BF6" w:rsidRPr="004A3BF6" w:rsidRDefault="004A3BF6">
          <w:pPr>
            <w:pStyle w:val="TOCHeading"/>
            <w:rPr>
              <w:sz w:val="28"/>
              <w:szCs w:val="28"/>
            </w:rPr>
          </w:pPr>
          <w:r>
            <w:rPr>
              <w:sz w:val="28"/>
              <w:szCs w:val="28"/>
            </w:rPr>
            <w:t>TABLE OF CONTENTS</w:t>
          </w:r>
        </w:p>
        <w:p w14:paraId="7871AAF9" w14:textId="5C605969" w:rsidR="00A663C5" w:rsidRPr="002A2715" w:rsidRDefault="004A3BF6" w:rsidP="002A2715">
          <w:pPr>
            <w:pStyle w:val="TOC1"/>
            <w:spacing w:after="0" w:line="360" w:lineRule="auto"/>
            <w:rPr>
              <w:rFonts w:eastAsiaTheme="minorEastAsia" w:cs="Calibri"/>
              <w:b w:val="0"/>
              <w:bCs/>
              <w:caps w:val="0"/>
              <w:noProof/>
              <w:color w:val="auto"/>
              <w:kern w:val="0"/>
              <w:sz w:val="22"/>
              <w:szCs w:val="22"/>
            </w:rPr>
          </w:pPr>
          <w:r w:rsidRPr="002A2715">
            <w:rPr>
              <w:rFonts w:cs="Calibri"/>
              <w:b w:val="0"/>
              <w:bCs/>
              <w:sz w:val="22"/>
              <w:szCs w:val="22"/>
            </w:rPr>
            <w:fldChar w:fldCharType="begin"/>
          </w:r>
          <w:r w:rsidRPr="002A2715">
            <w:rPr>
              <w:rFonts w:cs="Calibri"/>
              <w:b w:val="0"/>
              <w:bCs/>
              <w:sz w:val="22"/>
              <w:szCs w:val="22"/>
            </w:rPr>
            <w:instrText xml:space="preserve"> TOC \o "1-3" \h \z \u </w:instrText>
          </w:r>
          <w:r w:rsidRPr="002A2715">
            <w:rPr>
              <w:rFonts w:cs="Calibri"/>
              <w:b w:val="0"/>
              <w:bCs/>
              <w:sz w:val="22"/>
              <w:szCs w:val="22"/>
            </w:rPr>
            <w:fldChar w:fldCharType="separate"/>
          </w:r>
          <w:hyperlink w:anchor="_Toc57193550" w:history="1">
            <w:r w:rsidR="00A663C5" w:rsidRPr="002A2715">
              <w:rPr>
                <w:rStyle w:val="Hyperlink"/>
                <w:rFonts w:cs="Calibri"/>
                <w:b w:val="0"/>
                <w:bCs/>
                <w:noProof/>
                <w:sz w:val="22"/>
                <w:szCs w:val="22"/>
              </w:rPr>
              <w:t>EXECUTIVE SUMMARY</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_Toc57193550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5</w:t>
            </w:r>
            <w:r w:rsidR="00A663C5" w:rsidRPr="002A2715">
              <w:rPr>
                <w:rFonts w:cs="Calibri"/>
                <w:b w:val="0"/>
                <w:bCs/>
                <w:noProof/>
                <w:webHidden/>
                <w:sz w:val="22"/>
                <w:szCs w:val="22"/>
              </w:rPr>
              <w:fldChar w:fldCharType="end"/>
            </w:r>
          </w:hyperlink>
        </w:p>
        <w:p w14:paraId="3BB91356" w14:textId="4B99AB47" w:rsidR="00A663C5" w:rsidRPr="002A2715" w:rsidRDefault="00B4381F" w:rsidP="002A2715">
          <w:pPr>
            <w:pStyle w:val="TOC1"/>
            <w:tabs>
              <w:tab w:val="left" w:pos="567"/>
            </w:tabs>
            <w:spacing w:before="0" w:after="0" w:line="360" w:lineRule="auto"/>
            <w:rPr>
              <w:rFonts w:eastAsiaTheme="minorEastAsia" w:cs="Calibri"/>
              <w:b w:val="0"/>
              <w:bCs/>
              <w:caps w:val="0"/>
              <w:noProof/>
              <w:color w:val="auto"/>
              <w:kern w:val="0"/>
              <w:sz w:val="22"/>
              <w:szCs w:val="22"/>
            </w:rPr>
          </w:pPr>
          <w:hyperlink w:anchor="_Toc57193551" w:history="1">
            <w:r w:rsidR="00A663C5" w:rsidRPr="002A2715">
              <w:rPr>
                <w:rStyle w:val="Hyperlink"/>
                <w:rFonts w:cs="Calibri"/>
                <w:b w:val="0"/>
                <w:bCs/>
                <w:noProof/>
                <w:sz w:val="22"/>
                <w:szCs w:val="22"/>
              </w:rPr>
              <w:t>I.</w:t>
            </w:r>
            <w:r w:rsidR="00A663C5" w:rsidRPr="002A2715">
              <w:rPr>
                <w:rFonts w:eastAsiaTheme="minorEastAsia" w:cs="Calibri"/>
                <w:b w:val="0"/>
                <w:bCs/>
                <w:caps w:val="0"/>
                <w:noProof/>
                <w:color w:val="auto"/>
                <w:kern w:val="0"/>
                <w:sz w:val="22"/>
                <w:szCs w:val="22"/>
              </w:rPr>
              <w:tab/>
            </w:r>
            <w:r w:rsidR="00A663C5" w:rsidRPr="002A2715">
              <w:rPr>
                <w:rStyle w:val="Hyperlink"/>
                <w:rFonts w:cs="Calibri"/>
                <w:b w:val="0"/>
                <w:bCs/>
                <w:noProof/>
                <w:sz w:val="22"/>
                <w:szCs w:val="22"/>
              </w:rPr>
              <w:t>Background and Context</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_Toc57193551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16</w:t>
            </w:r>
            <w:r w:rsidR="00A663C5" w:rsidRPr="002A2715">
              <w:rPr>
                <w:rFonts w:cs="Calibri"/>
                <w:b w:val="0"/>
                <w:bCs/>
                <w:noProof/>
                <w:webHidden/>
                <w:sz w:val="22"/>
                <w:szCs w:val="22"/>
              </w:rPr>
              <w:fldChar w:fldCharType="end"/>
            </w:r>
          </w:hyperlink>
        </w:p>
        <w:p w14:paraId="46278DE7" w14:textId="773489AB" w:rsidR="00A663C5" w:rsidRPr="002A2715" w:rsidRDefault="00B4381F" w:rsidP="002A2715">
          <w:pPr>
            <w:pStyle w:val="TOC1"/>
            <w:tabs>
              <w:tab w:val="left" w:pos="567"/>
            </w:tabs>
            <w:spacing w:before="0" w:after="0" w:line="360" w:lineRule="auto"/>
            <w:rPr>
              <w:rFonts w:eastAsiaTheme="minorEastAsia" w:cs="Calibri"/>
              <w:b w:val="0"/>
              <w:bCs/>
              <w:caps w:val="0"/>
              <w:noProof/>
              <w:color w:val="auto"/>
              <w:kern w:val="0"/>
              <w:sz w:val="22"/>
              <w:szCs w:val="22"/>
            </w:rPr>
          </w:pPr>
          <w:hyperlink w:anchor="_Toc57193552" w:history="1">
            <w:r w:rsidR="00A663C5" w:rsidRPr="002A2715">
              <w:rPr>
                <w:rStyle w:val="Hyperlink"/>
                <w:rFonts w:cs="Calibri"/>
                <w:b w:val="0"/>
                <w:bCs/>
                <w:noProof/>
                <w:sz w:val="22"/>
                <w:szCs w:val="22"/>
              </w:rPr>
              <w:t>II.</w:t>
            </w:r>
            <w:r w:rsidR="00A663C5" w:rsidRPr="002A2715">
              <w:rPr>
                <w:rFonts w:eastAsiaTheme="minorEastAsia" w:cs="Calibri"/>
                <w:b w:val="0"/>
                <w:bCs/>
                <w:caps w:val="0"/>
                <w:noProof/>
                <w:color w:val="auto"/>
                <w:kern w:val="0"/>
                <w:sz w:val="22"/>
                <w:szCs w:val="22"/>
              </w:rPr>
              <w:tab/>
            </w:r>
            <w:r w:rsidR="00A663C5" w:rsidRPr="002A2715">
              <w:rPr>
                <w:rStyle w:val="Hyperlink"/>
                <w:rFonts w:cs="Calibri"/>
                <w:b w:val="0"/>
                <w:bCs/>
                <w:noProof/>
                <w:sz w:val="22"/>
                <w:szCs w:val="22"/>
              </w:rPr>
              <w:t>Study Assumptions and Approach</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_Toc57193552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18</w:t>
            </w:r>
            <w:r w:rsidR="00A663C5" w:rsidRPr="002A2715">
              <w:rPr>
                <w:rFonts w:cs="Calibri"/>
                <w:b w:val="0"/>
                <w:bCs/>
                <w:noProof/>
                <w:webHidden/>
                <w:sz w:val="22"/>
                <w:szCs w:val="22"/>
              </w:rPr>
              <w:fldChar w:fldCharType="end"/>
            </w:r>
          </w:hyperlink>
        </w:p>
        <w:p w14:paraId="767BB194" w14:textId="441EBAEA" w:rsidR="00A663C5" w:rsidRPr="002A2715" w:rsidRDefault="00B4381F" w:rsidP="002A2715">
          <w:pPr>
            <w:pStyle w:val="TOC2"/>
            <w:spacing w:after="0" w:line="360" w:lineRule="auto"/>
            <w:rPr>
              <w:rFonts w:eastAsiaTheme="minorEastAsia" w:cs="Calibri"/>
              <w:color w:val="auto"/>
              <w:kern w:val="0"/>
              <w:szCs w:val="22"/>
            </w:rPr>
          </w:pPr>
          <w:hyperlink w:anchor="_Toc57193553" w:history="1">
            <w:r w:rsidR="00A663C5" w:rsidRPr="002A2715">
              <w:rPr>
                <w:rStyle w:val="Hyperlink"/>
                <w:rFonts w:cs="Calibri"/>
                <w:bCs/>
                <w:szCs w:val="22"/>
              </w:rPr>
              <w:t>A.</w:t>
            </w:r>
            <w:r w:rsidR="00A663C5" w:rsidRPr="002A2715">
              <w:rPr>
                <w:rFonts w:eastAsiaTheme="minorEastAsia" w:cs="Calibri"/>
                <w:color w:val="auto"/>
                <w:kern w:val="0"/>
                <w:szCs w:val="22"/>
              </w:rPr>
              <w:tab/>
            </w:r>
            <w:r w:rsidR="00A663C5" w:rsidRPr="002A2715">
              <w:rPr>
                <w:rStyle w:val="Hyperlink"/>
                <w:rFonts w:cs="Calibri"/>
                <w:bCs/>
                <w:szCs w:val="22"/>
              </w:rPr>
              <w:t>Modeling Framework</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_Toc57193553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18</w:t>
            </w:r>
            <w:r w:rsidR="00A663C5" w:rsidRPr="002A2715">
              <w:rPr>
                <w:rFonts w:cs="Calibri"/>
                <w:webHidden/>
                <w:szCs w:val="22"/>
              </w:rPr>
              <w:fldChar w:fldCharType="end"/>
            </w:r>
          </w:hyperlink>
        </w:p>
        <w:p w14:paraId="025872BB" w14:textId="09E8483B" w:rsidR="00A663C5" w:rsidRPr="002A2715" w:rsidRDefault="00B4381F" w:rsidP="002A2715">
          <w:pPr>
            <w:pStyle w:val="TOC2"/>
            <w:spacing w:after="0" w:line="360" w:lineRule="auto"/>
            <w:rPr>
              <w:rFonts w:eastAsiaTheme="minorEastAsia" w:cs="Calibri"/>
              <w:color w:val="auto"/>
              <w:kern w:val="0"/>
              <w:szCs w:val="22"/>
            </w:rPr>
          </w:pPr>
          <w:hyperlink w:anchor="_Toc57193554" w:history="1">
            <w:r w:rsidR="00A663C5" w:rsidRPr="002A2715">
              <w:rPr>
                <w:rStyle w:val="Hyperlink"/>
                <w:rFonts w:cs="Calibri"/>
                <w:bCs/>
                <w:szCs w:val="22"/>
              </w:rPr>
              <w:t>B.</w:t>
            </w:r>
            <w:r w:rsidR="00A663C5" w:rsidRPr="002A2715">
              <w:rPr>
                <w:rFonts w:eastAsiaTheme="minorEastAsia" w:cs="Calibri"/>
                <w:color w:val="auto"/>
                <w:kern w:val="0"/>
                <w:szCs w:val="22"/>
              </w:rPr>
              <w:tab/>
            </w:r>
            <w:r w:rsidR="00A663C5" w:rsidRPr="002A2715">
              <w:rPr>
                <w:rStyle w:val="Hyperlink"/>
                <w:rFonts w:cs="Calibri"/>
                <w:bCs/>
                <w:szCs w:val="22"/>
              </w:rPr>
              <w:t>Primary Inputs</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_Toc57193554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19</w:t>
            </w:r>
            <w:r w:rsidR="00A663C5" w:rsidRPr="002A2715">
              <w:rPr>
                <w:rFonts w:cs="Calibri"/>
                <w:webHidden/>
                <w:szCs w:val="22"/>
              </w:rPr>
              <w:fldChar w:fldCharType="end"/>
            </w:r>
          </w:hyperlink>
        </w:p>
        <w:p w14:paraId="16361C12" w14:textId="4DBEA59B" w:rsidR="00A663C5" w:rsidRPr="002A2715" w:rsidRDefault="00B4381F" w:rsidP="002A2715">
          <w:pPr>
            <w:pStyle w:val="TOC2"/>
            <w:spacing w:after="0" w:line="360" w:lineRule="auto"/>
            <w:rPr>
              <w:rFonts w:eastAsiaTheme="minorEastAsia" w:cs="Calibri"/>
              <w:color w:val="auto"/>
              <w:kern w:val="0"/>
              <w:szCs w:val="22"/>
            </w:rPr>
          </w:pPr>
          <w:hyperlink w:anchor="_Toc57193555" w:history="1">
            <w:r w:rsidR="00A663C5" w:rsidRPr="002A2715">
              <w:rPr>
                <w:rStyle w:val="Hyperlink"/>
                <w:rFonts w:cs="Calibri"/>
                <w:bCs/>
                <w:szCs w:val="22"/>
              </w:rPr>
              <w:t>A.</w:t>
            </w:r>
            <w:r w:rsidR="00A663C5" w:rsidRPr="002A2715">
              <w:rPr>
                <w:rFonts w:eastAsiaTheme="minorEastAsia" w:cs="Calibri"/>
                <w:color w:val="auto"/>
                <w:kern w:val="0"/>
                <w:szCs w:val="22"/>
              </w:rPr>
              <w:tab/>
            </w:r>
            <w:r w:rsidR="00A663C5" w:rsidRPr="002A2715">
              <w:rPr>
                <w:rStyle w:val="Hyperlink"/>
                <w:rFonts w:cs="Calibri"/>
                <w:bCs/>
                <w:szCs w:val="22"/>
              </w:rPr>
              <w:t>Renewable Accounting</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_Toc57193555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22</w:t>
            </w:r>
            <w:r w:rsidR="00A663C5" w:rsidRPr="002A2715">
              <w:rPr>
                <w:rFonts w:cs="Calibri"/>
                <w:webHidden/>
                <w:szCs w:val="22"/>
              </w:rPr>
              <w:fldChar w:fldCharType="end"/>
            </w:r>
          </w:hyperlink>
        </w:p>
        <w:p w14:paraId="34DF917E" w14:textId="59211EA8" w:rsidR="00A663C5" w:rsidRPr="002A2715" w:rsidRDefault="00B4381F" w:rsidP="002A2715">
          <w:pPr>
            <w:pStyle w:val="TOC2"/>
            <w:spacing w:after="0" w:line="360" w:lineRule="auto"/>
            <w:rPr>
              <w:rFonts w:eastAsiaTheme="minorEastAsia" w:cs="Calibri"/>
              <w:color w:val="auto"/>
              <w:kern w:val="0"/>
              <w:szCs w:val="22"/>
            </w:rPr>
          </w:pPr>
          <w:hyperlink w:anchor="_Toc57193556" w:history="1">
            <w:r w:rsidR="00A663C5" w:rsidRPr="002A2715">
              <w:rPr>
                <w:rStyle w:val="Hyperlink"/>
                <w:rFonts w:cs="Calibri"/>
                <w:bCs/>
                <w:szCs w:val="22"/>
              </w:rPr>
              <w:t>B.</w:t>
            </w:r>
            <w:r w:rsidR="00A663C5" w:rsidRPr="002A2715">
              <w:rPr>
                <w:rFonts w:eastAsiaTheme="minorEastAsia" w:cs="Calibri"/>
                <w:color w:val="auto"/>
                <w:kern w:val="0"/>
                <w:szCs w:val="22"/>
              </w:rPr>
              <w:tab/>
            </w:r>
            <w:r w:rsidR="00A663C5" w:rsidRPr="002A2715">
              <w:rPr>
                <w:rStyle w:val="Hyperlink"/>
                <w:rFonts w:cs="Calibri"/>
                <w:bCs/>
                <w:szCs w:val="22"/>
              </w:rPr>
              <w:t>Scarcity Pricing and Demand Response Modeling</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_Toc57193556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24</w:t>
            </w:r>
            <w:r w:rsidR="00A663C5" w:rsidRPr="002A2715">
              <w:rPr>
                <w:rFonts w:cs="Calibri"/>
                <w:webHidden/>
                <w:szCs w:val="22"/>
              </w:rPr>
              <w:fldChar w:fldCharType="end"/>
            </w:r>
          </w:hyperlink>
        </w:p>
        <w:p w14:paraId="7FDD6D08" w14:textId="5C82DA9D" w:rsidR="00A663C5" w:rsidRPr="002A2715" w:rsidRDefault="00B4381F" w:rsidP="002A2715">
          <w:pPr>
            <w:pStyle w:val="TOC2"/>
            <w:spacing w:after="0" w:line="360" w:lineRule="auto"/>
            <w:rPr>
              <w:rFonts w:eastAsiaTheme="minorEastAsia" w:cs="Calibri"/>
              <w:color w:val="auto"/>
              <w:kern w:val="0"/>
              <w:szCs w:val="22"/>
            </w:rPr>
          </w:pPr>
          <w:hyperlink w:anchor="_Toc57193557" w:history="1">
            <w:r w:rsidR="00A663C5" w:rsidRPr="002A2715">
              <w:rPr>
                <w:rStyle w:val="Hyperlink"/>
                <w:rFonts w:cs="Calibri"/>
                <w:bCs/>
                <w:szCs w:val="22"/>
              </w:rPr>
              <w:t>C.</w:t>
            </w:r>
            <w:r w:rsidR="00A663C5" w:rsidRPr="002A2715">
              <w:rPr>
                <w:rFonts w:eastAsiaTheme="minorEastAsia" w:cs="Calibri"/>
                <w:color w:val="auto"/>
                <w:kern w:val="0"/>
                <w:szCs w:val="22"/>
              </w:rPr>
              <w:tab/>
            </w:r>
            <w:r w:rsidR="00A663C5" w:rsidRPr="002A2715">
              <w:rPr>
                <w:rStyle w:val="Hyperlink"/>
                <w:rFonts w:cs="Calibri"/>
                <w:bCs/>
                <w:szCs w:val="22"/>
              </w:rPr>
              <w:t>Study Sensitivities and Scenarios</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_Toc57193557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25</w:t>
            </w:r>
            <w:r w:rsidR="00A663C5" w:rsidRPr="002A2715">
              <w:rPr>
                <w:rFonts w:cs="Calibri"/>
                <w:webHidden/>
                <w:szCs w:val="22"/>
              </w:rPr>
              <w:fldChar w:fldCharType="end"/>
            </w:r>
          </w:hyperlink>
        </w:p>
        <w:p w14:paraId="6CACB913" w14:textId="6E9BD3AF" w:rsidR="00A663C5" w:rsidRPr="002A2715" w:rsidRDefault="00B4381F" w:rsidP="002A2715">
          <w:pPr>
            <w:pStyle w:val="TOC2"/>
            <w:spacing w:after="0" w:line="360" w:lineRule="auto"/>
            <w:rPr>
              <w:rFonts w:eastAsiaTheme="minorEastAsia" w:cs="Calibri"/>
              <w:color w:val="auto"/>
              <w:kern w:val="0"/>
              <w:szCs w:val="22"/>
            </w:rPr>
          </w:pPr>
          <w:hyperlink w:anchor="_Toc57193558" w:history="1">
            <w:r w:rsidR="00A663C5" w:rsidRPr="002A2715">
              <w:rPr>
                <w:rStyle w:val="Hyperlink"/>
                <w:rFonts w:cs="Calibri"/>
                <w:bCs/>
                <w:szCs w:val="22"/>
              </w:rPr>
              <w:t>D.</w:t>
            </w:r>
            <w:r w:rsidR="00A663C5" w:rsidRPr="002A2715">
              <w:rPr>
                <w:rFonts w:eastAsiaTheme="minorEastAsia" w:cs="Calibri"/>
                <w:color w:val="auto"/>
                <w:kern w:val="0"/>
                <w:szCs w:val="22"/>
              </w:rPr>
              <w:tab/>
            </w:r>
            <w:r w:rsidR="00A663C5" w:rsidRPr="002A2715">
              <w:rPr>
                <w:rStyle w:val="Hyperlink"/>
                <w:rFonts w:cs="Calibri"/>
                <w:bCs/>
                <w:szCs w:val="22"/>
              </w:rPr>
              <w:t>Model Validation</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_Toc57193558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27</w:t>
            </w:r>
            <w:r w:rsidR="00A663C5" w:rsidRPr="002A2715">
              <w:rPr>
                <w:rFonts w:cs="Calibri"/>
                <w:webHidden/>
                <w:szCs w:val="22"/>
              </w:rPr>
              <w:fldChar w:fldCharType="end"/>
            </w:r>
          </w:hyperlink>
        </w:p>
        <w:p w14:paraId="394500C5" w14:textId="7484BFD5" w:rsidR="00A663C5" w:rsidRPr="002A2715" w:rsidRDefault="00B4381F" w:rsidP="002A2715">
          <w:pPr>
            <w:pStyle w:val="TOC1"/>
            <w:tabs>
              <w:tab w:val="left" w:pos="567"/>
            </w:tabs>
            <w:spacing w:before="0" w:after="0" w:line="360" w:lineRule="auto"/>
            <w:rPr>
              <w:rFonts w:eastAsiaTheme="minorEastAsia" w:cs="Calibri"/>
              <w:b w:val="0"/>
              <w:bCs/>
              <w:caps w:val="0"/>
              <w:noProof/>
              <w:color w:val="auto"/>
              <w:kern w:val="0"/>
              <w:sz w:val="22"/>
              <w:szCs w:val="22"/>
            </w:rPr>
          </w:pPr>
          <w:hyperlink w:anchor="_Toc57193559" w:history="1">
            <w:r w:rsidR="00A663C5" w:rsidRPr="002A2715">
              <w:rPr>
                <w:rStyle w:val="Hyperlink"/>
                <w:rFonts w:cs="Calibri"/>
                <w:b w:val="0"/>
                <w:bCs/>
                <w:noProof/>
                <w:sz w:val="22"/>
                <w:szCs w:val="22"/>
              </w:rPr>
              <w:t>III.</w:t>
            </w:r>
            <w:r w:rsidR="00A663C5" w:rsidRPr="002A2715">
              <w:rPr>
                <w:rFonts w:eastAsiaTheme="minorEastAsia" w:cs="Calibri"/>
                <w:b w:val="0"/>
                <w:bCs/>
                <w:caps w:val="0"/>
                <w:noProof/>
                <w:color w:val="auto"/>
                <w:kern w:val="0"/>
                <w:sz w:val="22"/>
                <w:szCs w:val="22"/>
              </w:rPr>
              <w:tab/>
            </w:r>
            <w:r w:rsidR="00A663C5" w:rsidRPr="002A2715">
              <w:rPr>
                <w:rStyle w:val="Hyperlink"/>
                <w:rFonts w:cs="Calibri"/>
                <w:b w:val="0"/>
                <w:bCs/>
                <w:noProof/>
                <w:sz w:val="22"/>
                <w:szCs w:val="22"/>
              </w:rPr>
              <w:t>Results</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_Toc57193559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30</w:t>
            </w:r>
            <w:r w:rsidR="00A663C5" w:rsidRPr="002A2715">
              <w:rPr>
                <w:rFonts w:cs="Calibri"/>
                <w:b w:val="0"/>
                <w:bCs/>
                <w:noProof/>
                <w:webHidden/>
                <w:sz w:val="22"/>
                <w:szCs w:val="22"/>
              </w:rPr>
              <w:fldChar w:fldCharType="end"/>
            </w:r>
          </w:hyperlink>
        </w:p>
        <w:p w14:paraId="273B4A94" w14:textId="68585595" w:rsidR="00A663C5" w:rsidRPr="002A2715" w:rsidRDefault="00B4381F" w:rsidP="002A2715">
          <w:pPr>
            <w:pStyle w:val="TOC2"/>
            <w:spacing w:after="0" w:line="360" w:lineRule="auto"/>
            <w:rPr>
              <w:rFonts w:eastAsiaTheme="minorEastAsia" w:cs="Calibri"/>
              <w:color w:val="auto"/>
              <w:kern w:val="0"/>
              <w:szCs w:val="22"/>
            </w:rPr>
          </w:pPr>
          <w:hyperlink w:anchor="_Toc57193560" w:history="1">
            <w:r w:rsidR="00A663C5" w:rsidRPr="002A2715">
              <w:rPr>
                <w:rStyle w:val="Hyperlink"/>
                <w:rFonts w:cs="Calibri"/>
                <w:bCs/>
                <w:szCs w:val="22"/>
              </w:rPr>
              <w:t>A.</w:t>
            </w:r>
            <w:r w:rsidR="00A663C5" w:rsidRPr="002A2715">
              <w:rPr>
                <w:rFonts w:eastAsiaTheme="minorEastAsia" w:cs="Calibri"/>
                <w:color w:val="auto"/>
                <w:kern w:val="0"/>
                <w:szCs w:val="22"/>
              </w:rPr>
              <w:tab/>
            </w:r>
            <w:r w:rsidR="00A663C5" w:rsidRPr="002A2715">
              <w:rPr>
                <w:rStyle w:val="Hyperlink"/>
                <w:rFonts w:cs="Calibri"/>
                <w:bCs/>
                <w:szCs w:val="22"/>
              </w:rPr>
              <w:t>Market Equilibrium Reserve Margin</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_Toc57193560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30</w:t>
            </w:r>
            <w:r w:rsidR="00A663C5" w:rsidRPr="002A2715">
              <w:rPr>
                <w:rFonts w:cs="Calibri"/>
                <w:webHidden/>
                <w:szCs w:val="22"/>
              </w:rPr>
              <w:fldChar w:fldCharType="end"/>
            </w:r>
          </w:hyperlink>
        </w:p>
        <w:p w14:paraId="28A8CE68" w14:textId="3CE80181"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61"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Average Equilibrium Reserve Margin</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_Toc57193561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30</w:t>
            </w:r>
            <w:r w:rsidR="00A663C5" w:rsidRPr="002A2715">
              <w:rPr>
                <w:rFonts w:cs="Calibri"/>
                <w:b w:val="0"/>
                <w:bCs/>
                <w:noProof/>
                <w:webHidden/>
                <w:szCs w:val="22"/>
              </w:rPr>
              <w:fldChar w:fldCharType="end"/>
            </w:r>
          </w:hyperlink>
        </w:p>
        <w:p w14:paraId="6F033FEC" w14:textId="157F47AE"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62"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Volatility in Realized Prices and Generator Revenues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_Toc57193562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31</w:t>
            </w:r>
            <w:r w:rsidR="00A663C5" w:rsidRPr="002A2715">
              <w:rPr>
                <w:rFonts w:cs="Calibri"/>
                <w:b w:val="0"/>
                <w:bCs/>
                <w:noProof/>
                <w:webHidden/>
                <w:szCs w:val="22"/>
              </w:rPr>
              <w:fldChar w:fldCharType="end"/>
            </w:r>
          </w:hyperlink>
        </w:p>
        <w:p w14:paraId="6AB84043" w14:textId="089FDB70"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63" w:history="1">
            <w:r w:rsidR="00A663C5" w:rsidRPr="002A2715">
              <w:rPr>
                <w:rStyle w:val="Hyperlink"/>
                <w:rFonts w:cs="Calibri"/>
                <w:b w:val="0"/>
                <w:bCs/>
                <w:noProof/>
                <w:szCs w:val="22"/>
              </w:rPr>
              <w:t>3.</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Year-to-Year Reserve Margin Variability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_Toc57193563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32</w:t>
            </w:r>
            <w:r w:rsidR="00A663C5" w:rsidRPr="002A2715">
              <w:rPr>
                <w:rFonts w:cs="Calibri"/>
                <w:b w:val="0"/>
                <w:bCs/>
                <w:noProof/>
                <w:webHidden/>
                <w:szCs w:val="22"/>
              </w:rPr>
              <w:fldChar w:fldCharType="end"/>
            </w:r>
          </w:hyperlink>
        </w:p>
        <w:p w14:paraId="39862A2D" w14:textId="325DE6C0"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64" w:history="1">
            <w:r w:rsidR="00A663C5" w:rsidRPr="002A2715">
              <w:rPr>
                <w:rStyle w:val="Hyperlink"/>
                <w:rFonts w:cs="Calibri"/>
                <w:b w:val="0"/>
                <w:bCs/>
                <w:noProof/>
                <w:szCs w:val="22"/>
              </w:rPr>
              <w:t>4.</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Comparison to 2018 Study Results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_Toc57193564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33</w:t>
            </w:r>
            <w:r w:rsidR="00A663C5" w:rsidRPr="002A2715">
              <w:rPr>
                <w:rFonts w:cs="Calibri"/>
                <w:b w:val="0"/>
                <w:bCs/>
                <w:noProof/>
                <w:webHidden/>
                <w:szCs w:val="22"/>
              </w:rPr>
              <w:fldChar w:fldCharType="end"/>
            </w:r>
          </w:hyperlink>
        </w:p>
        <w:p w14:paraId="6B0CC009" w14:textId="1B9151A4" w:rsidR="00A663C5" w:rsidRPr="002A2715" w:rsidRDefault="00B4381F" w:rsidP="002A2715">
          <w:pPr>
            <w:pStyle w:val="TOC2"/>
            <w:spacing w:after="0" w:line="360" w:lineRule="auto"/>
            <w:rPr>
              <w:rFonts w:eastAsiaTheme="minorEastAsia" w:cs="Calibri"/>
              <w:color w:val="auto"/>
              <w:kern w:val="0"/>
              <w:szCs w:val="22"/>
            </w:rPr>
          </w:pPr>
          <w:hyperlink w:anchor="_Toc57193565" w:history="1">
            <w:r w:rsidR="00A663C5" w:rsidRPr="002A2715">
              <w:rPr>
                <w:rStyle w:val="Hyperlink"/>
                <w:rFonts w:cs="Calibri"/>
                <w:bCs/>
                <w:szCs w:val="22"/>
              </w:rPr>
              <w:t>B.</w:t>
            </w:r>
            <w:r w:rsidR="00A663C5" w:rsidRPr="002A2715">
              <w:rPr>
                <w:rFonts w:eastAsiaTheme="minorEastAsia" w:cs="Calibri"/>
                <w:color w:val="auto"/>
                <w:kern w:val="0"/>
                <w:szCs w:val="22"/>
              </w:rPr>
              <w:tab/>
            </w:r>
            <w:r w:rsidR="00A663C5" w:rsidRPr="002A2715">
              <w:rPr>
                <w:rStyle w:val="Hyperlink"/>
                <w:rFonts w:cs="Calibri"/>
                <w:bCs/>
                <w:szCs w:val="22"/>
              </w:rPr>
              <w:t>Economically Optimal Reserve Margin</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_Toc57193565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34</w:t>
            </w:r>
            <w:r w:rsidR="00A663C5" w:rsidRPr="002A2715">
              <w:rPr>
                <w:rFonts w:cs="Calibri"/>
                <w:webHidden/>
                <w:szCs w:val="22"/>
              </w:rPr>
              <w:fldChar w:fldCharType="end"/>
            </w:r>
          </w:hyperlink>
        </w:p>
        <w:p w14:paraId="6330023E" w14:textId="50D9EF3A"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66"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System Cost-Minimizing Reserve Margin</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_Toc57193566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34</w:t>
            </w:r>
            <w:r w:rsidR="00A663C5" w:rsidRPr="002A2715">
              <w:rPr>
                <w:rFonts w:cs="Calibri"/>
                <w:b w:val="0"/>
                <w:bCs/>
                <w:noProof/>
                <w:webHidden/>
                <w:szCs w:val="22"/>
              </w:rPr>
              <w:fldChar w:fldCharType="end"/>
            </w:r>
          </w:hyperlink>
        </w:p>
        <w:p w14:paraId="43D2F0CB" w14:textId="68209392"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67"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Exposure to Extreme Scarcity Events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_Toc57193567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37</w:t>
            </w:r>
            <w:r w:rsidR="00A663C5" w:rsidRPr="002A2715">
              <w:rPr>
                <w:rFonts w:cs="Calibri"/>
                <w:b w:val="0"/>
                <w:bCs/>
                <w:noProof/>
                <w:webHidden/>
                <w:szCs w:val="22"/>
              </w:rPr>
              <w:fldChar w:fldCharType="end"/>
            </w:r>
          </w:hyperlink>
        </w:p>
        <w:p w14:paraId="0E6C87A5" w14:textId="5805BB42" w:rsidR="00A663C5" w:rsidRPr="002A2715" w:rsidRDefault="00B4381F" w:rsidP="002A2715">
          <w:pPr>
            <w:pStyle w:val="TOC2"/>
            <w:spacing w:after="0" w:line="360" w:lineRule="auto"/>
            <w:rPr>
              <w:rFonts w:eastAsiaTheme="minorEastAsia" w:cs="Calibri"/>
              <w:color w:val="auto"/>
              <w:kern w:val="0"/>
              <w:szCs w:val="22"/>
            </w:rPr>
          </w:pPr>
          <w:hyperlink w:anchor="_Toc57193568" w:history="1">
            <w:r w:rsidR="00A663C5" w:rsidRPr="002A2715">
              <w:rPr>
                <w:rStyle w:val="Hyperlink"/>
                <w:rFonts w:cs="Calibri"/>
                <w:bCs/>
                <w:szCs w:val="22"/>
              </w:rPr>
              <w:t>C.</w:t>
            </w:r>
            <w:r w:rsidR="00A663C5" w:rsidRPr="002A2715">
              <w:rPr>
                <w:rFonts w:eastAsiaTheme="minorEastAsia" w:cs="Calibri"/>
                <w:color w:val="auto"/>
                <w:kern w:val="0"/>
                <w:szCs w:val="22"/>
              </w:rPr>
              <w:tab/>
            </w:r>
            <w:r w:rsidR="00A663C5" w:rsidRPr="002A2715">
              <w:rPr>
                <w:rStyle w:val="Hyperlink"/>
                <w:rFonts w:cs="Calibri"/>
                <w:bCs/>
                <w:szCs w:val="22"/>
              </w:rPr>
              <w:t>System Reliability</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_Toc57193568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38</w:t>
            </w:r>
            <w:r w:rsidR="00A663C5" w:rsidRPr="002A2715">
              <w:rPr>
                <w:rFonts w:cs="Calibri"/>
                <w:webHidden/>
                <w:szCs w:val="22"/>
              </w:rPr>
              <w:fldChar w:fldCharType="end"/>
            </w:r>
          </w:hyperlink>
        </w:p>
        <w:p w14:paraId="749C8DFE" w14:textId="6235DB70"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69"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Physical Reliability Metrics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_Toc57193569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38</w:t>
            </w:r>
            <w:r w:rsidR="00A663C5" w:rsidRPr="002A2715">
              <w:rPr>
                <w:rFonts w:cs="Calibri"/>
                <w:b w:val="0"/>
                <w:bCs/>
                <w:noProof/>
                <w:webHidden/>
                <w:szCs w:val="22"/>
              </w:rPr>
              <w:fldChar w:fldCharType="end"/>
            </w:r>
          </w:hyperlink>
        </w:p>
        <w:p w14:paraId="35004D4C" w14:textId="7D635D2B"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70"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Emergency Event Frequency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_Toc57193570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41</w:t>
            </w:r>
            <w:r w:rsidR="00A663C5" w:rsidRPr="002A2715">
              <w:rPr>
                <w:rFonts w:cs="Calibri"/>
                <w:b w:val="0"/>
                <w:bCs/>
                <w:noProof/>
                <w:webHidden/>
                <w:szCs w:val="22"/>
              </w:rPr>
              <w:fldChar w:fldCharType="end"/>
            </w:r>
          </w:hyperlink>
        </w:p>
        <w:p w14:paraId="67A2388B" w14:textId="5CDBC9D8" w:rsidR="00A663C5" w:rsidRPr="002A2715" w:rsidRDefault="00B4381F" w:rsidP="002A2715">
          <w:pPr>
            <w:pStyle w:val="TOC2"/>
            <w:spacing w:after="0" w:line="360" w:lineRule="auto"/>
            <w:rPr>
              <w:rFonts w:eastAsiaTheme="minorEastAsia" w:cs="Calibri"/>
              <w:color w:val="auto"/>
              <w:kern w:val="0"/>
              <w:szCs w:val="22"/>
            </w:rPr>
          </w:pPr>
          <w:hyperlink w:anchor="_Toc57193571" w:history="1">
            <w:r w:rsidR="00A663C5" w:rsidRPr="002A2715">
              <w:rPr>
                <w:rStyle w:val="Hyperlink"/>
                <w:rFonts w:cs="Calibri"/>
                <w:bCs/>
                <w:szCs w:val="22"/>
              </w:rPr>
              <w:t>D.</w:t>
            </w:r>
            <w:r w:rsidR="00A663C5" w:rsidRPr="002A2715">
              <w:rPr>
                <w:rFonts w:eastAsiaTheme="minorEastAsia" w:cs="Calibri"/>
                <w:color w:val="auto"/>
                <w:kern w:val="0"/>
                <w:szCs w:val="22"/>
              </w:rPr>
              <w:tab/>
            </w:r>
            <w:r w:rsidR="00A663C5" w:rsidRPr="002A2715">
              <w:rPr>
                <w:rStyle w:val="Hyperlink"/>
                <w:rFonts w:cs="Calibri"/>
                <w:bCs/>
                <w:szCs w:val="22"/>
              </w:rPr>
              <w:t>Sensitivity of Market Equilibrium Reserve Margin to Study Assumptions</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_Toc57193571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42</w:t>
            </w:r>
            <w:r w:rsidR="00A663C5" w:rsidRPr="002A2715">
              <w:rPr>
                <w:rFonts w:cs="Calibri"/>
                <w:webHidden/>
                <w:szCs w:val="22"/>
              </w:rPr>
              <w:fldChar w:fldCharType="end"/>
            </w:r>
          </w:hyperlink>
        </w:p>
        <w:p w14:paraId="556027D4" w14:textId="2387B611"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72"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Renewables Penetration Scenarios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_Toc57193572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43</w:t>
            </w:r>
            <w:r w:rsidR="00A663C5" w:rsidRPr="002A2715">
              <w:rPr>
                <w:rFonts w:cs="Calibri"/>
                <w:b w:val="0"/>
                <w:bCs/>
                <w:noProof/>
                <w:webHidden/>
                <w:szCs w:val="22"/>
              </w:rPr>
              <w:fldChar w:fldCharType="end"/>
            </w:r>
          </w:hyperlink>
        </w:p>
        <w:p w14:paraId="64E4C91A" w14:textId="2F8FFABC"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73"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Storage Potential at the High Renewables Penetration</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_Toc57193573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44</w:t>
            </w:r>
            <w:r w:rsidR="00A663C5" w:rsidRPr="002A2715">
              <w:rPr>
                <w:rFonts w:cs="Calibri"/>
                <w:b w:val="0"/>
                <w:bCs/>
                <w:noProof/>
                <w:webHidden/>
                <w:szCs w:val="22"/>
              </w:rPr>
              <w:fldChar w:fldCharType="end"/>
            </w:r>
          </w:hyperlink>
        </w:p>
        <w:p w14:paraId="3803E986" w14:textId="330037FA"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74" w:history="1">
            <w:r w:rsidR="00A663C5" w:rsidRPr="002A2715">
              <w:rPr>
                <w:rStyle w:val="Hyperlink"/>
                <w:rFonts w:cs="Calibri"/>
                <w:b w:val="0"/>
                <w:bCs/>
                <w:noProof/>
                <w:szCs w:val="22"/>
              </w:rPr>
              <w:t>3.</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Cost of New Entry Sensitivity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_Toc57193574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48</w:t>
            </w:r>
            <w:r w:rsidR="00A663C5" w:rsidRPr="002A2715">
              <w:rPr>
                <w:rFonts w:cs="Calibri"/>
                <w:b w:val="0"/>
                <w:bCs/>
                <w:noProof/>
                <w:webHidden/>
                <w:szCs w:val="22"/>
              </w:rPr>
              <w:fldChar w:fldCharType="end"/>
            </w:r>
          </w:hyperlink>
        </w:p>
        <w:p w14:paraId="092295EC" w14:textId="371A07A1"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75" w:history="1">
            <w:r w:rsidR="00A663C5" w:rsidRPr="002A2715">
              <w:rPr>
                <w:rStyle w:val="Hyperlink"/>
                <w:rFonts w:cs="Calibri"/>
                <w:b w:val="0"/>
                <w:bCs/>
                <w:noProof/>
                <w:szCs w:val="22"/>
              </w:rPr>
              <w:t>4.</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Probability Weighting of Weather Sensitivity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_Toc57193575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48</w:t>
            </w:r>
            <w:r w:rsidR="00A663C5" w:rsidRPr="002A2715">
              <w:rPr>
                <w:rFonts w:cs="Calibri"/>
                <w:b w:val="0"/>
                <w:bCs/>
                <w:noProof/>
                <w:webHidden/>
                <w:szCs w:val="22"/>
              </w:rPr>
              <w:fldChar w:fldCharType="end"/>
            </w:r>
          </w:hyperlink>
        </w:p>
        <w:p w14:paraId="0EDE22DA" w14:textId="7BC4C92A"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76" w:history="1">
            <w:r w:rsidR="00A663C5" w:rsidRPr="002A2715">
              <w:rPr>
                <w:rStyle w:val="Hyperlink"/>
                <w:rFonts w:cs="Calibri"/>
                <w:b w:val="0"/>
                <w:bCs/>
                <w:noProof/>
                <w:szCs w:val="22"/>
              </w:rPr>
              <w:t>5.</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Forward Period and Load Forecast Uncertainty Sensitivity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_Toc57193576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49</w:t>
            </w:r>
            <w:r w:rsidR="00A663C5" w:rsidRPr="002A2715">
              <w:rPr>
                <w:rFonts w:cs="Calibri"/>
                <w:b w:val="0"/>
                <w:bCs/>
                <w:noProof/>
                <w:webHidden/>
                <w:szCs w:val="22"/>
              </w:rPr>
              <w:fldChar w:fldCharType="end"/>
            </w:r>
          </w:hyperlink>
        </w:p>
        <w:p w14:paraId="7AEBCDCC" w14:textId="4909F0ED"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77" w:history="1">
            <w:r w:rsidR="00A663C5" w:rsidRPr="002A2715">
              <w:rPr>
                <w:rStyle w:val="Hyperlink"/>
                <w:rFonts w:cs="Calibri"/>
                <w:b w:val="0"/>
                <w:bCs/>
                <w:noProof/>
                <w:szCs w:val="22"/>
              </w:rPr>
              <w:t>6.</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Summary of Sensitivities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_Toc57193577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49</w:t>
            </w:r>
            <w:r w:rsidR="00A663C5" w:rsidRPr="002A2715">
              <w:rPr>
                <w:rFonts w:cs="Calibri"/>
                <w:b w:val="0"/>
                <w:bCs/>
                <w:noProof/>
                <w:webHidden/>
                <w:szCs w:val="22"/>
              </w:rPr>
              <w:fldChar w:fldCharType="end"/>
            </w:r>
          </w:hyperlink>
        </w:p>
        <w:p w14:paraId="43430BB0" w14:textId="4090A9A8" w:rsidR="00A663C5" w:rsidRPr="002A2715" w:rsidRDefault="00B4381F" w:rsidP="002A2715">
          <w:pPr>
            <w:pStyle w:val="TOC1"/>
            <w:tabs>
              <w:tab w:val="left" w:pos="567"/>
            </w:tabs>
            <w:spacing w:before="0" w:after="0" w:line="360" w:lineRule="auto"/>
            <w:rPr>
              <w:rFonts w:eastAsiaTheme="minorEastAsia" w:cs="Calibri"/>
              <w:b w:val="0"/>
              <w:bCs/>
              <w:caps w:val="0"/>
              <w:noProof/>
              <w:color w:val="auto"/>
              <w:kern w:val="0"/>
              <w:sz w:val="22"/>
              <w:szCs w:val="22"/>
            </w:rPr>
          </w:pPr>
          <w:hyperlink w:anchor="_Toc57193578" w:history="1">
            <w:r w:rsidR="00A663C5" w:rsidRPr="002A2715">
              <w:rPr>
                <w:rStyle w:val="Hyperlink"/>
                <w:rFonts w:cs="Calibri"/>
                <w:b w:val="0"/>
                <w:bCs/>
                <w:noProof/>
                <w:sz w:val="22"/>
                <w:szCs w:val="22"/>
              </w:rPr>
              <w:t>IV.</w:t>
            </w:r>
            <w:r w:rsidR="00A663C5" w:rsidRPr="002A2715">
              <w:rPr>
                <w:rFonts w:eastAsiaTheme="minorEastAsia" w:cs="Calibri"/>
                <w:b w:val="0"/>
                <w:bCs/>
                <w:caps w:val="0"/>
                <w:noProof/>
                <w:color w:val="auto"/>
                <w:kern w:val="0"/>
                <w:sz w:val="22"/>
                <w:szCs w:val="22"/>
              </w:rPr>
              <w:tab/>
            </w:r>
            <w:r w:rsidR="00A663C5" w:rsidRPr="002A2715">
              <w:rPr>
                <w:rStyle w:val="Hyperlink"/>
                <w:rFonts w:cs="Calibri"/>
                <w:b w:val="0"/>
                <w:bCs/>
                <w:noProof/>
                <w:sz w:val="22"/>
                <w:szCs w:val="22"/>
              </w:rPr>
              <w:t>Discussion of Results</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_Toc57193578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51</w:t>
            </w:r>
            <w:r w:rsidR="00A663C5" w:rsidRPr="002A2715">
              <w:rPr>
                <w:rFonts w:cs="Calibri"/>
                <w:b w:val="0"/>
                <w:bCs/>
                <w:noProof/>
                <w:webHidden/>
                <w:sz w:val="22"/>
                <w:szCs w:val="22"/>
              </w:rPr>
              <w:fldChar w:fldCharType="end"/>
            </w:r>
          </w:hyperlink>
        </w:p>
        <w:p w14:paraId="7E242D16" w14:textId="6E9D2DA1" w:rsidR="00A663C5" w:rsidRPr="002A2715" w:rsidRDefault="00B4381F" w:rsidP="002A2715">
          <w:pPr>
            <w:pStyle w:val="TOC1"/>
            <w:spacing w:before="0" w:after="0" w:line="360" w:lineRule="auto"/>
            <w:rPr>
              <w:rFonts w:eastAsiaTheme="minorEastAsia" w:cs="Calibri"/>
              <w:b w:val="0"/>
              <w:bCs/>
              <w:caps w:val="0"/>
              <w:noProof/>
              <w:color w:val="auto"/>
              <w:kern w:val="0"/>
              <w:sz w:val="22"/>
              <w:szCs w:val="22"/>
            </w:rPr>
          </w:pPr>
          <w:hyperlink w:anchor="_Toc57193579" w:history="1">
            <w:r w:rsidR="00A663C5" w:rsidRPr="002A2715">
              <w:rPr>
                <w:rStyle w:val="Hyperlink"/>
                <w:rFonts w:cs="Calibri"/>
                <w:b w:val="0"/>
                <w:bCs/>
                <w:noProof/>
                <w:sz w:val="22"/>
                <w:szCs w:val="22"/>
              </w:rPr>
              <w:t>List of Acronyms</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_Toc57193579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53</w:t>
            </w:r>
            <w:r w:rsidR="00A663C5" w:rsidRPr="002A2715">
              <w:rPr>
                <w:rFonts w:cs="Calibri"/>
                <w:b w:val="0"/>
                <w:bCs/>
                <w:noProof/>
                <w:webHidden/>
                <w:sz w:val="22"/>
                <w:szCs w:val="22"/>
              </w:rPr>
              <w:fldChar w:fldCharType="end"/>
            </w:r>
          </w:hyperlink>
        </w:p>
        <w:p w14:paraId="4CE29024" w14:textId="01B2CB06" w:rsidR="00A663C5" w:rsidRPr="002A2715" w:rsidRDefault="00B4381F" w:rsidP="002A2715">
          <w:pPr>
            <w:pStyle w:val="TOC1"/>
            <w:spacing w:before="0" w:after="0" w:line="360" w:lineRule="auto"/>
            <w:rPr>
              <w:rFonts w:eastAsiaTheme="minorEastAsia" w:cs="Calibri"/>
              <w:b w:val="0"/>
              <w:bCs/>
              <w:caps w:val="0"/>
              <w:noProof/>
              <w:color w:val="auto"/>
              <w:kern w:val="0"/>
              <w:sz w:val="22"/>
              <w:szCs w:val="22"/>
            </w:rPr>
          </w:pPr>
          <w:hyperlink w:anchor="_Toc57193580" w:history="1">
            <w:r w:rsidR="00A663C5" w:rsidRPr="002A2715">
              <w:rPr>
                <w:rStyle w:val="Hyperlink"/>
                <w:rFonts w:cs="Calibri"/>
                <w:b w:val="0"/>
                <w:bCs/>
                <w:noProof/>
                <w:sz w:val="22"/>
                <w:szCs w:val="22"/>
              </w:rPr>
              <w:t>Bibliography</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_Toc57193580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55</w:t>
            </w:r>
            <w:r w:rsidR="00A663C5" w:rsidRPr="002A2715">
              <w:rPr>
                <w:rFonts w:cs="Calibri"/>
                <w:b w:val="0"/>
                <w:bCs/>
                <w:noProof/>
                <w:webHidden/>
                <w:sz w:val="22"/>
                <w:szCs w:val="22"/>
              </w:rPr>
              <w:fldChar w:fldCharType="end"/>
            </w:r>
          </w:hyperlink>
        </w:p>
        <w:p w14:paraId="2AC08554" w14:textId="67145118" w:rsidR="00A663C5" w:rsidRPr="002A2715" w:rsidRDefault="00B4381F" w:rsidP="002A2715">
          <w:pPr>
            <w:pStyle w:val="TOC1"/>
            <w:spacing w:before="0" w:after="0" w:line="360" w:lineRule="auto"/>
            <w:rPr>
              <w:rFonts w:eastAsiaTheme="minorEastAsia" w:cs="Calibri"/>
              <w:b w:val="0"/>
              <w:bCs/>
              <w:caps w:val="0"/>
              <w:noProof/>
              <w:color w:val="auto"/>
              <w:kern w:val="0"/>
              <w:sz w:val="22"/>
              <w:szCs w:val="22"/>
            </w:rPr>
          </w:pPr>
          <w:hyperlink w:anchor="_Toc57193581" w:history="1">
            <w:r w:rsidR="00A663C5" w:rsidRPr="002A2715">
              <w:rPr>
                <w:rStyle w:val="Hyperlink"/>
                <w:rFonts w:cs="Calibri"/>
                <w:b w:val="0"/>
                <w:bCs/>
                <w:noProof/>
                <w:sz w:val="22"/>
                <w:szCs w:val="22"/>
              </w:rPr>
              <w:t>APPENDIX 1: Modeling Assumptions</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_Toc57193581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0</w:t>
            </w:r>
            <w:r w:rsidR="00A663C5" w:rsidRPr="002A2715">
              <w:rPr>
                <w:rFonts w:cs="Calibri"/>
                <w:b w:val="0"/>
                <w:bCs/>
                <w:noProof/>
                <w:webHidden/>
                <w:sz w:val="22"/>
                <w:szCs w:val="22"/>
              </w:rPr>
              <w:fldChar w:fldCharType="end"/>
            </w:r>
          </w:hyperlink>
        </w:p>
        <w:p w14:paraId="36C7AF99" w14:textId="741973E8" w:rsidR="00A663C5" w:rsidRPr="002A2715" w:rsidRDefault="00B4381F" w:rsidP="002A2715">
          <w:pPr>
            <w:pStyle w:val="TOC2"/>
            <w:spacing w:after="0" w:line="360" w:lineRule="auto"/>
            <w:rPr>
              <w:rFonts w:eastAsiaTheme="minorEastAsia" w:cs="Calibri"/>
              <w:color w:val="auto"/>
              <w:kern w:val="0"/>
              <w:szCs w:val="22"/>
            </w:rPr>
          </w:pPr>
          <w:hyperlink w:anchor="_Toc57193582" w:history="1">
            <w:r w:rsidR="00A663C5" w:rsidRPr="002A2715">
              <w:rPr>
                <w:rStyle w:val="Hyperlink"/>
                <w:rFonts w:cs="Calibri"/>
                <w:bCs/>
                <w:szCs w:val="22"/>
              </w:rPr>
              <w:t>A.</w:t>
            </w:r>
            <w:r w:rsidR="00A663C5" w:rsidRPr="002A2715">
              <w:rPr>
                <w:rFonts w:eastAsiaTheme="minorEastAsia" w:cs="Calibri"/>
                <w:color w:val="auto"/>
                <w:kern w:val="0"/>
                <w:szCs w:val="22"/>
              </w:rPr>
              <w:tab/>
            </w:r>
            <w:r w:rsidR="00A663C5" w:rsidRPr="002A2715">
              <w:rPr>
                <w:rStyle w:val="Hyperlink"/>
                <w:rFonts w:cs="Calibri"/>
                <w:bCs/>
                <w:szCs w:val="22"/>
              </w:rPr>
              <w:t>Demand Modeling</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_Toc57193582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0</w:t>
            </w:r>
            <w:r w:rsidR="00A663C5" w:rsidRPr="002A2715">
              <w:rPr>
                <w:rFonts w:cs="Calibri"/>
                <w:webHidden/>
                <w:szCs w:val="22"/>
              </w:rPr>
              <w:fldChar w:fldCharType="end"/>
            </w:r>
          </w:hyperlink>
        </w:p>
        <w:p w14:paraId="25A85062" w14:textId="1A02EFED"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83"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Peak Demand and Regional Diversity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_Toc57193583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0</w:t>
            </w:r>
            <w:r w:rsidR="00A663C5" w:rsidRPr="002A2715">
              <w:rPr>
                <w:rFonts w:cs="Calibri"/>
                <w:b w:val="0"/>
                <w:bCs/>
                <w:noProof/>
                <w:webHidden/>
                <w:szCs w:val="22"/>
              </w:rPr>
              <w:fldChar w:fldCharType="end"/>
            </w:r>
          </w:hyperlink>
        </w:p>
        <w:p w14:paraId="4520843C" w14:textId="58A401C6"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84"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Demand Shapes and Weather Uncertainty Modeling</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_Toc57193584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w:t>
            </w:r>
            <w:r w:rsidR="00A663C5" w:rsidRPr="002A2715">
              <w:rPr>
                <w:rFonts w:cs="Calibri"/>
                <w:b w:val="0"/>
                <w:bCs/>
                <w:noProof/>
                <w:webHidden/>
                <w:szCs w:val="22"/>
              </w:rPr>
              <w:fldChar w:fldCharType="end"/>
            </w:r>
          </w:hyperlink>
        </w:p>
        <w:p w14:paraId="0B7DDA53" w14:textId="312EB7DC"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85" w:history="1">
            <w:r w:rsidR="00A663C5" w:rsidRPr="002A2715">
              <w:rPr>
                <w:rStyle w:val="Hyperlink"/>
                <w:rFonts w:cs="Calibri"/>
                <w:b w:val="0"/>
                <w:bCs/>
                <w:noProof/>
                <w:szCs w:val="22"/>
              </w:rPr>
              <w:t>3.</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Non-Weather Demand Forecast Uncertainty and Forward Period</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_Toc57193585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2</w:t>
            </w:r>
            <w:r w:rsidR="00A663C5" w:rsidRPr="002A2715">
              <w:rPr>
                <w:rFonts w:cs="Calibri"/>
                <w:b w:val="0"/>
                <w:bCs/>
                <w:noProof/>
                <w:webHidden/>
                <w:szCs w:val="22"/>
              </w:rPr>
              <w:fldChar w:fldCharType="end"/>
            </w:r>
          </w:hyperlink>
        </w:p>
        <w:p w14:paraId="762D6489" w14:textId="2C20B669"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86" w:history="1">
            <w:r w:rsidR="00A663C5" w:rsidRPr="002A2715">
              <w:rPr>
                <w:rStyle w:val="Hyperlink"/>
                <w:rFonts w:cs="Calibri"/>
                <w:b w:val="0"/>
                <w:bCs/>
                <w:noProof/>
                <w:szCs w:val="22"/>
              </w:rPr>
              <w:t>4.</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External Region Demand</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_Toc57193586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3</w:t>
            </w:r>
            <w:r w:rsidR="00A663C5" w:rsidRPr="002A2715">
              <w:rPr>
                <w:rFonts w:cs="Calibri"/>
                <w:b w:val="0"/>
                <w:bCs/>
                <w:noProof/>
                <w:webHidden/>
                <w:szCs w:val="22"/>
              </w:rPr>
              <w:fldChar w:fldCharType="end"/>
            </w:r>
          </w:hyperlink>
        </w:p>
        <w:p w14:paraId="4676D96D" w14:textId="2950FFF2" w:rsidR="00A663C5" w:rsidRPr="002A2715" w:rsidRDefault="00B4381F" w:rsidP="002A2715">
          <w:pPr>
            <w:pStyle w:val="TOC2"/>
            <w:spacing w:after="0" w:line="360" w:lineRule="auto"/>
            <w:rPr>
              <w:rFonts w:eastAsiaTheme="minorEastAsia" w:cs="Calibri"/>
              <w:color w:val="auto"/>
              <w:kern w:val="0"/>
              <w:szCs w:val="22"/>
            </w:rPr>
          </w:pPr>
          <w:hyperlink w:anchor="_Toc57193587" w:history="1">
            <w:r w:rsidR="00A663C5" w:rsidRPr="002A2715">
              <w:rPr>
                <w:rStyle w:val="Hyperlink"/>
                <w:rFonts w:cs="Calibri"/>
                <w:bCs/>
                <w:szCs w:val="22"/>
              </w:rPr>
              <w:t>B.</w:t>
            </w:r>
            <w:r w:rsidR="00A663C5" w:rsidRPr="002A2715">
              <w:rPr>
                <w:rFonts w:eastAsiaTheme="minorEastAsia" w:cs="Calibri"/>
                <w:color w:val="auto"/>
                <w:kern w:val="0"/>
                <w:szCs w:val="22"/>
              </w:rPr>
              <w:tab/>
            </w:r>
            <w:r w:rsidR="00A663C5" w:rsidRPr="002A2715">
              <w:rPr>
                <w:rStyle w:val="Hyperlink"/>
                <w:rFonts w:cs="Calibri"/>
                <w:bCs/>
                <w:szCs w:val="22"/>
              </w:rPr>
              <w:t>Generation Resources</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_Toc57193587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5</w:t>
            </w:r>
            <w:r w:rsidR="00A663C5" w:rsidRPr="002A2715">
              <w:rPr>
                <w:rFonts w:cs="Calibri"/>
                <w:webHidden/>
                <w:szCs w:val="22"/>
              </w:rPr>
              <w:fldChar w:fldCharType="end"/>
            </w:r>
          </w:hyperlink>
        </w:p>
        <w:p w14:paraId="587FF59A" w14:textId="7246F2E3"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88"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Marginal Resource Technology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_Toc57193588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5</w:t>
            </w:r>
            <w:r w:rsidR="00A663C5" w:rsidRPr="002A2715">
              <w:rPr>
                <w:rFonts w:cs="Calibri"/>
                <w:b w:val="0"/>
                <w:bCs/>
                <w:noProof/>
                <w:webHidden/>
                <w:szCs w:val="22"/>
              </w:rPr>
              <w:fldChar w:fldCharType="end"/>
            </w:r>
          </w:hyperlink>
        </w:p>
        <w:p w14:paraId="3FFDE7F7" w14:textId="7706925F"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89"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Conventional Generation Outages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_Toc57193589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6</w:t>
            </w:r>
            <w:r w:rsidR="00A663C5" w:rsidRPr="002A2715">
              <w:rPr>
                <w:rFonts w:cs="Calibri"/>
                <w:b w:val="0"/>
                <w:bCs/>
                <w:noProof/>
                <w:webHidden/>
                <w:szCs w:val="22"/>
              </w:rPr>
              <w:fldChar w:fldCharType="end"/>
            </w:r>
          </w:hyperlink>
        </w:p>
        <w:p w14:paraId="0AB8D277" w14:textId="31A04C46"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0" w:history="1">
            <w:r w:rsidR="00A663C5" w:rsidRPr="002A2715">
              <w:rPr>
                <w:rStyle w:val="Hyperlink"/>
                <w:rFonts w:cs="Calibri"/>
                <w:b w:val="0"/>
                <w:bCs/>
                <w:noProof/>
                <w:szCs w:val="22"/>
              </w:rPr>
              <w:t>3.</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Private Use Networks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_Toc57193590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7</w:t>
            </w:r>
            <w:r w:rsidR="00A663C5" w:rsidRPr="002A2715">
              <w:rPr>
                <w:rFonts w:cs="Calibri"/>
                <w:b w:val="0"/>
                <w:bCs/>
                <w:noProof/>
                <w:webHidden/>
                <w:szCs w:val="22"/>
              </w:rPr>
              <w:fldChar w:fldCharType="end"/>
            </w:r>
          </w:hyperlink>
        </w:p>
        <w:p w14:paraId="6F6EC9A3" w14:textId="2E0DDC60"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1" w:history="1">
            <w:r w:rsidR="00A663C5" w:rsidRPr="002A2715">
              <w:rPr>
                <w:rStyle w:val="Hyperlink"/>
                <w:rFonts w:cs="Calibri"/>
                <w:b w:val="0"/>
                <w:bCs/>
                <w:noProof/>
                <w:szCs w:val="22"/>
              </w:rPr>
              <w:t>4.</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Intermittent Wind and Solar</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_Toc57193591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8</w:t>
            </w:r>
            <w:r w:rsidR="00A663C5" w:rsidRPr="002A2715">
              <w:rPr>
                <w:rFonts w:cs="Calibri"/>
                <w:b w:val="0"/>
                <w:bCs/>
                <w:noProof/>
                <w:webHidden/>
                <w:szCs w:val="22"/>
              </w:rPr>
              <w:fldChar w:fldCharType="end"/>
            </w:r>
          </w:hyperlink>
        </w:p>
        <w:p w14:paraId="083A6B14" w14:textId="5D239C19"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2" w:history="1">
            <w:r w:rsidR="00A663C5" w:rsidRPr="002A2715">
              <w:rPr>
                <w:rStyle w:val="Hyperlink"/>
                <w:rFonts w:cs="Calibri"/>
                <w:b w:val="0"/>
                <w:bCs/>
                <w:noProof/>
                <w:szCs w:val="22"/>
              </w:rPr>
              <w:t>5.</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Hydroelectric</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_Toc57193592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10</w:t>
            </w:r>
            <w:r w:rsidR="00A663C5" w:rsidRPr="002A2715">
              <w:rPr>
                <w:rFonts w:cs="Calibri"/>
                <w:b w:val="0"/>
                <w:bCs/>
                <w:noProof/>
                <w:webHidden/>
                <w:szCs w:val="22"/>
              </w:rPr>
              <w:fldChar w:fldCharType="end"/>
            </w:r>
          </w:hyperlink>
        </w:p>
        <w:p w14:paraId="442A914B" w14:textId="228547DE"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3" w:history="1">
            <w:r w:rsidR="00A663C5" w:rsidRPr="002A2715">
              <w:rPr>
                <w:rStyle w:val="Hyperlink"/>
                <w:rFonts w:cs="Calibri"/>
                <w:b w:val="0"/>
                <w:bCs/>
                <w:noProof/>
                <w:szCs w:val="22"/>
              </w:rPr>
              <w:t>6.</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Fuel Prices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_Toc57193593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10</w:t>
            </w:r>
            <w:r w:rsidR="00A663C5" w:rsidRPr="002A2715">
              <w:rPr>
                <w:rFonts w:cs="Calibri"/>
                <w:b w:val="0"/>
                <w:bCs/>
                <w:noProof/>
                <w:webHidden/>
                <w:szCs w:val="22"/>
              </w:rPr>
              <w:fldChar w:fldCharType="end"/>
            </w:r>
          </w:hyperlink>
        </w:p>
        <w:p w14:paraId="3014B879" w14:textId="3D26647A" w:rsidR="00A663C5" w:rsidRPr="002A2715" w:rsidRDefault="00B4381F" w:rsidP="002A2715">
          <w:pPr>
            <w:pStyle w:val="TOC2"/>
            <w:spacing w:after="0" w:line="360" w:lineRule="auto"/>
            <w:rPr>
              <w:rFonts w:eastAsiaTheme="minorEastAsia" w:cs="Calibri"/>
              <w:color w:val="auto"/>
              <w:kern w:val="0"/>
              <w:szCs w:val="22"/>
            </w:rPr>
          </w:pPr>
          <w:hyperlink w:anchor="_Toc57193594" w:history="1">
            <w:r w:rsidR="00A663C5" w:rsidRPr="002A2715">
              <w:rPr>
                <w:rStyle w:val="Hyperlink"/>
                <w:rFonts w:cs="Calibri"/>
                <w:bCs/>
                <w:szCs w:val="22"/>
              </w:rPr>
              <w:t>C.</w:t>
            </w:r>
            <w:r w:rsidR="00A663C5" w:rsidRPr="002A2715">
              <w:rPr>
                <w:rFonts w:eastAsiaTheme="minorEastAsia" w:cs="Calibri"/>
                <w:color w:val="auto"/>
                <w:kern w:val="0"/>
                <w:szCs w:val="22"/>
              </w:rPr>
              <w:tab/>
            </w:r>
            <w:r w:rsidR="00A663C5" w:rsidRPr="002A2715">
              <w:rPr>
                <w:rStyle w:val="Hyperlink"/>
                <w:rFonts w:cs="Calibri"/>
                <w:bCs/>
                <w:szCs w:val="22"/>
              </w:rPr>
              <w:t>Demand-Side Resources</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_Toc57193594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12</w:t>
            </w:r>
            <w:r w:rsidR="00A663C5" w:rsidRPr="002A2715">
              <w:rPr>
                <w:rFonts w:cs="Calibri"/>
                <w:webHidden/>
                <w:szCs w:val="22"/>
              </w:rPr>
              <w:fldChar w:fldCharType="end"/>
            </w:r>
          </w:hyperlink>
        </w:p>
        <w:p w14:paraId="25F5C5B6" w14:textId="72E4ABCE"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5"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Emergency Response Service</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_Toc57193595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12</w:t>
            </w:r>
            <w:r w:rsidR="00A663C5" w:rsidRPr="002A2715">
              <w:rPr>
                <w:rFonts w:cs="Calibri"/>
                <w:b w:val="0"/>
                <w:bCs/>
                <w:noProof/>
                <w:webHidden/>
                <w:szCs w:val="22"/>
              </w:rPr>
              <w:fldChar w:fldCharType="end"/>
            </w:r>
          </w:hyperlink>
        </w:p>
        <w:p w14:paraId="60AEA318" w14:textId="4FDAFA35"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6"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Load Resources Providing Ancillary Services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_Toc57193596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13</w:t>
            </w:r>
            <w:r w:rsidR="00A663C5" w:rsidRPr="002A2715">
              <w:rPr>
                <w:rFonts w:cs="Calibri"/>
                <w:b w:val="0"/>
                <w:bCs/>
                <w:noProof/>
                <w:webHidden/>
                <w:szCs w:val="22"/>
              </w:rPr>
              <w:fldChar w:fldCharType="end"/>
            </w:r>
          </w:hyperlink>
        </w:p>
        <w:p w14:paraId="26B3B09A" w14:textId="770C6BD0"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7" w:history="1">
            <w:r w:rsidR="00A663C5" w:rsidRPr="002A2715">
              <w:rPr>
                <w:rStyle w:val="Hyperlink"/>
                <w:rFonts w:cs="Calibri"/>
                <w:b w:val="0"/>
                <w:bCs/>
                <w:noProof/>
                <w:szCs w:val="22"/>
              </w:rPr>
              <w:t>3.</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Price Responsive Demand and 4 Coincident Peak</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_Toc57193597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13</w:t>
            </w:r>
            <w:r w:rsidR="00A663C5" w:rsidRPr="002A2715">
              <w:rPr>
                <w:rFonts w:cs="Calibri"/>
                <w:b w:val="0"/>
                <w:bCs/>
                <w:noProof/>
                <w:webHidden/>
                <w:szCs w:val="22"/>
              </w:rPr>
              <w:fldChar w:fldCharType="end"/>
            </w:r>
          </w:hyperlink>
        </w:p>
        <w:p w14:paraId="568AD877" w14:textId="3E0024F2" w:rsidR="00A663C5" w:rsidRPr="002A2715" w:rsidRDefault="00B4381F" w:rsidP="002A2715">
          <w:pPr>
            <w:pStyle w:val="TOC2"/>
            <w:spacing w:after="0" w:line="360" w:lineRule="auto"/>
            <w:rPr>
              <w:rFonts w:eastAsiaTheme="minorEastAsia" w:cs="Calibri"/>
              <w:color w:val="auto"/>
              <w:kern w:val="0"/>
              <w:szCs w:val="22"/>
            </w:rPr>
          </w:pPr>
          <w:hyperlink w:anchor="_Toc57193598" w:history="1">
            <w:r w:rsidR="00A663C5" w:rsidRPr="002A2715">
              <w:rPr>
                <w:rStyle w:val="Hyperlink"/>
                <w:rFonts w:cs="Calibri"/>
                <w:bCs/>
                <w:szCs w:val="22"/>
              </w:rPr>
              <w:t>D.</w:t>
            </w:r>
            <w:r w:rsidR="00A663C5" w:rsidRPr="002A2715">
              <w:rPr>
                <w:rFonts w:eastAsiaTheme="minorEastAsia" w:cs="Calibri"/>
                <w:color w:val="auto"/>
                <w:kern w:val="0"/>
                <w:szCs w:val="22"/>
              </w:rPr>
              <w:tab/>
            </w:r>
            <w:r w:rsidR="00A663C5" w:rsidRPr="002A2715">
              <w:rPr>
                <w:rStyle w:val="Hyperlink"/>
                <w:rFonts w:cs="Calibri"/>
                <w:bCs/>
                <w:szCs w:val="22"/>
              </w:rPr>
              <w:t>Transmission System Modeling and External Resource Overview</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_Toc57193598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16</w:t>
            </w:r>
            <w:r w:rsidR="00A663C5" w:rsidRPr="002A2715">
              <w:rPr>
                <w:rFonts w:cs="Calibri"/>
                <w:webHidden/>
                <w:szCs w:val="22"/>
              </w:rPr>
              <w:fldChar w:fldCharType="end"/>
            </w:r>
          </w:hyperlink>
        </w:p>
        <w:p w14:paraId="279F22E0" w14:textId="50BFA326"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599"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Transmission Topology</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_Toc57193599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16</w:t>
            </w:r>
            <w:r w:rsidR="00A663C5" w:rsidRPr="002A2715">
              <w:rPr>
                <w:rFonts w:cs="Calibri"/>
                <w:b w:val="0"/>
                <w:bCs/>
                <w:noProof/>
                <w:webHidden/>
                <w:szCs w:val="22"/>
              </w:rPr>
              <w:fldChar w:fldCharType="end"/>
            </w:r>
          </w:hyperlink>
        </w:p>
        <w:p w14:paraId="1F09B675" w14:textId="1C181570"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600"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External Systems’ Resource Overview</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_Toc57193600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17</w:t>
            </w:r>
            <w:r w:rsidR="00A663C5" w:rsidRPr="002A2715">
              <w:rPr>
                <w:rFonts w:cs="Calibri"/>
                <w:b w:val="0"/>
                <w:bCs/>
                <w:noProof/>
                <w:webHidden/>
                <w:szCs w:val="22"/>
              </w:rPr>
              <w:fldChar w:fldCharType="end"/>
            </w:r>
          </w:hyperlink>
        </w:p>
        <w:p w14:paraId="52A95A21" w14:textId="07A43BD0"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601" w:history="1">
            <w:r w:rsidR="00A663C5" w:rsidRPr="002A2715">
              <w:rPr>
                <w:rStyle w:val="Hyperlink"/>
                <w:rFonts w:cs="Calibri"/>
                <w:b w:val="0"/>
                <w:bCs/>
                <w:noProof/>
                <w:szCs w:val="22"/>
              </w:rPr>
              <w:t>3.</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Availability of External Resources for ERCOT</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_Toc57193601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18</w:t>
            </w:r>
            <w:r w:rsidR="00A663C5" w:rsidRPr="002A2715">
              <w:rPr>
                <w:rFonts w:cs="Calibri"/>
                <w:b w:val="0"/>
                <w:bCs/>
                <w:noProof/>
                <w:webHidden/>
                <w:szCs w:val="22"/>
              </w:rPr>
              <w:fldChar w:fldCharType="end"/>
            </w:r>
          </w:hyperlink>
        </w:p>
        <w:p w14:paraId="45F38399" w14:textId="7625326F" w:rsidR="00A663C5" w:rsidRPr="002A2715" w:rsidRDefault="00B4381F" w:rsidP="002A2715">
          <w:pPr>
            <w:pStyle w:val="TOC2"/>
            <w:spacing w:after="0" w:line="360" w:lineRule="auto"/>
            <w:rPr>
              <w:rFonts w:eastAsiaTheme="minorEastAsia" w:cs="Calibri"/>
              <w:color w:val="auto"/>
              <w:kern w:val="0"/>
              <w:szCs w:val="22"/>
            </w:rPr>
          </w:pPr>
          <w:hyperlink w:anchor="_Toc57193602" w:history="1">
            <w:r w:rsidR="00A663C5" w:rsidRPr="002A2715">
              <w:rPr>
                <w:rStyle w:val="Hyperlink"/>
                <w:rFonts w:cs="Calibri"/>
                <w:bCs/>
                <w:szCs w:val="22"/>
              </w:rPr>
              <w:t>E.</w:t>
            </w:r>
            <w:r w:rsidR="00A663C5" w:rsidRPr="002A2715">
              <w:rPr>
                <w:rFonts w:eastAsiaTheme="minorEastAsia" w:cs="Calibri"/>
                <w:color w:val="auto"/>
                <w:kern w:val="0"/>
                <w:szCs w:val="22"/>
              </w:rPr>
              <w:tab/>
            </w:r>
            <w:r w:rsidR="00A663C5" w:rsidRPr="002A2715">
              <w:rPr>
                <w:rStyle w:val="Hyperlink"/>
                <w:rFonts w:cs="Calibri"/>
                <w:bCs/>
                <w:szCs w:val="22"/>
              </w:rPr>
              <w:t>Scarcity Conditions</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_Toc57193602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19</w:t>
            </w:r>
            <w:r w:rsidR="00A663C5" w:rsidRPr="002A2715">
              <w:rPr>
                <w:rFonts w:cs="Calibri"/>
                <w:webHidden/>
                <w:szCs w:val="22"/>
              </w:rPr>
              <w:fldChar w:fldCharType="end"/>
            </w:r>
          </w:hyperlink>
        </w:p>
        <w:p w14:paraId="2A0C55BB" w14:textId="64D9F529"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603" w:history="1">
            <w:r w:rsidR="00A663C5" w:rsidRPr="002A2715">
              <w:rPr>
                <w:rStyle w:val="Hyperlink"/>
                <w:rFonts w:cs="Calibri"/>
                <w:b w:val="0"/>
                <w:bCs/>
                <w:noProof/>
                <w:szCs w:val="22"/>
              </w:rPr>
              <w:t>1.</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Administrative Market Parameters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_Toc57193603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20</w:t>
            </w:r>
            <w:r w:rsidR="00A663C5" w:rsidRPr="002A2715">
              <w:rPr>
                <w:rFonts w:cs="Calibri"/>
                <w:b w:val="0"/>
                <w:bCs/>
                <w:noProof/>
                <w:webHidden/>
                <w:szCs w:val="22"/>
              </w:rPr>
              <w:fldChar w:fldCharType="end"/>
            </w:r>
          </w:hyperlink>
        </w:p>
        <w:p w14:paraId="3641B5E9" w14:textId="72FD8C33"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604" w:history="1">
            <w:r w:rsidR="00A663C5" w:rsidRPr="002A2715">
              <w:rPr>
                <w:rStyle w:val="Hyperlink"/>
                <w:rFonts w:cs="Calibri"/>
                <w:b w:val="0"/>
                <w:bCs/>
                <w:noProof/>
                <w:szCs w:val="22"/>
              </w:rPr>
              <w:t>2.</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Emergency Procedures and Marginal Costs</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_Toc57193604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20</w:t>
            </w:r>
            <w:r w:rsidR="00A663C5" w:rsidRPr="002A2715">
              <w:rPr>
                <w:rFonts w:cs="Calibri"/>
                <w:b w:val="0"/>
                <w:bCs/>
                <w:noProof/>
                <w:webHidden/>
                <w:szCs w:val="22"/>
              </w:rPr>
              <w:fldChar w:fldCharType="end"/>
            </w:r>
          </w:hyperlink>
        </w:p>
        <w:p w14:paraId="11EC705B" w14:textId="76265CFC"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605" w:history="1">
            <w:r w:rsidR="00A663C5" w:rsidRPr="002A2715">
              <w:rPr>
                <w:rStyle w:val="Hyperlink"/>
                <w:rFonts w:cs="Calibri"/>
                <w:b w:val="0"/>
                <w:bCs/>
                <w:noProof/>
                <w:szCs w:val="22"/>
              </w:rPr>
              <w:t>3.</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Emergency Generation</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_Toc57193605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22</w:t>
            </w:r>
            <w:r w:rsidR="00A663C5" w:rsidRPr="002A2715">
              <w:rPr>
                <w:rFonts w:cs="Calibri"/>
                <w:b w:val="0"/>
                <w:bCs/>
                <w:noProof/>
                <w:webHidden/>
                <w:szCs w:val="22"/>
              </w:rPr>
              <w:fldChar w:fldCharType="end"/>
            </w:r>
          </w:hyperlink>
        </w:p>
        <w:p w14:paraId="369F1C31" w14:textId="02E089FD"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606" w:history="1">
            <w:r w:rsidR="00A663C5" w:rsidRPr="002A2715">
              <w:rPr>
                <w:rStyle w:val="Hyperlink"/>
                <w:rFonts w:cs="Calibri"/>
                <w:b w:val="0"/>
                <w:bCs/>
                <w:noProof/>
                <w:szCs w:val="22"/>
              </w:rPr>
              <w:t>4.</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Operating Reserves Demand Curve</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_Toc57193606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23</w:t>
            </w:r>
            <w:r w:rsidR="00A663C5" w:rsidRPr="002A2715">
              <w:rPr>
                <w:rFonts w:cs="Calibri"/>
                <w:b w:val="0"/>
                <w:bCs/>
                <w:noProof/>
                <w:webHidden/>
                <w:szCs w:val="22"/>
              </w:rPr>
              <w:fldChar w:fldCharType="end"/>
            </w:r>
          </w:hyperlink>
        </w:p>
        <w:p w14:paraId="11094212" w14:textId="33B0D326" w:rsidR="00A663C5" w:rsidRPr="002A2715" w:rsidRDefault="00B4381F" w:rsidP="002A2715">
          <w:pPr>
            <w:pStyle w:val="TOC3"/>
            <w:spacing w:after="0" w:line="360" w:lineRule="auto"/>
            <w:rPr>
              <w:rFonts w:eastAsiaTheme="minorEastAsia" w:cs="Calibri"/>
              <w:b w:val="0"/>
              <w:bCs/>
              <w:caps w:val="0"/>
              <w:noProof/>
              <w:color w:val="auto"/>
              <w:kern w:val="0"/>
              <w:szCs w:val="22"/>
            </w:rPr>
          </w:pPr>
          <w:hyperlink w:anchor="_Toc57193607" w:history="1">
            <w:r w:rsidR="00A663C5" w:rsidRPr="002A2715">
              <w:rPr>
                <w:rStyle w:val="Hyperlink"/>
                <w:rFonts w:cs="Calibri"/>
                <w:b w:val="0"/>
                <w:bCs/>
                <w:noProof/>
                <w:szCs w:val="22"/>
              </w:rPr>
              <w:t>5.</w:t>
            </w:r>
            <w:r w:rsidR="00A663C5" w:rsidRPr="002A2715">
              <w:rPr>
                <w:rFonts w:eastAsiaTheme="minorEastAsia" w:cs="Calibri"/>
                <w:b w:val="0"/>
                <w:bCs/>
                <w:caps w:val="0"/>
                <w:noProof/>
                <w:color w:val="auto"/>
                <w:kern w:val="0"/>
                <w:szCs w:val="22"/>
              </w:rPr>
              <w:tab/>
            </w:r>
            <w:r w:rsidR="00A663C5" w:rsidRPr="002A2715">
              <w:rPr>
                <w:rStyle w:val="Hyperlink"/>
                <w:rFonts w:cs="Calibri"/>
                <w:b w:val="0"/>
                <w:bCs/>
                <w:noProof/>
                <w:szCs w:val="22"/>
              </w:rPr>
              <w:t>Power Balance Penalty Curve</w:t>
            </w:r>
            <w:r w:rsidR="00A663C5" w:rsidRPr="002A2715">
              <w:rPr>
                <w:rFonts w:cs="Calibri"/>
                <w:b w:val="0"/>
                <w:bCs/>
                <w:noProof/>
                <w:webHidden/>
                <w:szCs w:val="22"/>
              </w:rPr>
              <w:tab/>
            </w:r>
            <w:r w:rsidR="00A663C5" w:rsidRPr="002A2715">
              <w:rPr>
                <w:rFonts w:cs="Calibri"/>
                <w:b w:val="0"/>
                <w:bCs/>
                <w:noProof/>
                <w:webHidden/>
                <w:szCs w:val="22"/>
              </w:rPr>
              <w:fldChar w:fldCharType="begin"/>
            </w:r>
            <w:r w:rsidR="00A663C5" w:rsidRPr="002A2715">
              <w:rPr>
                <w:rFonts w:cs="Calibri"/>
                <w:b w:val="0"/>
                <w:bCs/>
                <w:noProof/>
                <w:webHidden/>
                <w:szCs w:val="22"/>
              </w:rPr>
              <w:instrText xml:space="preserve"> PAGEREF _Toc57193607 \h </w:instrText>
            </w:r>
            <w:r w:rsidR="00A663C5" w:rsidRPr="002A2715">
              <w:rPr>
                <w:rFonts w:cs="Calibri"/>
                <w:b w:val="0"/>
                <w:bCs/>
                <w:noProof/>
                <w:webHidden/>
                <w:szCs w:val="22"/>
              </w:rPr>
            </w:r>
            <w:r w:rsidR="00A663C5" w:rsidRPr="002A2715">
              <w:rPr>
                <w:rFonts w:cs="Calibri"/>
                <w:b w:val="0"/>
                <w:bCs/>
                <w:noProof/>
                <w:webHidden/>
                <w:szCs w:val="22"/>
              </w:rPr>
              <w:fldChar w:fldCharType="separate"/>
            </w:r>
            <w:r w:rsidR="00E86DA9">
              <w:rPr>
                <w:rFonts w:cs="Calibri"/>
                <w:b w:val="0"/>
                <w:bCs/>
                <w:noProof/>
                <w:webHidden/>
                <w:szCs w:val="22"/>
              </w:rPr>
              <w:t>25</w:t>
            </w:r>
            <w:r w:rsidR="00A663C5" w:rsidRPr="002A2715">
              <w:rPr>
                <w:rFonts w:cs="Calibri"/>
                <w:b w:val="0"/>
                <w:bCs/>
                <w:noProof/>
                <w:webHidden/>
                <w:szCs w:val="22"/>
              </w:rPr>
              <w:fldChar w:fldCharType="end"/>
            </w:r>
          </w:hyperlink>
        </w:p>
        <w:p w14:paraId="2B385DD8" w14:textId="719A71C6" w:rsidR="00A663C5" w:rsidRPr="002A2715" w:rsidRDefault="00B4381F" w:rsidP="002A2715">
          <w:pPr>
            <w:pStyle w:val="TOC1"/>
            <w:spacing w:before="0" w:after="0" w:line="360" w:lineRule="auto"/>
            <w:rPr>
              <w:rFonts w:eastAsiaTheme="minorEastAsia" w:cs="Calibri"/>
              <w:b w:val="0"/>
              <w:bCs/>
              <w:caps w:val="0"/>
              <w:noProof/>
              <w:color w:val="auto"/>
              <w:kern w:val="0"/>
              <w:sz w:val="22"/>
              <w:szCs w:val="22"/>
            </w:rPr>
          </w:pPr>
          <w:hyperlink w:anchor="_Toc57193608" w:history="1">
            <w:r w:rsidR="00A663C5" w:rsidRPr="002A2715">
              <w:rPr>
                <w:rStyle w:val="Hyperlink"/>
                <w:rFonts w:cs="Calibri"/>
                <w:b w:val="0"/>
                <w:bCs/>
                <w:noProof/>
                <w:sz w:val="22"/>
                <w:szCs w:val="22"/>
              </w:rPr>
              <w:t>APPENDIX 2: EFFECTIVE LOAD CARRYING CAPABILITY</w:t>
            </w:r>
            <w:r w:rsidR="00A663C5" w:rsidRPr="002A2715">
              <w:rPr>
                <w:rFonts w:cs="Calibri"/>
                <w:b w:val="0"/>
                <w:bCs/>
                <w:noProof/>
                <w:webHidden/>
                <w:sz w:val="22"/>
                <w:szCs w:val="22"/>
              </w:rPr>
              <w:tab/>
            </w:r>
            <w:r w:rsidR="00A663C5" w:rsidRPr="002A2715">
              <w:rPr>
                <w:rFonts w:cs="Calibri"/>
                <w:b w:val="0"/>
                <w:bCs/>
                <w:noProof/>
                <w:webHidden/>
                <w:sz w:val="22"/>
                <w:szCs w:val="22"/>
              </w:rPr>
              <w:fldChar w:fldCharType="begin"/>
            </w:r>
            <w:r w:rsidR="00A663C5" w:rsidRPr="002A2715">
              <w:rPr>
                <w:rFonts w:cs="Calibri"/>
                <w:b w:val="0"/>
                <w:bCs/>
                <w:noProof/>
                <w:webHidden/>
                <w:sz w:val="22"/>
                <w:szCs w:val="22"/>
              </w:rPr>
              <w:instrText xml:space="preserve"> PAGEREF _Toc57193608 \h </w:instrText>
            </w:r>
            <w:r w:rsidR="00A663C5" w:rsidRPr="002A2715">
              <w:rPr>
                <w:rFonts w:cs="Calibri"/>
                <w:b w:val="0"/>
                <w:bCs/>
                <w:noProof/>
                <w:webHidden/>
                <w:sz w:val="22"/>
                <w:szCs w:val="22"/>
              </w:rPr>
            </w:r>
            <w:r w:rsidR="00A663C5" w:rsidRPr="002A2715">
              <w:rPr>
                <w:rFonts w:cs="Calibri"/>
                <w:b w:val="0"/>
                <w:bCs/>
                <w:noProof/>
                <w:webHidden/>
                <w:sz w:val="22"/>
                <w:szCs w:val="22"/>
              </w:rPr>
              <w:fldChar w:fldCharType="separate"/>
            </w:r>
            <w:r w:rsidR="00E86DA9">
              <w:rPr>
                <w:rFonts w:cs="Calibri"/>
                <w:b w:val="0"/>
                <w:bCs/>
                <w:noProof/>
                <w:webHidden/>
                <w:sz w:val="22"/>
                <w:szCs w:val="22"/>
              </w:rPr>
              <w:t>27</w:t>
            </w:r>
            <w:r w:rsidR="00A663C5" w:rsidRPr="002A2715">
              <w:rPr>
                <w:rFonts w:cs="Calibri"/>
                <w:b w:val="0"/>
                <w:bCs/>
                <w:noProof/>
                <w:webHidden/>
                <w:sz w:val="22"/>
                <w:szCs w:val="22"/>
              </w:rPr>
              <w:fldChar w:fldCharType="end"/>
            </w:r>
          </w:hyperlink>
        </w:p>
        <w:p w14:paraId="2C74EEE0" w14:textId="09ACE72E" w:rsidR="00A663C5" w:rsidRPr="002A2715" w:rsidRDefault="00B4381F" w:rsidP="002A2715">
          <w:pPr>
            <w:pStyle w:val="TOC2"/>
            <w:spacing w:after="0" w:line="360" w:lineRule="auto"/>
            <w:rPr>
              <w:rFonts w:eastAsiaTheme="minorEastAsia" w:cs="Calibri"/>
              <w:color w:val="auto"/>
              <w:kern w:val="0"/>
              <w:szCs w:val="22"/>
            </w:rPr>
          </w:pPr>
          <w:hyperlink w:anchor="_Toc57193609" w:history="1">
            <w:r w:rsidR="00A663C5" w:rsidRPr="002A2715">
              <w:rPr>
                <w:rStyle w:val="Hyperlink"/>
                <w:rFonts w:cs="Calibri"/>
                <w:bCs/>
                <w:szCs w:val="22"/>
              </w:rPr>
              <w:t>Average ELCC versus Incremental ELCC</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_Toc57193609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28</w:t>
            </w:r>
            <w:r w:rsidR="00A663C5" w:rsidRPr="002A2715">
              <w:rPr>
                <w:rFonts w:cs="Calibri"/>
                <w:webHidden/>
                <w:szCs w:val="22"/>
              </w:rPr>
              <w:fldChar w:fldCharType="end"/>
            </w:r>
          </w:hyperlink>
        </w:p>
        <w:p w14:paraId="1CFCE530" w14:textId="44B05849" w:rsidR="00A663C5" w:rsidRPr="002A2715" w:rsidRDefault="00B4381F" w:rsidP="002A2715">
          <w:pPr>
            <w:pStyle w:val="TOC2"/>
            <w:spacing w:after="0" w:line="360" w:lineRule="auto"/>
            <w:rPr>
              <w:rFonts w:eastAsiaTheme="minorEastAsia" w:cs="Calibri"/>
              <w:color w:val="auto"/>
              <w:kern w:val="0"/>
              <w:szCs w:val="22"/>
            </w:rPr>
          </w:pPr>
          <w:hyperlink w:anchor="_Toc57193610" w:history="1">
            <w:r w:rsidR="00A663C5" w:rsidRPr="002A2715">
              <w:rPr>
                <w:rStyle w:val="Hyperlink"/>
                <w:rFonts w:cs="Calibri"/>
                <w:bCs/>
                <w:szCs w:val="22"/>
              </w:rPr>
              <w:t>ELCC Results</w:t>
            </w:r>
            <w:r w:rsidR="00A663C5" w:rsidRPr="002A2715">
              <w:rPr>
                <w:rFonts w:cs="Calibri"/>
                <w:webHidden/>
                <w:szCs w:val="22"/>
              </w:rPr>
              <w:tab/>
            </w:r>
            <w:r w:rsidR="00A663C5" w:rsidRPr="002A2715">
              <w:rPr>
                <w:rFonts w:cs="Calibri"/>
                <w:webHidden/>
                <w:szCs w:val="22"/>
              </w:rPr>
              <w:fldChar w:fldCharType="begin"/>
            </w:r>
            <w:r w:rsidR="00A663C5" w:rsidRPr="002A2715">
              <w:rPr>
                <w:rFonts w:cs="Calibri"/>
                <w:webHidden/>
                <w:szCs w:val="22"/>
              </w:rPr>
              <w:instrText xml:space="preserve"> PAGEREF _Toc57193610 \h </w:instrText>
            </w:r>
            <w:r w:rsidR="00A663C5" w:rsidRPr="002A2715">
              <w:rPr>
                <w:rFonts w:cs="Calibri"/>
                <w:webHidden/>
                <w:szCs w:val="22"/>
              </w:rPr>
            </w:r>
            <w:r w:rsidR="00A663C5" w:rsidRPr="002A2715">
              <w:rPr>
                <w:rFonts w:cs="Calibri"/>
                <w:webHidden/>
                <w:szCs w:val="22"/>
              </w:rPr>
              <w:fldChar w:fldCharType="separate"/>
            </w:r>
            <w:r w:rsidR="00E86DA9">
              <w:rPr>
                <w:rFonts w:cs="Calibri"/>
                <w:webHidden/>
                <w:szCs w:val="22"/>
              </w:rPr>
              <w:t>29</w:t>
            </w:r>
            <w:r w:rsidR="00A663C5" w:rsidRPr="002A2715">
              <w:rPr>
                <w:rFonts w:cs="Calibri"/>
                <w:webHidden/>
                <w:szCs w:val="22"/>
              </w:rPr>
              <w:fldChar w:fldCharType="end"/>
            </w:r>
          </w:hyperlink>
        </w:p>
        <w:p w14:paraId="67F432F4" w14:textId="164A7F6D" w:rsidR="004A3BF6" w:rsidRDefault="004A3BF6" w:rsidP="002A2715">
          <w:pPr>
            <w:spacing w:after="0" w:line="360" w:lineRule="auto"/>
          </w:pPr>
          <w:r w:rsidRPr="002A2715">
            <w:rPr>
              <w:rFonts w:cs="Calibri"/>
              <w:bCs/>
              <w:noProof/>
            </w:rPr>
            <w:fldChar w:fldCharType="end"/>
          </w:r>
        </w:p>
      </w:sdtContent>
    </w:sdt>
    <w:p w14:paraId="154ACE0E" w14:textId="77777777" w:rsidR="009D5510" w:rsidRPr="009D5510" w:rsidRDefault="009D5510" w:rsidP="009D2856"/>
    <w:p w14:paraId="6F62374B" w14:textId="50E1E961" w:rsidR="00104318" w:rsidRPr="009D5510" w:rsidRDefault="009D5510" w:rsidP="00104318">
      <w:pPr>
        <w:pStyle w:val="Heading1"/>
        <w:rPr>
          <w:color w:val="auto"/>
          <w:sz w:val="28"/>
        </w:rPr>
      </w:pPr>
      <w:bookmarkStart w:id="1" w:name="_Toc57193550"/>
      <w:bookmarkEnd w:id="0"/>
      <w:r w:rsidRPr="009D5510">
        <w:rPr>
          <w:color w:val="auto"/>
          <w:sz w:val="28"/>
        </w:rPr>
        <w:t>EXECUTIVE SUMMARY</w:t>
      </w:r>
      <w:bookmarkEnd w:id="1"/>
    </w:p>
    <w:p w14:paraId="4DE3BBCF" w14:textId="5FD83E5A" w:rsidR="009D5510" w:rsidRDefault="009D5510" w:rsidP="009D5510">
      <w:pPr>
        <w:pStyle w:val="BGNormal125"/>
        <w:rPr>
          <w:rFonts w:ascii="Calibri" w:hAnsi="Calibri" w:cs="Calibri"/>
          <w:color w:val="auto"/>
        </w:rPr>
      </w:pPr>
      <w:r w:rsidRPr="007014FE">
        <w:rPr>
          <w:rFonts w:ascii="Calibri" w:hAnsi="Calibri" w:cs="Calibri"/>
          <w:color w:val="auto"/>
        </w:rPr>
        <w:t>We have been asked by the Electric Reliability Council of Texas (ERCOT)</w:t>
      </w:r>
      <w:r w:rsidR="00AC1E78">
        <w:rPr>
          <w:rFonts w:ascii="Calibri" w:hAnsi="Calibri" w:cs="Calibri"/>
          <w:color w:val="auto"/>
        </w:rPr>
        <w:t xml:space="preserve"> </w:t>
      </w:r>
      <w:r w:rsidRPr="007014FE">
        <w:rPr>
          <w:rFonts w:ascii="Calibri" w:hAnsi="Calibri" w:cs="Calibri"/>
          <w:color w:val="auto"/>
        </w:rPr>
        <w:t xml:space="preserve">to estimate the market equilibrium reserve margin (MERM) and the economically optimal reserve margin (EORM) for ERCOT’s wholesale electric market.  </w:t>
      </w:r>
      <w:r w:rsidR="005962CF">
        <w:rPr>
          <w:rFonts w:ascii="Calibri" w:hAnsi="Calibri" w:cs="Calibri"/>
          <w:color w:val="auto"/>
        </w:rPr>
        <w:t xml:space="preserve">For this analysis, </w:t>
      </w:r>
      <w:r w:rsidRPr="007014FE">
        <w:rPr>
          <w:rFonts w:ascii="Calibri" w:hAnsi="Calibri" w:cs="Calibri"/>
          <w:color w:val="auto"/>
        </w:rPr>
        <w:t>Astrapé Consulting simulat</w:t>
      </w:r>
      <w:r w:rsidR="005962CF">
        <w:rPr>
          <w:rFonts w:ascii="Calibri" w:hAnsi="Calibri" w:cs="Calibri"/>
          <w:color w:val="auto"/>
        </w:rPr>
        <w:t>ed</w:t>
      </w:r>
      <w:r w:rsidRPr="007014FE">
        <w:rPr>
          <w:rFonts w:ascii="Calibri" w:hAnsi="Calibri" w:cs="Calibri"/>
          <w:color w:val="auto"/>
        </w:rPr>
        <w:t xml:space="preserve"> the ERCOT market using its Strategic Energy </w:t>
      </w:r>
      <w:r w:rsidR="000C2286">
        <w:rPr>
          <w:rFonts w:ascii="Calibri" w:hAnsi="Calibri" w:cs="Calibri"/>
          <w:color w:val="auto"/>
        </w:rPr>
        <w:t xml:space="preserve">&amp; </w:t>
      </w:r>
      <w:r w:rsidRPr="007014FE">
        <w:rPr>
          <w:rFonts w:ascii="Calibri" w:hAnsi="Calibri" w:cs="Calibri"/>
          <w:color w:val="auto"/>
        </w:rPr>
        <w:t xml:space="preserve">Risk Valuation Model (SERVM).  The model </w:t>
      </w:r>
      <w:r w:rsidR="000C2286">
        <w:rPr>
          <w:rFonts w:ascii="Calibri" w:hAnsi="Calibri" w:cs="Calibri"/>
          <w:color w:val="auto"/>
        </w:rPr>
        <w:t>captures</w:t>
      </w:r>
      <w:r w:rsidR="000C2286" w:rsidRPr="007014FE">
        <w:rPr>
          <w:rFonts w:ascii="Calibri" w:hAnsi="Calibri" w:cs="Calibri"/>
          <w:color w:val="auto"/>
        </w:rPr>
        <w:t xml:space="preserve"> </w:t>
      </w:r>
      <w:r w:rsidRPr="007014FE">
        <w:rPr>
          <w:rFonts w:ascii="Calibri" w:hAnsi="Calibri" w:cs="Calibri"/>
          <w:color w:val="auto"/>
        </w:rPr>
        <w:t>ERCOT’s wholesale market design and projected system conditions for 202</w:t>
      </w:r>
      <w:r w:rsidR="007014FE" w:rsidRPr="007014FE">
        <w:rPr>
          <w:rFonts w:ascii="Calibri" w:hAnsi="Calibri" w:cs="Calibri"/>
          <w:color w:val="auto"/>
        </w:rPr>
        <w:t>4</w:t>
      </w:r>
      <w:r w:rsidRPr="007014FE">
        <w:rPr>
          <w:rFonts w:ascii="Calibri" w:hAnsi="Calibri" w:cs="Calibri"/>
          <w:color w:val="auto"/>
        </w:rPr>
        <w:t>; it probabilistically simulates the economic and reliability implications of a range of possible reserve margins under a range of weather and other conditions.</w:t>
      </w:r>
      <w:r w:rsidR="00931C4F">
        <w:rPr>
          <w:rFonts w:ascii="Calibri" w:hAnsi="Calibri" w:cs="Calibri"/>
          <w:color w:val="auto"/>
        </w:rPr>
        <w:t xml:space="preserve"> </w:t>
      </w:r>
      <w:r w:rsidR="00931C4F" w:rsidRPr="007014FE">
        <w:rPr>
          <w:rFonts w:ascii="Calibri" w:hAnsi="Calibri" w:cs="Calibri"/>
          <w:color w:val="auto"/>
        </w:rPr>
        <w:t>Th</w:t>
      </w:r>
      <w:r w:rsidR="00931C4F">
        <w:rPr>
          <w:rFonts w:ascii="Calibri" w:hAnsi="Calibri" w:cs="Calibri"/>
          <w:color w:val="auto"/>
        </w:rPr>
        <w:t>e MERM</w:t>
      </w:r>
      <w:r w:rsidR="00931C4F" w:rsidRPr="007014FE">
        <w:rPr>
          <w:rFonts w:ascii="Calibri" w:hAnsi="Calibri" w:cs="Calibri"/>
          <w:color w:val="auto"/>
        </w:rPr>
        <w:t xml:space="preserve"> concept is relevant in ERCOT because, unlike all other electricity systems in North America, ERCOT does not have a resource adequacy reliability standard or reserve margin requirement.  In ERCOT, the reserve margin is ultimately determined by suppliers’ costs and willingness to invest based on market prices, where prices are determined by market fundamentals and by the administratively-determined Operating Reserve Demand Curve (ORDC) during tight market conditions.  This approach creates a supply response to changes in energy market prices towards a “market equilibrium”; low reserve margins cause high energy and ancillary service (A/S) prices and attract investment in new resources, and investment will continue until high reserve margins result in prices too low to support further investment.</w:t>
      </w:r>
    </w:p>
    <w:p w14:paraId="71C36607" w14:textId="4B7A6A97" w:rsidR="00990060" w:rsidRDefault="00C27654" w:rsidP="005D3D19">
      <w:pPr>
        <w:pStyle w:val="BGNormal125"/>
        <w:rPr>
          <w:rFonts w:ascii="Calibri" w:hAnsi="Calibri" w:cs="Calibri"/>
          <w:color w:val="auto"/>
        </w:rPr>
      </w:pPr>
      <w:r w:rsidRPr="00C10C7E">
        <w:rPr>
          <w:rFonts w:ascii="Calibri" w:hAnsi="Calibri" w:cs="Calibri"/>
          <w:color w:val="auto"/>
        </w:rPr>
        <w:t>We estimate a market equilibrium reserve margin of 1</w:t>
      </w:r>
      <w:r w:rsidR="00016A7D">
        <w:rPr>
          <w:rFonts w:ascii="Calibri" w:hAnsi="Calibri" w:cs="Calibri"/>
          <w:color w:val="auto"/>
        </w:rPr>
        <w:t>2</w:t>
      </w:r>
      <w:r w:rsidRPr="00C10C7E">
        <w:rPr>
          <w:rFonts w:ascii="Calibri" w:hAnsi="Calibri" w:cs="Calibri"/>
          <w:color w:val="auto"/>
        </w:rPr>
        <w:t xml:space="preserve">.25% under projected 2024 market conditions, as shown in </w:t>
      </w:r>
      <w:r w:rsidRPr="00C10C7E">
        <w:rPr>
          <w:rFonts w:ascii="Calibri" w:hAnsi="Calibri" w:cs="Calibri"/>
          <w:color w:val="auto"/>
        </w:rPr>
        <w:fldChar w:fldCharType="begin"/>
      </w:r>
      <w:r w:rsidRPr="00C10C7E">
        <w:rPr>
          <w:rFonts w:ascii="Calibri" w:hAnsi="Calibri" w:cs="Calibri"/>
          <w:color w:val="auto"/>
        </w:rPr>
        <w:instrText xml:space="preserve"> REF _Ref525804714 \h  \* MERGEFORMAT </w:instrText>
      </w:r>
      <w:r w:rsidRPr="00C10C7E">
        <w:rPr>
          <w:rFonts w:ascii="Calibri" w:hAnsi="Calibri" w:cs="Calibri"/>
          <w:color w:val="auto"/>
        </w:rPr>
      </w:r>
      <w:r w:rsidRPr="00C10C7E">
        <w:rPr>
          <w:rFonts w:ascii="Calibri" w:hAnsi="Calibri" w:cs="Calibri"/>
          <w:color w:val="auto"/>
        </w:rPr>
        <w:fldChar w:fldCharType="separate"/>
      </w:r>
      <w:r w:rsidRPr="00C10C7E">
        <w:rPr>
          <w:rFonts w:ascii="Calibri" w:hAnsi="Calibri" w:cs="Calibri"/>
          <w:color w:val="auto"/>
        </w:rPr>
        <w:t>Figure ES-1</w:t>
      </w:r>
      <w:r w:rsidRPr="00C10C7E">
        <w:rPr>
          <w:rFonts w:ascii="Calibri" w:hAnsi="Calibri" w:cs="Calibri"/>
          <w:color w:val="auto"/>
        </w:rPr>
        <w:fldChar w:fldCharType="end"/>
      </w:r>
      <w:r w:rsidRPr="00C10C7E">
        <w:rPr>
          <w:rFonts w:ascii="Calibri" w:hAnsi="Calibri" w:cs="Calibri"/>
          <w:color w:val="auto"/>
        </w:rPr>
        <w:t>.</w:t>
      </w:r>
      <w:r w:rsidRPr="00C10C7E">
        <w:rPr>
          <w:rStyle w:val="FootnoteReference"/>
          <w:rFonts w:ascii="Calibri" w:hAnsi="Calibri" w:cs="Calibri"/>
          <w:color w:val="auto"/>
        </w:rPr>
        <w:footnoteReference w:id="1"/>
      </w:r>
      <w:r w:rsidRPr="00C10C7E">
        <w:rPr>
          <w:rFonts w:ascii="Calibri" w:hAnsi="Calibri" w:cs="Calibri"/>
          <w:color w:val="auto"/>
        </w:rPr>
        <w:t xml:space="preserve"> This is </w:t>
      </w:r>
      <w:r w:rsidR="00D20FB6">
        <w:rPr>
          <w:rFonts w:ascii="Calibri" w:hAnsi="Calibri" w:cs="Calibri"/>
          <w:color w:val="auto"/>
        </w:rPr>
        <w:t>higher than</w:t>
      </w:r>
      <w:r w:rsidRPr="00C10C7E">
        <w:rPr>
          <w:rFonts w:ascii="Calibri" w:hAnsi="Calibri" w:cs="Calibri"/>
          <w:color w:val="auto"/>
        </w:rPr>
        <w:t xml:space="preserve"> our MERM projection</w:t>
      </w:r>
      <w:r w:rsidR="00990060">
        <w:rPr>
          <w:rFonts w:ascii="Calibri" w:hAnsi="Calibri" w:cs="Calibri"/>
          <w:color w:val="auto"/>
        </w:rPr>
        <w:t xml:space="preserve"> of 10.25%</w:t>
      </w:r>
      <w:r w:rsidRPr="00C10C7E">
        <w:rPr>
          <w:rFonts w:ascii="Calibri" w:hAnsi="Calibri" w:cs="Calibri"/>
          <w:color w:val="auto"/>
        </w:rPr>
        <w:t xml:space="preserve"> in our 2018 study</w:t>
      </w:r>
      <w:r w:rsidR="00952C07">
        <w:rPr>
          <w:rFonts w:ascii="Calibri" w:hAnsi="Calibri" w:cs="Calibri"/>
          <w:color w:val="auto"/>
        </w:rPr>
        <w:t>, however, the projections of system reliability are nearly identical at 0.5 Loss of Load Expectation (LOLE)</w:t>
      </w:r>
      <w:r w:rsidR="00F36711" w:rsidRPr="00C10C7E">
        <w:rPr>
          <w:rFonts w:ascii="Calibri" w:hAnsi="Calibri" w:cs="Calibri"/>
          <w:color w:val="auto"/>
        </w:rPr>
        <w:t>.</w:t>
      </w:r>
      <w:r w:rsidR="00F27FFA">
        <w:rPr>
          <w:rStyle w:val="FootnoteReference"/>
          <w:rFonts w:ascii="Calibri" w:hAnsi="Calibri" w:cs="Calibri"/>
          <w:color w:val="auto"/>
        </w:rPr>
        <w:footnoteReference w:id="2"/>
      </w:r>
    </w:p>
    <w:p w14:paraId="614BBA12" w14:textId="77777777" w:rsidR="003A1D09" w:rsidRDefault="003A1D09" w:rsidP="00990060">
      <w:pPr>
        <w:pStyle w:val="Caption"/>
        <w:jc w:val="center"/>
        <w:rPr>
          <w:rFonts w:cs="Calibri"/>
          <w:b/>
          <w:bCs/>
          <w:i w:val="0"/>
          <w:iCs w:val="0"/>
          <w:color w:val="auto"/>
          <w:sz w:val="22"/>
          <w:szCs w:val="22"/>
        </w:rPr>
      </w:pPr>
    </w:p>
    <w:p w14:paraId="5449FEA3" w14:textId="77777777" w:rsidR="003A1D09" w:rsidRDefault="003A1D09" w:rsidP="00990060">
      <w:pPr>
        <w:pStyle w:val="Caption"/>
        <w:jc w:val="center"/>
        <w:rPr>
          <w:rFonts w:cs="Calibri"/>
          <w:b/>
          <w:bCs/>
          <w:i w:val="0"/>
          <w:iCs w:val="0"/>
          <w:color w:val="auto"/>
          <w:sz w:val="22"/>
          <w:szCs w:val="22"/>
        </w:rPr>
      </w:pPr>
    </w:p>
    <w:p w14:paraId="53C1A13A" w14:textId="77777777" w:rsidR="003A1D09" w:rsidRDefault="003A1D09" w:rsidP="00990060">
      <w:pPr>
        <w:pStyle w:val="Caption"/>
        <w:jc w:val="center"/>
        <w:rPr>
          <w:rFonts w:cs="Calibri"/>
          <w:b/>
          <w:bCs/>
          <w:i w:val="0"/>
          <w:iCs w:val="0"/>
          <w:color w:val="auto"/>
          <w:sz w:val="22"/>
          <w:szCs w:val="22"/>
        </w:rPr>
      </w:pPr>
    </w:p>
    <w:p w14:paraId="7C269302" w14:textId="77777777" w:rsidR="003A1D09" w:rsidRDefault="003A1D09" w:rsidP="003A1D09">
      <w:pPr>
        <w:pStyle w:val="BGNormal150"/>
      </w:pPr>
    </w:p>
    <w:p w14:paraId="0AD29B24" w14:textId="77777777" w:rsidR="003A1D09" w:rsidRDefault="003A1D09" w:rsidP="003A1D09">
      <w:pPr>
        <w:pStyle w:val="BGNormal150"/>
      </w:pPr>
    </w:p>
    <w:p w14:paraId="1812C3A7" w14:textId="07CDFE47" w:rsidR="003A1D09" w:rsidRDefault="003A1D09" w:rsidP="003A1D09"/>
    <w:p w14:paraId="04A08D17" w14:textId="1E514DAD" w:rsidR="003A1D09" w:rsidRDefault="003A1D09" w:rsidP="003A1D09"/>
    <w:p w14:paraId="301DA0AB" w14:textId="77777777" w:rsidR="003A1D09" w:rsidRDefault="003A1D09" w:rsidP="003A1D09"/>
    <w:p w14:paraId="67B62946" w14:textId="3656A167" w:rsidR="00990060" w:rsidRPr="00C10C7E" w:rsidRDefault="00990060" w:rsidP="003A1D09">
      <w:pPr>
        <w:pStyle w:val="Caption"/>
        <w:spacing w:after="0"/>
        <w:jc w:val="center"/>
        <w:rPr>
          <w:b/>
          <w:bCs/>
          <w:i w:val="0"/>
          <w:iCs w:val="0"/>
          <w:color w:val="auto"/>
          <w:sz w:val="22"/>
          <w:szCs w:val="22"/>
        </w:rPr>
      </w:pPr>
      <w:r w:rsidRPr="00C10C7E">
        <w:rPr>
          <w:rFonts w:cs="Calibri"/>
          <w:b/>
          <w:bCs/>
          <w:i w:val="0"/>
          <w:iCs w:val="0"/>
          <w:color w:val="auto"/>
          <w:sz w:val="22"/>
          <w:szCs w:val="22"/>
        </w:rPr>
        <w:t>Figure ES-</w:t>
      </w:r>
      <w:r w:rsidRPr="00C10C7E">
        <w:rPr>
          <w:rFonts w:cs="Calibri"/>
          <w:b/>
          <w:bCs/>
          <w:i w:val="0"/>
          <w:iCs w:val="0"/>
          <w:noProof/>
          <w:color w:val="auto"/>
          <w:sz w:val="22"/>
          <w:szCs w:val="22"/>
        </w:rPr>
        <w:fldChar w:fldCharType="begin"/>
      </w:r>
      <w:r w:rsidRPr="00C10C7E">
        <w:rPr>
          <w:rFonts w:cs="Calibri"/>
          <w:b/>
          <w:bCs/>
          <w:i w:val="0"/>
          <w:iCs w:val="0"/>
          <w:noProof/>
          <w:color w:val="auto"/>
          <w:sz w:val="22"/>
          <w:szCs w:val="22"/>
        </w:rPr>
        <w:instrText xml:space="preserve"> SEQ Figure_ES- \* ARABIC </w:instrText>
      </w:r>
      <w:r w:rsidRPr="00C10C7E">
        <w:rPr>
          <w:rFonts w:cs="Calibri"/>
          <w:b/>
          <w:bCs/>
          <w:i w:val="0"/>
          <w:iCs w:val="0"/>
          <w:noProof/>
          <w:color w:val="auto"/>
          <w:sz w:val="22"/>
          <w:szCs w:val="22"/>
        </w:rPr>
        <w:fldChar w:fldCharType="separate"/>
      </w:r>
      <w:r w:rsidRPr="00C10C7E">
        <w:rPr>
          <w:rFonts w:cs="Calibri"/>
          <w:b/>
          <w:bCs/>
          <w:i w:val="0"/>
          <w:iCs w:val="0"/>
          <w:noProof/>
          <w:color w:val="auto"/>
          <w:sz w:val="22"/>
          <w:szCs w:val="22"/>
        </w:rPr>
        <w:t>1</w:t>
      </w:r>
      <w:r w:rsidRPr="00C10C7E">
        <w:rPr>
          <w:rFonts w:cs="Calibri"/>
          <w:b/>
          <w:bCs/>
          <w:i w:val="0"/>
          <w:iCs w:val="0"/>
          <w:noProof/>
          <w:color w:val="auto"/>
          <w:sz w:val="22"/>
          <w:szCs w:val="22"/>
        </w:rPr>
        <w:fldChar w:fldCharType="end"/>
      </w:r>
      <w:r w:rsidRPr="00C10C7E">
        <w:rPr>
          <w:rFonts w:cs="Calibri"/>
          <w:b/>
          <w:bCs/>
          <w:i w:val="0"/>
          <w:iCs w:val="0"/>
          <w:noProof/>
          <w:color w:val="auto"/>
          <w:sz w:val="22"/>
          <w:szCs w:val="22"/>
        </w:rPr>
        <w:t>. Market Equilibrium Reserve Margin</w:t>
      </w:r>
    </w:p>
    <w:p w14:paraId="323B14ED" w14:textId="7BA98A26" w:rsidR="00990060" w:rsidRPr="003A1D09" w:rsidRDefault="00990060" w:rsidP="003A1D09">
      <w:pPr>
        <w:pStyle w:val="Caption"/>
        <w:jc w:val="center"/>
        <w:rPr>
          <w:rFonts w:cs="Calibri"/>
          <w:color w:val="C00000"/>
        </w:rPr>
      </w:pPr>
      <w:r>
        <w:rPr>
          <w:rFonts w:cs="Calibri"/>
          <w:noProof/>
          <w:color w:val="C00000"/>
        </w:rPr>
        <w:drawing>
          <wp:inline distT="0" distB="0" distL="0" distR="0" wp14:anchorId="6F110355" wp14:editId="41668A9D">
            <wp:extent cx="5005070" cy="33591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070" cy="3359150"/>
                    </a:xfrm>
                    <a:prstGeom prst="rect">
                      <a:avLst/>
                    </a:prstGeom>
                    <a:noFill/>
                  </pic:spPr>
                </pic:pic>
              </a:graphicData>
            </a:graphic>
          </wp:inline>
        </w:drawing>
      </w:r>
    </w:p>
    <w:p w14:paraId="158DF971" w14:textId="0036B01F" w:rsidR="005D3D19" w:rsidRDefault="005D3D19" w:rsidP="005D3D19">
      <w:pPr>
        <w:pStyle w:val="BGNormal125"/>
        <w:rPr>
          <w:rFonts w:ascii="Calibri" w:hAnsi="Calibri" w:cs="Calibri"/>
          <w:color w:val="auto"/>
        </w:rPr>
      </w:pPr>
      <w:r>
        <w:rPr>
          <w:rFonts w:ascii="Calibri" w:hAnsi="Calibri" w:cs="Calibri"/>
          <w:color w:val="auto"/>
        </w:rPr>
        <w:t xml:space="preserve">Input and </w:t>
      </w:r>
      <w:r w:rsidR="007B2C10">
        <w:rPr>
          <w:rFonts w:ascii="Calibri" w:hAnsi="Calibri" w:cs="Calibri"/>
          <w:color w:val="auto"/>
        </w:rPr>
        <w:t xml:space="preserve">reserve margin </w:t>
      </w:r>
      <w:r>
        <w:rPr>
          <w:rFonts w:ascii="Calibri" w:hAnsi="Calibri" w:cs="Calibri"/>
          <w:color w:val="auto"/>
        </w:rPr>
        <w:t>accounting c</w:t>
      </w:r>
      <w:r w:rsidR="00F36711" w:rsidRPr="00C10C7E">
        <w:rPr>
          <w:rFonts w:ascii="Calibri" w:hAnsi="Calibri" w:cs="Calibri"/>
          <w:color w:val="auto"/>
        </w:rPr>
        <w:t xml:space="preserve">hanges with both </w:t>
      </w:r>
      <w:r>
        <w:rPr>
          <w:rFonts w:ascii="Calibri" w:hAnsi="Calibri" w:cs="Calibri"/>
          <w:color w:val="auto"/>
        </w:rPr>
        <w:t>upward</w:t>
      </w:r>
      <w:r w:rsidRPr="00C10C7E">
        <w:rPr>
          <w:rFonts w:ascii="Calibri" w:hAnsi="Calibri" w:cs="Calibri"/>
          <w:color w:val="auto"/>
        </w:rPr>
        <w:t xml:space="preserve"> </w:t>
      </w:r>
      <w:r w:rsidR="00F36711" w:rsidRPr="00C10C7E">
        <w:rPr>
          <w:rFonts w:ascii="Calibri" w:hAnsi="Calibri" w:cs="Calibri"/>
          <w:color w:val="auto"/>
        </w:rPr>
        <w:t xml:space="preserve">and </w:t>
      </w:r>
      <w:r>
        <w:rPr>
          <w:rFonts w:ascii="Calibri" w:hAnsi="Calibri" w:cs="Calibri"/>
          <w:color w:val="auto"/>
        </w:rPr>
        <w:t>downward</w:t>
      </w:r>
      <w:r w:rsidRPr="00C10C7E">
        <w:rPr>
          <w:rFonts w:ascii="Calibri" w:hAnsi="Calibri" w:cs="Calibri"/>
          <w:color w:val="auto"/>
        </w:rPr>
        <w:t xml:space="preserve"> </w:t>
      </w:r>
      <w:r w:rsidR="00F36711" w:rsidRPr="00C10C7E">
        <w:rPr>
          <w:rFonts w:ascii="Calibri" w:hAnsi="Calibri" w:cs="Calibri"/>
          <w:color w:val="auto"/>
        </w:rPr>
        <w:t>effects have been introduced since 2018</w:t>
      </w:r>
      <w:r>
        <w:rPr>
          <w:rFonts w:ascii="Calibri" w:hAnsi="Calibri" w:cs="Calibri"/>
          <w:color w:val="auto"/>
        </w:rPr>
        <w:t xml:space="preserve">. An increase in renewable penetration put downward pressure on MERM, </w:t>
      </w:r>
      <w:r w:rsidR="00310D1F">
        <w:rPr>
          <w:rFonts w:ascii="Calibri" w:hAnsi="Calibri" w:cs="Calibri"/>
          <w:color w:val="auto"/>
        </w:rPr>
        <w:t>while</w:t>
      </w:r>
      <w:r w:rsidR="007B2C10">
        <w:rPr>
          <w:rFonts w:ascii="Calibri" w:hAnsi="Calibri" w:cs="Calibri"/>
          <w:color w:val="auto"/>
        </w:rPr>
        <w:t xml:space="preserve"> </w:t>
      </w:r>
      <w:r>
        <w:rPr>
          <w:rFonts w:ascii="Calibri" w:hAnsi="Calibri" w:cs="Calibri"/>
          <w:color w:val="auto"/>
        </w:rPr>
        <w:t xml:space="preserve">the </w:t>
      </w:r>
      <w:r w:rsidR="007B2C10">
        <w:rPr>
          <w:rFonts w:ascii="Calibri" w:hAnsi="Calibri" w:cs="Calibri"/>
          <w:color w:val="auto"/>
        </w:rPr>
        <w:t xml:space="preserve">changes in </w:t>
      </w:r>
      <w:r w:rsidR="000C2286">
        <w:rPr>
          <w:rFonts w:ascii="Calibri" w:hAnsi="Calibri" w:cs="Calibri"/>
          <w:color w:val="auto"/>
        </w:rPr>
        <w:t xml:space="preserve">resource </w:t>
      </w:r>
      <w:r>
        <w:rPr>
          <w:rFonts w:ascii="Calibri" w:hAnsi="Calibri" w:cs="Calibri"/>
          <w:color w:val="auto"/>
        </w:rPr>
        <w:t xml:space="preserve">accounting </w:t>
      </w:r>
      <w:r w:rsidR="007B2C10">
        <w:rPr>
          <w:rFonts w:ascii="Calibri" w:hAnsi="Calibri" w:cs="Calibri"/>
          <w:color w:val="auto"/>
        </w:rPr>
        <w:t>increased the</w:t>
      </w:r>
      <w:r>
        <w:rPr>
          <w:rFonts w:ascii="Calibri" w:hAnsi="Calibri" w:cs="Calibri"/>
          <w:color w:val="auto"/>
        </w:rPr>
        <w:t xml:space="preserve"> MERM. The PUCT administered changes to the ORDC which put upward pressure on MERM, and higher forced outage rates also put upward pressure on MERM.</w:t>
      </w:r>
      <w:r w:rsidR="00F36711" w:rsidRPr="00C10C7E">
        <w:rPr>
          <w:rFonts w:ascii="Calibri" w:hAnsi="Calibri" w:cs="Calibri"/>
          <w:color w:val="auto"/>
        </w:rPr>
        <w:t xml:space="preserve"> </w:t>
      </w:r>
      <w:r>
        <w:rPr>
          <w:rFonts w:ascii="Calibri" w:hAnsi="Calibri" w:cs="Calibri"/>
          <w:color w:val="auto"/>
        </w:rPr>
        <w:t xml:space="preserve">The </w:t>
      </w:r>
      <w:r w:rsidR="000C2286">
        <w:rPr>
          <w:rFonts w:ascii="Calibri" w:hAnsi="Calibri" w:cs="Calibri"/>
          <w:color w:val="auto"/>
        </w:rPr>
        <w:t>change in</w:t>
      </w:r>
      <w:r>
        <w:rPr>
          <w:rFonts w:ascii="Calibri" w:hAnsi="Calibri" w:cs="Calibri"/>
          <w:color w:val="auto"/>
        </w:rPr>
        <w:t xml:space="preserve"> marginal resource </w:t>
      </w:r>
      <w:r w:rsidR="000C2286">
        <w:rPr>
          <w:rFonts w:ascii="Calibri" w:hAnsi="Calibri" w:cs="Calibri"/>
          <w:color w:val="auto"/>
        </w:rPr>
        <w:t xml:space="preserve">composition </w:t>
      </w:r>
      <w:r>
        <w:rPr>
          <w:rFonts w:ascii="Calibri" w:hAnsi="Calibri" w:cs="Calibri"/>
          <w:color w:val="auto"/>
        </w:rPr>
        <w:t>put slight downward pressure on MERM. T</w:t>
      </w:r>
      <w:r w:rsidRPr="00652758">
        <w:rPr>
          <w:rFonts w:ascii="Calibri" w:hAnsi="Calibri" w:cs="Calibri"/>
          <w:color w:val="auto"/>
        </w:rPr>
        <w:t>he waterfall chart in Figure ES-</w:t>
      </w:r>
      <w:r w:rsidR="00D1756E">
        <w:rPr>
          <w:rFonts w:ascii="Calibri" w:hAnsi="Calibri" w:cs="Calibri"/>
          <w:color w:val="auto"/>
        </w:rPr>
        <w:t>2</w:t>
      </w:r>
      <w:r>
        <w:rPr>
          <w:rFonts w:ascii="Calibri" w:hAnsi="Calibri" w:cs="Calibri"/>
          <w:color w:val="auto"/>
        </w:rPr>
        <w:t xml:space="preserve"> quantifies the magnitude of </w:t>
      </w:r>
      <w:r w:rsidR="00990060">
        <w:rPr>
          <w:rFonts w:ascii="Calibri" w:hAnsi="Calibri" w:cs="Calibri"/>
          <w:color w:val="auto"/>
        </w:rPr>
        <w:t>the impact of each of these factors</w:t>
      </w:r>
      <w:r w:rsidRPr="00652758">
        <w:rPr>
          <w:rFonts w:ascii="Calibri" w:hAnsi="Calibri" w:cs="Calibri"/>
          <w:color w:val="auto"/>
        </w:rPr>
        <w:t>.</w:t>
      </w:r>
    </w:p>
    <w:p w14:paraId="6D29C62A" w14:textId="76A4327D" w:rsidR="003A1D09" w:rsidRDefault="003A1D09" w:rsidP="005D3D19">
      <w:pPr>
        <w:pStyle w:val="BGNormal125"/>
        <w:rPr>
          <w:rFonts w:ascii="Calibri" w:hAnsi="Calibri" w:cs="Calibri"/>
          <w:color w:val="auto"/>
        </w:rPr>
      </w:pPr>
    </w:p>
    <w:p w14:paraId="1431E1B8" w14:textId="58AD1081" w:rsidR="003A1D09" w:rsidRDefault="003A1D09" w:rsidP="005D3D19">
      <w:pPr>
        <w:pStyle w:val="BGNormal125"/>
        <w:rPr>
          <w:rFonts w:ascii="Calibri" w:hAnsi="Calibri" w:cs="Calibri"/>
          <w:color w:val="auto"/>
        </w:rPr>
      </w:pPr>
    </w:p>
    <w:p w14:paraId="025F1BB4" w14:textId="15B67F04" w:rsidR="003A1D09" w:rsidRDefault="003A1D09" w:rsidP="005D3D19">
      <w:pPr>
        <w:pStyle w:val="BGNormal125"/>
        <w:rPr>
          <w:rFonts w:ascii="Calibri" w:hAnsi="Calibri" w:cs="Calibri"/>
          <w:color w:val="auto"/>
        </w:rPr>
      </w:pPr>
    </w:p>
    <w:p w14:paraId="15337FE5" w14:textId="73BE2A96" w:rsidR="003A1D09" w:rsidRDefault="003A1D09" w:rsidP="005D3D19">
      <w:pPr>
        <w:pStyle w:val="BGNormal125"/>
        <w:rPr>
          <w:rFonts w:ascii="Calibri" w:hAnsi="Calibri" w:cs="Calibri"/>
          <w:color w:val="auto"/>
        </w:rPr>
      </w:pPr>
    </w:p>
    <w:p w14:paraId="6174B7BF" w14:textId="55BA12F2" w:rsidR="003A1D09" w:rsidRDefault="003A1D09" w:rsidP="005D3D19">
      <w:pPr>
        <w:pStyle w:val="BGNormal125"/>
        <w:rPr>
          <w:rFonts w:ascii="Calibri" w:hAnsi="Calibri" w:cs="Calibri"/>
          <w:color w:val="auto"/>
        </w:rPr>
      </w:pPr>
    </w:p>
    <w:p w14:paraId="5E75B1B8" w14:textId="642FB795" w:rsidR="003A1D09" w:rsidRDefault="003A1D09" w:rsidP="005D3D19">
      <w:pPr>
        <w:pStyle w:val="BGNormal125"/>
        <w:rPr>
          <w:rFonts w:ascii="Calibri" w:hAnsi="Calibri" w:cs="Calibri"/>
          <w:color w:val="auto"/>
        </w:rPr>
      </w:pPr>
    </w:p>
    <w:p w14:paraId="15A2C3DF" w14:textId="77777777" w:rsidR="003A1D09" w:rsidRPr="00652758" w:rsidRDefault="003A1D09" w:rsidP="005D3D19">
      <w:pPr>
        <w:pStyle w:val="BGNormal125"/>
        <w:rPr>
          <w:rFonts w:ascii="Calibri" w:hAnsi="Calibri" w:cs="Calibri"/>
          <w:color w:val="auto"/>
        </w:rPr>
      </w:pPr>
    </w:p>
    <w:p w14:paraId="02A71CB3" w14:textId="709229B4" w:rsidR="005D3D19" w:rsidRPr="008047D4" w:rsidRDefault="00D1756E" w:rsidP="005D3D19">
      <w:pPr>
        <w:pStyle w:val="Caption"/>
        <w:spacing w:before="240" w:after="0"/>
        <w:jc w:val="center"/>
        <w:rPr>
          <w:rFonts w:cs="Calibri"/>
          <w:b/>
          <w:bCs/>
          <w:i w:val="0"/>
          <w:iCs w:val="0"/>
          <w:noProof/>
          <w:color w:val="auto"/>
          <w:sz w:val="22"/>
          <w:szCs w:val="22"/>
        </w:rPr>
      </w:pPr>
      <w:r w:rsidRPr="00C10C7E">
        <w:rPr>
          <w:rFonts w:cs="Calibri"/>
          <w:b/>
          <w:bCs/>
          <w:i w:val="0"/>
          <w:iCs w:val="0"/>
          <w:color w:val="auto"/>
          <w:sz w:val="22"/>
          <w:szCs w:val="22"/>
        </w:rPr>
        <w:t>Figure ES-</w:t>
      </w:r>
      <w:r w:rsidRPr="00C10C7E">
        <w:rPr>
          <w:rFonts w:cs="Calibri"/>
          <w:b/>
          <w:bCs/>
          <w:i w:val="0"/>
          <w:iCs w:val="0"/>
          <w:noProof/>
          <w:color w:val="auto"/>
          <w:sz w:val="22"/>
          <w:szCs w:val="22"/>
        </w:rPr>
        <w:fldChar w:fldCharType="begin"/>
      </w:r>
      <w:r w:rsidRPr="00C10C7E">
        <w:rPr>
          <w:rFonts w:cs="Calibri"/>
          <w:b/>
          <w:bCs/>
          <w:i w:val="0"/>
          <w:iCs w:val="0"/>
          <w:noProof/>
          <w:color w:val="auto"/>
          <w:sz w:val="22"/>
          <w:szCs w:val="22"/>
        </w:rPr>
        <w:instrText xml:space="preserve"> SEQ Figure_ES- \* ARABIC </w:instrText>
      </w:r>
      <w:r w:rsidRPr="00C10C7E">
        <w:rPr>
          <w:rFonts w:cs="Calibri"/>
          <w:b/>
          <w:bCs/>
          <w:i w:val="0"/>
          <w:iCs w:val="0"/>
          <w:noProof/>
          <w:color w:val="auto"/>
          <w:sz w:val="22"/>
          <w:szCs w:val="22"/>
        </w:rPr>
        <w:fldChar w:fldCharType="separate"/>
      </w:r>
      <w:r>
        <w:rPr>
          <w:rFonts w:cs="Calibri"/>
          <w:b/>
          <w:bCs/>
          <w:i w:val="0"/>
          <w:iCs w:val="0"/>
          <w:noProof/>
          <w:color w:val="auto"/>
          <w:sz w:val="22"/>
          <w:szCs w:val="22"/>
        </w:rPr>
        <w:t>2</w:t>
      </w:r>
      <w:r w:rsidRPr="00C10C7E">
        <w:rPr>
          <w:rFonts w:cs="Calibri"/>
          <w:b/>
          <w:bCs/>
          <w:i w:val="0"/>
          <w:iCs w:val="0"/>
          <w:noProof/>
          <w:color w:val="auto"/>
          <w:sz w:val="22"/>
          <w:szCs w:val="22"/>
        </w:rPr>
        <w:fldChar w:fldCharType="end"/>
      </w:r>
      <w:r w:rsidRPr="00C10C7E">
        <w:rPr>
          <w:rFonts w:cs="Calibri"/>
          <w:b/>
          <w:bCs/>
          <w:i w:val="0"/>
          <w:iCs w:val="0"/>
          <w:noProof/>
          <w:color w:val="auto"/>
          <w:sz w:val="22"/>
          <w:szCs w:val="22"/>
        </w:rPr>
        <w:t xml:space="preserve">. </w:t>
      </w:r>
      <w:r w:rsidR="005D3D19" w:rsidRPr="008047D4">
        <w:rPr>
          <w:rFonts w:cs="Calibri"/>
          <w:b/>
          <w:bCs/>
          <w:i w:val="0"/>
          <w:iCs w:val="0"/>
          <w:noProof/>
          <w:color w:val="auto"/>
          <w:sz w:val="22"/>
          <w:szCs w:val="22"/>
        </w:rPr>
        <w:t>Base MERM Changes from 2018 to 2020 Study</w:t>
      </w:r>
    </w:p>
    <w:p w14:paraId="6004BECA" w14:textId="655402D6" w:rsidR="005D3D19" w:rsidRPr="008047D4" w:rsidRDefault="00D75794" w:rsidP="005D3D19">
      <w:pPr>
        <w:jc w:val="center"/>
        <w:rPr>
          <w:i/>
          <w:iCs/>
        </w:rPr>
      </w:pPr>
      <w:r>
        <w:rPr>
          <w:i/>
          <w:iCs/>
          <w:noProof/>
        </w:rPr>
        <w:drawing>
          <wp:inline distT="0" distB="0" distL="0" distR="0" wp14:anchorId="2B547631" wp14:editId="5B10C66E">
            <wp:extent cx="6038850" cy="3526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1962" cy="3540308"/>
                    </a:xfrm>
                    <a:prstGeom prst="rect">
                      <a:avLst/>
                    </a:prstGeom>
                    <a:noFill/>
                  </pic:spPr>
                </pic:pic>
              </a:graphicData>
            </a:graphic>
          </wp:inline>
        </w:drawing>
      </w:r>
    </w:p>
    <w:p w14:paraId="45038F2A" w14:textId="5EEA8662" w:rsidR="00952C07" w:rsidRDefault="00952C07" w:rsidP="00952C07">
      <w:pPr>
        <w:pStyle w:val="BGNormal125"/>
        <w:rPr>
          <w:rFonts w:ascii="Calibri" w:hAnsi="Calibri" w:cs="Calibri"/>
          <w:color w:val="auto"/>
        </w:rPr>
      </w:pPr>
      <w:r w:rsidRPr="00F92758">
        <w:rPr>
          <w:rFonts w:ascii="Calibri" w:hAnsi="Calibri" w:cs="Calibri"/>
          <w:color w:val="auto"/>
        </w:rPr>
        <w:t>In terms of reliability, our probabilistic simulations indicate that under base case assumptions with a market equilibrium reserve margin of</w:t>
      </w:r>
      <w:r>
        <w:rPr>
          <w:rFonts w:ascii="Calibri" w:hAnsi="Calibri" w:cs="Calibri"/>
          <w:color w:val="auto"/>
        </w:rPr>
        <w:t xml:space="preserve"> 12</w:t>
      </w:r>
      <w:r w:rsidRPr="00F92758">
        <w:rPr>
          <w:rFonts w:ascii="Calibri" w:hAnsi="Calibri" w:cs="Calibri"/>
          <w:color w:val="auto"/>
        </w:rPr>
        <w:t xml:space="preserve">.25%, the system </w:t>
      </w:r>
      <w:r w:rsidR="00450EA2">
        <w:rPr>
          <w:rFonts w:ascii="Calibri" w:hAnsi="Calibri" w:cs="Calibri"/>
          <w:color w:val="auto"/>
        </w:rPr>
        <w:t>is</w:t>
      </w:r>
      <w:r w:rsidRPr="00F92758">
        <w:rPr>
          <w:rFonts w:ascii="Calibri" w:hAnsi="Calibri" w:cs="Calibri"/>
          <w:color w:val="auto"/>
        </w:rPr>
        <w:t xml:space="preserve"> expected to experience 0.5 </w:t>
      </w:r>
      <w:r w:rsidR="00866903">
        <w:rPr>
          <w:rFonts w:ascii="Calibri" w:hAnsi="Calibri" w:cs="Calibri"/>
          <w:color w:val="auto"/>
        </w:rPr>
        <w:t>days</w:t>
      </w:r>
      <w:r w:rsidR="00866903" w:rsidRPr="00F92758">
        <w:rPr>
          <w:rFonts w:ascii="Calibri" w:hAnsi="Calibri" w:cs="Calibri"/>
          <w:color w:val="auto"/>
        </w:rPr>
        <w:t xml:space="preserve"> </w:t>
      </w:r>
      <w:r w:rsidRPr="00F92758">
        <w:rPr>
          <w:rFonts w:ascii="Calibri" w:hAnsi="Calibri" w:cs="Calibri"/>
          <w:color w:val="auto"/>
        </w:rPr>
        <w:t xml:space="preserve">per year </w:t>
      </w:r>
      <w:r w:rsidR="007B2C10">
        <w:rPr>
          <w:rFonts w:ascii="Calibri" w:hAnsi="Calibri" w:cs="Calibri"/>
          <w:color w:val="auto"/>
        </w:rPr>
        <w:t xml:space="preserve">Loss of Load </w:t>
      </w:r>
      <w:proofErr w:type="spellStart"/>
      <w:r w:rsidR="007B2C10">
        <w:rPr>
          <w:rFonts w:ascii="Calibri" w:hAnsi="Calibri" w:cs="Calibri"/>
          <w:color w:val="auto"/>
        </w:rPr>
        <w:t>Expection</w:t>
      </w:r>
      <w:proofErr w:type="spellEnd"/>
      <w:r w:rsidR="007B2C10">
        <w:rPr>
          <w:rFonts w:ascii="Calibri" w:hAnsi="Calibri" w:cs="Calibri"/>
          <w:color w:val="auto"/>
        </w:rPr>
        <w:t xml:space="preserve"> (</w:t>
      </w:r>
      <w:r w:rsidR="00866903">
        <w:rPr>
          <w:rFonts w:ascii="Calibri" w:hAnsi="Calibri" w:cs="Calibri"/>
          <w:color w:val="auto"/>
        </w:rPr>
        <w:t>LOLE</w:t>
      </w:r>
      <w:r w:rsidR="007B2C10">
        <w:rPr>
          <w:rFonts w:ascii="Calibri" w:hAnsi="Calibri" w:cs="Calibri"/>
          <w:color w:val="auto"/>
        </w:rPr>
        <w:t>)</w:t>
      </w:r>
      <w:r w:rsidRPr="00F92758">
        <w:rPr>
          <w:rFonts w:ascii="Calibri" w:hAnsi="Calibri" w:cs="Calibri"/>
          <w:color w:val="auto"/>
        </w:rPr>
        <w:t>.</w:t>
      </w:r>
      <w:r w:rsidRPr="00F92758">
        <w:rPr>
          <w:rStyle w:val="FootnoteReference"/>
          <w:rFonts w:ascii="Calibri" w:hAnsi="Calibri" w:cs="Calibri"/>
          <w:color w:val="auto"/>
        </w:rPr>
        <w:footnoteReference w:id="3"/>
      </w:r>
      <w:r w:rsidRPr="00F92758">
        <w:rPr>
          <w:rFonts w:ascii="Calibri" w:hAnsi="Calibri" w:cs="Calibri"/>
          <w:color w:val="auto"/>
        </w:rPr>
        <w:t xml:space="preserve"> </w:t>
      </w:r>
      <w:r w:rsidR="0098195C">
        <w:rPr>
          <w:rFonts w:ascii="Calibri" w:hAnsi="Calibri" w:cs="Calibri"/>
          <w:color w:val="auto"/>
        </w:rPr>
        <w:t>As shown in Figure ES-3, t</w:t>
      </w:r>
      <w:r>
        <w:rPr>
          <w:rFonts w:ascii="Calibri" w:hAnsi="Calibri" w:cs="Calibri"/>
          <w:color w:val="auto"/>
        </w:rPr>
        <w:t xml:space="preserve">his is significantly higher than </w:t>
      </w:r>
      <w:r w:rsidRPr="00F92758">
        <w:rPr>
          <w:rFonts w:ascii="Calibri" w:hAnsi="Calibri" w:cs="Calibri"/>
          <w:color w:val="auto"/>
        </w:rPr>
        <w:t>the 0.1 events per year LOLE standard used by most electric systems in North America for planning purposes.</w:t>
      </w:r>
      <w:r>
        <w:rPr>
          <w:rFonts w:ascii="Calibri" w:hAnsi="Calibri" w:cs="Calibri"/>
          <w:color w:val="auto"/>
        </w:rPr>
        <w:t xml:space="preserve"> It is also important to note that </w:t>
      </w:r>
      <w:r w:rsidR="007B2C10">
        <w:rPr>
          <w:rFonts w:ascii="Calibri" w:hAnsi="Calibri" w:cs="Calibri"/>
          <w:color w:val="auto"/>
        </w:rPr>
        <w:t>this LOLE</w:t>
      </w:r>
      <w:r>
        <w:rPr>
          <w:rFonts w:ascii="Calibri" w:hAnsi="Calibri" w:cs="Calibri"/>
          <w:color w:val="auto"/>
        </w:rPr>
        <w:t xml:space="preserve"> is the same value reported in the 2018 study at the MERM of 10.25%. Intuitively, the higher MERM in this study would supply higher reliability. However, the higher </w:t>
      </w:r>
      <w:r w:rsidR="00CE287C">
        <w:rPr>
          <w:rFonts w:ascii="Calibri" w:hAnsi="Calibri" w:cs="Calibri"/>
          <w:color w:val="auto"/>
        </w:rPr>
        <w:t>Equivalent Forced Outage Rate (</w:t>
      </w:r>
      <w:r>
        <w:rPr>
          <w:rFonts w:ascii="Calibri" w:hAnsi="Calibri" w:cs="Calibri"/>
          <w:color w:val="auto"/>
        </w:rPr>
        <w:t>EFOR</w:t>
      </w:r>
      <w:r w:rsidR="00CE287C">
        <w:rPr>
          <w:rFonts w:ascii="Calibri" w:hAnsi="Calibri" w:cs="Calibri"/>
          <w:color w:val="auto"/>
        </w:rPr>
        <w:t>)</w:t>
      </w:r>
      <w:r>
        <w:rPr>
          <w:rFonts w:ascii="Calibri" w:hAnsi="Calibri" w:cs="Calibri"/>
          <w:color w:val="auto"/>
        </w:rPr>
        <w:t xml:space="preserve"> assumptions</w:t>
      </w:r>
      <w:r w:rsidR="00CE287C">
        <w:rPr>
          <w:rFonts w:ascii="Calibri" w:hAnsi="Calibri" w:cs="Calibri"/>
          <w:color w:val="auto"/>
        </w:rPr>
        <w:t>, combined with a</w:t>
      </w:r>
      <w:r>
        <w:rPr>
          <w:rFonts w:ascii="Calibri" w:hAnsi="Calibri" w:cs="Calibri"/>
          <w:color w:val="auto"/>
        </w:rPr>
        <w:t xml:space="preserve"> discrepancy between</w:t>
      </w:r>
      <w:r w:rsidR="00CE287C">
        <w:rPr>
          <w:rFonts w:ascii="Calibri" w:hAnsi="Calibri" w:cs="Calibri"/>
          <w:color w:val="auto"/>
        </w:rPr>
        <w:t xml:space="preserve"> the</w:t>
      </w:r>
      <w:r>
        <w:rPr>
          <w:rFonts w:ascii="Calibri" w:hAnsi="Calibri" w:cs="Calibri"/>
          <w:color w:val="auto"/>
        </w:rPr>
        <w:t xml:space="preserve"> renewable credit </w:t>
      </w:r>
      <w:r w:rsidR="00F90E29">
        <w:rPr>
          <w:rFonts w:ascii="Calibri" w:hAnsi="Calibri" w:cs="Calibri"/>
          <w:color w:val="auto"/>
        </w:rPr>
        <w:t xml:space="preserve">(or </w:t>
      </w:r>
      <w:r w:rsidR="00450EA2">
        <w:rPr>
          <w:rFonts w:ascii="Calibri" w:hAnsi="Calibri" w:cs="Calibri"/>
          <w:color w:val="auto"/>
        </w:rPr>
        <w:t xml:space="preserve">reliability </w:t>
      </w:r>
      <w:r w:rsidR="00F90E29">
        <w:rPr>
          <w:rFonts w:ascii="Calibri" w:hAnsi="Calibri" w:cs="Calibri"/>
          <w:color w:val="auto"/>
        </w:rPr>
        <w:t xml:space="preserve">contribution) </w:t>
      </w:r>
      <w:r w:rsidR="00CE287C">
        <w:rPr>
          <w:rFonts w:ascii="Calibri" w:hAnsi="Calibri" w:cs="Calibri"/>
          <w:color w:val="auto"/>
        </w:rPr>
        <w:t>estimated for CDR</w:t>
      </w:r>
      <w:r w:rsidR="002B1B95">
        <w:rPr>
          <w:rStyle w:val="FootnoteReference"/>
          <w:rFonts w:ascii="Calibri" w:hAnsi="Calibri" w:cs="Calibri"/>
          <w:color w:val="auto"/>
        </w:rPr>
        <w:footnoteReference w:id="4"/>
      </w:r>
      <w:r w:rsidR="00CE287C">
        <w:rPr>
          <w:rFonts w:ascii="Calibri" w:hAnsi="Calibri" w:cs="Calibri"/>
          <w:color w:val="auto"/>
        </w:rPr>
        <w:t xml:space="preserve"> reserve margin reporting </w:t>
      </w:r>
      <w:r>
        <w:rPr>
          <w:rFonts w:ascii="Calibri" w:hAnsi="Calibri" w:cs="Calibri"/>
          <w:color w:val="auto"/>
        </w:rPr>
        <w:t>and the actual reliability value</w:t>
      </w:r>
      <w:r w:rsidR="00866903">
        <w:rPr>
          <w:rFonts w:ascii="Calibri" w:hAnsi="Calibri" w:cs="Calibri"/>
          <w:color w:val="auto"/>
        </w:rPr>
        <w:t xml:space="preserve"> provided by these resources</w:t>
      </w:r>
      <w:r w:rsidR="00CE287C">
        <w:rPr>
          <w:rFonts w:ascii="Calibri" w:hAnsi="Calibri" w:cs="Calibri"/>
          <w:color w:val="auto"/>
        </w:rPr>
        <w:t xml:space="preserve">, </w:t>
      </w:r>
      <w:r>
        <w:rPr>
          <w:rFonts w:ascii="Calibri" w:hAnsi="Calibri" w:cs="Calibri"/>
          <w:color w:val="auto"/>
        </w:rPr>
        <w:t>increase</w:t>
      </w:r>
      <w:r w:rsidR="00CE287C">
        <w:rPr>
          <w:rFonts w:ascii="Calibri" w:hAnsi="Calibri" w:cs="Calibri"/>
          <w:color w:val="auto"/>
        </w:rPr>
        <w:t xml:space="preserve"> the</w:t>
      </w:r>
      <w:r>
        <w:rPr>
          <w:rFonts w:ascii="Calibri" w:hAnsi="Calibri" w:cs="Calibri"/>
          <w:color w:val="auto"/>
        </w:rPr>
        <w:t xml:space="preserve"> MERM without an improvement to reliability.</w:t>
      </w:r>
    </w:p>
    <w:p w14:paraId="34981148" w14:textId="2D996226" w:rsidR="00952C07" w:rsidRDefault="00952C07" w:rsidP="00310D1F"/>
    <w:p w14:paraId="70570CC4" w14:textId="5691A78C" w:rsidR="003A1D09" w:rsidRDefault="003A1D09" w:rsidP="00310D1F"/>
    <w:p w14:paraId="2CD598E0" w14:textId="77777777" w:rsidR="003A1D09" w:rsidRPr="00D1756E" w:rsidRDefault="003A1D09" w:rsidP="00310D1F"/>
    <w:p w14:paraId="2FA94974" w14:textId="19569C40" w:rsidR="00952C07" w:rsidRPr="003A1D09" w:rsidRDefault="00952C07" w:rsidP="003A1D09">
      <w:pPr>
        <w:pStyle w:val="Caption"/>
        <w:spacing w:after="0"/>
        <w:jc w:val="center"/>
        <w:rPr>
          <w:rFonts w:cs="Calibri"/>
          <w:b/>
          <w:bCs/>
          <w:i w:val="0"/>
          <w:iCs w:val="0"/>
          <w:noProof/>
          <w:color w:val="auto"/>
          <w:sz w:val="22"/>
          <w:szCs w:val="22"/>
        </w:rPr>
      </w:pPr>
      <w:r w:rsidRPr="00D1756E">
        <w:rPr>
          <w:rFonts w:cs="Calibri"/>
          <w:b/>
          <w:bCs/>
          <w:i w:val="0"/>
          <w:iCs w:val="0"/>
          <w:color w:val="auto"/>
          <w:sz w:val="22"/>
          <w:szCs w:val="22"/>
        </w:rPr>
        <w:t xml:space="preserve"> </w:t>
      </w:r>
      <w:r w:rsidRPr="00204DA2">
        <w:rPr>
          <w:rFonts w:cs="Calibri"/>
          <w:b/>
          <w:bCs/>
          <w:i w:val="0"/>
          <w:iCs w:val="0"/>
          <w:color w:val="auto"/>
          <w:sz w:val="22"/>
          <w:szCs w:val="22"/>
        </w:rPr>
        <w:t>Figure ES-</w:t>
      </w:r>
      <w:r w:rsidR="0020093E">
        <w:rPr>
          <w:rFonts w:cs="Calibri"/>
          <w:b/>
          <w:bCs/>
          <w:i w:val="0"/>
          <w:iCs w:val="0"/>
          <w:noProof/>
          <w:color w:val="auto"/>
          <w:sz w:val="22"/>
          <w:szCs w:val="22"/>
        </w:rPr>
        <w:t>3</w:t>
      </w:r>
      <w:r w:rsidRPr="00204DA2">
        <w:rPr>
          <w:rFonts w:cs="Calibri"/>
          <w:b/>
          <w:bCs/>
          <w:i w:val="0"/>
          <w:iCs w:val="0"/>
          <w:noProof/>
          <w:color w:val="auto"/>
          <w:sz w:val="22"/>
          <w:szCs w:val="22"/>
        </w:rPr>
        <w:t xml:space="preserve">. </w:t>
      </w:r>
      <w:r>
        <w:rPr>
          <w:rFonts w:cs="Calibri"/>
          <w:b/>
          <w:bCs/>
          <w:i w:val="0"/>
          <w:iCs w:val="0"/>
          <w:noProof/>
          <w:color w:val="auto"/>
          <w:sz w:val="22"/>
          <w:szCs w:val="22"/>
        </w:rPr>
        <w:t>Loss-of-Load Expectation at Varying Reserve Margins</w:t>
      </w:r>
    </w:p>
    <w:p w14:paraId="11A9CD9B" w14:textId="129BFBB8" w:rsidR="005D3D19" w:rsidRPr="00C10C7E" w:rsidRDefault="00952C07" w:rsidP="003A1D09">
      <w:pPr>
        <w:pStyle w:val="BGNormal125"/>
        <w:spacing w:before="0"/>
        <w:rPr>
          <w:rFonts w:ascii="Calibri" w:hAnsi="Calibri" w:cs="Calibri"/>
          <w:color w:val="auto"/>
        </w:rPr>
      </w:pPr>
      <w:r>
        <w:rPr>
          <w:noProof/>
        </w:rPr>
        <w:drawing>
          <wp:inline distT="0" distB="0" distL="0" distR="0" wp14:anchorId="4EA57B87" wp14:editId="3D80D7AA">
            <wp:extent cx="6041390" cy="33775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1390" cy="3377565"/>
                    </a:xfrm>
                    <a:prstGeom prst="rect">
                      <a:avLst/>
                    </a:prstGeom>
                    <a:noFill/>
                  </pic:spPr>
                </pic:pic>
              </a:graphicData>
            </a:graphic>
          </wp:inline>
        </w:drawing>
      </w:r>
    </w:p>
    <w:p w14:paraId="7B898477" w14:textId="7E07EF65" w:rsidR="00AF4271" w:rsidRDefault="00866903" w:rsidP="009D5510">
      <w:pPr>
        <w:pStyle w:val="BGNormal125"/>
        <w:rPr>
          <w:rFonts w:ascii="Calibri" w:hAnsi="Calibri" w:cs="Calibri"/>
          <w:color w:val="auto"/>
        </w:rPr>
      </w:pPr>
      <w:r>
        <w:rPr>
          <w:rFonts w:ascii="Calibri" w:hAnsi="Calibri" w:cs="Calibri"/>
          <w:color w:val="auto"/>
        </w:rPr>
        <w:t xml:space="preserve">Determination of the economic potential of marginal resources in an energy-only market is complex. </w:t>
      </w:r>
      <w:r w:rsidR="00AF4271" w:rsidRPr="00AF4271">
        <w:rPr>
          <w:rFonts w:ascii="Calibri" w:hAnsi="Calibri" w:cs="Calibri"/>
          <w:color w:val="auto"/>
        </w:rPr>
        <w:t xml:space="preserve">The potential energy margins of any generating resource are a function of the load profile, the technological composition of the entire generation fleet, the reserve margin of the fleet, the fuel prices to operate those generators, and other factors. The </w:t>
      </w:r>
      <w:r w:rsidR="00D21DC4">
        <w:rPr>
          <w:rFonts w:ascii="Calibri" w:hAnsi="Calibri" w:cs="Calibri"/>
          <w:color w:val="auto"/>
        </w:rPr>
        <w:t>MERM for marginal peaking capacity then is</w:t>
      </w:r>
      <w:r w:rsidR="00AF4271" w:rsidRPr="00AF4271">
        <w:rPr>
          <w:rFonts w:ascii="Calibri" w:hAnsi="Calibri" w:cs="Calibri"/>
          <w:color w:val="auto"/>
        </w:rPr>
        <w:t xml:space="preserve"> in part determined by the characteristics of the other resources on the system. </w:t>
      </w:r>
      <w:r w:rsidR="00D21DC4">
        <w:rPr>
          <w:rFonts w:ascii="Calibri" w:hAnsi="Calibri" w:cs="Calibri"/>
          <w:color w:val="auto"/>
        </w:rPr>
        <w:t>While t</w:t>
      </w:r>
      <w:r w:rsidR="00AF4271" w:rsidRPr="00AF4271">
        <w:rPr>
          <w:rFonts w:ascii="Calibri" w:hAnsi="Calibri" w:cs="Calibri"/>
          <w:color w:val="auto"/>
        </w:rPr>
        <w:t>his study is designed to analyze only marginal peaking capacity decisions, the ramifications of that equilibrium penetration can inform the calculus for other resource classes making investment or retirement decisions</w:t>
      </w:r>
      <w:r w:rsidR="00D21DC4">
        <w:rPr>
          <w:rFonts w:ascii="Calibri" w:hAnsi="Calibri" w:cs="Calibri"/>
          <w:color w:val="auto"/>
        </w:rPr>
        <w:t xml:space="preserve"> as well</w:t>
      </w:r>
      <w:r w:rsidR="00AF4271" w:rsidRPr="00AF4271">
        <w:rPr>
          <w:rFonts w:ascii="Calibri" w:hAnsi="Calibri" w:cs="Calibri"/>
          <w:color w:val="auto"/>
        </w:rPr>
        <w:t>.</w:t>
      </w:r>
    </w:p>
    <w:p w14:paraId="4B943E97" w14:textId="2EA1EBDA" w:rsidR="001F0F76" w:rsidRDefault="001F0F76" w:rsidP="001F0F76">
      <w:pPr>
        <w:pStyle w:val="BGNormal125"/>
        <w:rPr>
          <w:rFonts w:ascii="Calibri" w:hAnsi="Calibri" w:cs="Calibri"/>
          <w:color w:val="auto"/>
        </w:rPr>
      </w:pPr>
      <w:r w:rsidRPr="001F0F76">
        <w:rPr>
          <w:rFonts w:ascii="Calibri" w:hAnsi="Calibri" w:cs="Calibri"/>
          <w:color w:val="auto"/>
        </w:rPr>
        <w:t xml:space="preserve">One interaction </w:t>
      </w:r>
      <w:r w:rsidR="00866903">
        <w:rPr>
          <w:rFonts w:ascii="Calibri" w:hAnsi="Calibri" w:cs="Calibri"/>
          <w:color w:val="auto"/>
        </w:rPr>
        <w:t xml:space="preserve">among resources </w:t>
      </w:r>
      <w:r w:rsidRPr="001F0F76">
        <w:rPr>
          <w:rFonts w:ascii="Calibri" w:hAnsi="Calibri" w:cs="Calibri"/>
          <w:color w:val="auto"/>
        </w:rPr>
        <w:t xml:space="preserve">that </w:t>
      </w:r>
      <w:r w:rsidR="00BC26A2">
        <w:rPr>
          <w:rFonts w:ascii="Calibri" w:hAnsi="Calibri" w:cs="Calibri"/>
          <w:color w:val="auto"/>
        </w:rPr>
        <w:t xml:space="preserve">is analyzed in detail for this study </w:t>
      </w:r>
      <w:r w:rsidRPr="001F0F76">
        <w:rPr>
          <w:rFonts w:ascii="Calibri" w:hAnsi="Calibri" w:cs="Calibri"/>
          <w:color w:val="auto"/>
        </w:rPr>
        <w:t>is the impact of renewable penetration on MERM</w:t>
      </w:r>
      <w:r w:rsidR="00866903">
        <w:rPr>
          <w:rFonts w:ascii="Calibri" w:hAnsi="Calibri" w:cs="Calibri"/>
          <w:color w:val="auto"/>
        </w:rPr>
        <w:t xml:space="preserve"> for marginal peaking capacity</w:t>
      </w:r>
      <w:r w:rsidRPr="001F0F76">
        <w:rPr>
          <w:rFonts w:ascii="Calibri" w:hAnsi="Calibri" w:cs="Calibri"/>
          <w:color w:val="auto"/>
        </w:rPr>
        <w:t xml:space="preserve">. Since the introduction of renewable generation, with its de minimis </w:t>
      </w:r>
      <w:r w:rsidR="00B60282">
        <w:rPr>
          <w:rFonts w:ascii="Calibri" w:hAnsi="Calibri" w:cs="Calibri"/>
          <w:color w:val="auto"/>
        </w:rPr>
        <w:t xml:space="preserve">variable </w:t>
      </w:r>
      <w:r w:rsidRPr="001F0F76">
        <w:rPr>
          <w:rFonts w:ascii="Calibri" w:hAnsi="Calibri" w:cs="Calibri"/>
          <w:color w:val="auto"/>
        </w:rPr>
        <w:t xml:space="preserve">operating costs, will tend to depress market prices, </w:t>
      </w:r>
      <w:r w:rsidR="00B60282">
        <w:rPr>
          <w:rFonts w:ascii="Calibri" w:hAnsi="Calibri" w:cs="Calibri"/>
          <w:color w:val="auto"/>
        </w:rPr>
        <w:t xml:space="preserve">we find that the </w:t>
      </w:r>
      <w:r w:rsidRPr="001F0F76">
        <w:rPr>
          <w:rFonts w:ascii="Calibri" w:hAnsi="Calibri" w:cs="Calibri"/>
          <w:color w:val="auto"/>
        </w:rPr>
        <w:t xml:space="preserve">MERM </w:t>
      </w:r>
      <w:r w:rsidR="00B60282">
        <w:rPr>
          <w:rFonts w:ascii="Calibri" w:hAnsi="Calibri" w:cs="Calibri"/>
          <w:color w:val="auto"/>
        </w:rPr>
        <w:t xml:space="preserve">will be reduced by increases in </w:t>
      </w:r>
      <w:r w:rsidRPr="001F0F76">
        <w:rPr>
          <w:rFonts w:ascii="Calibri" w:hAnsi="Calibri" w:cs="Calibri"/>
          <w:color w:val="auto"/>
        </w:rPr>
        <w:t xml:space="preserve">renewable penetration. </w:t>
      </w:r>
      <w:r w:rsidR="00B60282">
        <w:rPr>
          <w:rFonts w:ascii="Calibri" w:hAnsi="Calibri" w:cs="Calibri"/>
          <w:color w:val="auto"/>
        </w:rPr>
        <w:t xml:space="preserve">This downward pressure on the MERM from increasing renewables is </w:t>
      </w:r>
      <w:r w:rsidR="00F11CC3">
        <w:rPr>
          <w:rFonts w:ascii="Calibri" w:hAnsi="Calibri" w:cs="Calibri"/>
          <w:color w:val="auto"/>
        </w:rPr>
        <w:t xml:space="preserve">initially </w:t>
      </w:r>
      <w:r w:rsidR="00B60282">
        <w:rPr>
          <w:rFonts w:ascii="Calibri" w:hAnsi="Calibri" w:cs="Calibri"/>
          <w:color w:val="auto"/>
        </w:rPr>
        <w:t xml:space="preserve">small. </w:t>
      </w:r>
      <w:r w:rsidR="00586F25">
        <w:rPr>
          <w:rFonts w:ascii="Calibri" w:hAnsi="Calibri" w:cs="Calibri"/>
          <w:color w:val="auto"/>
        </w:rPr>
        <w:t>For</w:t>
      </w:r>
      <w:r w:rsidRPr="001F0F76">
        <w:rPr>
          <w:rFonts w:ascii="Calibri" w:hAnsi="Calibri" w:cs="Calibri"/>
          <w:color w:val="auto"/>
        </w:rPr>
        <w:t xml:space="preserve"> the 2018 study, Astrapé and Brattle quantified that an increase of 20 GW of renewable capacity</w:t>
      </w:r>
      <w:r w:rsidR="00B964EC">
        <w:rPr>
          <w:rFonts w:ascii="Calibri" w:hAnsi="Calibri" w:cs="Calibri"/>
          <w:color w:val="auto"/>
        </w:rPr>
        <w:t xml:space="preserve"> </w:t>
      </w:r>
      <w:r w:rsidRPr="001F0F76">
        <w:rPr>
          <w:rFonts w:ascii="Calibri" w:hAnsi="Calibri" w:cs="Calibri"/>
          <w:color w:val="auto"/>
        </w:rPr>
        <w:t xml:space="preserve">would shift MERM down by only </w:t>
      </w:r>
      <w:r>
        <w:rPr>
          <w:rFonts w:ascii="Calibri" w:hAnsi="Calibri" w:cs="Calibri"/>
          <w:color w:val="auto"/>
        </w:rPr>
        <w:t>0</w:t>
      </w:r>
      <w:r w:rsidRPr="001F0F76">
        <w:rPr>
          <w:rFonts w:ascii="Calibri" w:hAnsi="Calibri" w:cs="Calibri"/>
          <w:color w:val="auto"/>
        </w:rPr>
        <w:t>.75</w:t>
      </w:r>
      <w:r w:rsidR="00586F25">
        <w:rPr>
          <w:rFonts w:ascii="Calibri" w:hAnsi="Calibri" w:cs="Calibri"/>
          <w:color w:val="auto"/>
        </w:rPr>
        <w:t xml:space="preserve"> percentage points</w:t>
      </w:r>
      <w:r w:rsidRPr="001F0F76">
        <w:rPr>
          <w:rFonts w:ascii="Calibri" w:hAnsi="Calibri" w:cs="Calibri"/>
          <w:color w:val="auto"/>
        </w:rPr>
        <w:t xml:space="preserve">, or approximately 500 MW. </w:t>
      </w:r>
      <w:r w:rsidR="00F11CC3">
        <w:rPr>
          <w:rFonts w:ascii="Calibri" w:hAnsi="Calibri" w:cs="Calibri"/>
          <w:color w:val="auto"/>
        </w:rPr>
        <w:t xml:space="preserve">The magnitude of the impact however grows as the penetration of renewable grows, and is particularly sensitive to solar capacity. The size of the impact is primarily dependent on how the renewable fleet affects the frequency of </w:t>
      </w:r>
      <w:r w:rsidR="00586F25">
        <w:rPr>
          <w:rFonts w:ascii="Calibri" w:hAnsi="Calibri" w:cs="Calibri"/>
          <w:color w:val="auto"/>
        </w:rPr>
        <w:t xml:space="preserve">hours with </w:t>
      </w:r>
      <w:r w:rsidR="00F11CC3">
        <w:rPr>
          <w:rFonts w:ascii="Calibri" w:hAnsi="Calibri" w:cs="Calibri"/>
          <w:color w:val="auto"/>
        </w:rPr>
        <w:t xml:space="preserve">high </w:t>
      </w:r>
      <w:r w:rsidR="00586F25">
        <w:rPr>
          <w:rFonts w:ascii="Calibri" w:hAnsi="Calibri" w:cs="Calibri"/>
          <w:color w:val="auto"/>
        </w:rPr>
        <w:t xml:space="preserve">electricity market </w:t>
      </w:r>
      <w:r w:rsidR="00F11CC3">
        <w:rPr>
          <w:rFonts w:ascii="Calibri" w:hAnsi="Calibri" w:cs="Calibri"/>
          <w:color w:val="auto"/>
        </w:rPr>
        <w:t>price</w:t>
      </w:r>
      <w:r w:rsidR="00586F25">
        <w:rPr>
          <w:rFonts w:ascii="Calibri" w:hAnsi="Calibri" w:cs="Calibri"/>
          <w:color w:val="auto"/>
        </w:rPr>
        <w:t>s</w:t>
      </w:r>
      <w:r w:rsidR="00F11CC3">
        <w:rPr>
          <w:rFonts w:ascii="Calibri" w:hAnsi="Calibri" w:cs="Calibri"/>
          <w:color w:val="auto"/>
        </w:rPr>
        <w:t>. In an extremely high solar penetration scenario, the net load shape is very steep, so there are very few hours with very high loads</w:t>
      </w:r>
      <w:r w:rsidR="009637D9">
        <w:rPr>
          <w:rFonts w:ascii="Calibri" w:hAnsi="Calibri" w:cs="Calibri"/>
          <w:color w:val="auto"/>
        </w:rPr>
        <w:t>, and commensurately high market price hours are infrequent</w:t>
      </w:r>
      <w:r w:rsidR="00F11CC3">
        <w:rPr>
          <w:rFonts w:ascii="Calibri" w:hAnsi="Calibri" w:cs="Calibri"/>
          <w:color w:val="auto"/>
        </w:rPr>
        <w:t xml:space="preserve">. </w:t>
      </w:r>
      <w:r w:rsidR="009637D9">
        <w:rPr>
          <w:rFonts w:ascii="Calibri" w:hAnsi="Calibri" w:cs="Calibri"/>
          <w:color w:val="auto"/>
        </w:rPr>
        <w:t>Up to projected penetrations in 2024</w:t>
      </w:r>
      <w:r w:rsidR="00866903">
        <w:rPr>
          <w:rFonts w:ascii="Calibri" w:hAnsi="Calibri" w:cs="Calibri"/>
          <w:color w:val="auto"/>
        </w:rPr>
        <w:t xml:space="preserve"> however</w:t>
      </w:r>
      <w:r w:rsidR="009637D9">
        <w:rPr>
          <w:rFonts w:ascii="Calibri" w:hAnsi="Calibri" w:cs="Calibri"/>
          <w:color w:val="auto"/>
        </w:rPr>
        <w:t xml:space="preserve">, the net load shape is quite flat. There are </w:t>
      </w:r>
      <w:r w:rsidR="00586F25">
        <w:rPr>
          <w:rFonts w:ascii="Calibri" w:hAnsi="Calibri" w:cs="Calibri"/>
          <w:color w:val="auto"/>
        </w:rPr>
        <w:t>eight</w:t>
      </w:r>
      <w:r w:rsidR="009637D9">
        <w:rPr>
          <w:rFonts w:ascii="Calibri" w:hAnsi="Calibri" w:cs="Calibri"/>
          <w:color w:val="auto"/>
        </w:rPr>
        <w:t xml:space="preserve"> or more hours every day within a few thousand </w:t>
      </w:r>
      <w:r w:rsidR="00D10A6A">
        <w:rPr>
          <w:rFonts w:ascii="Calibri" w:hAnsi="Calibri" w:cs="Calibri"/>
          <w:color w:val="auto"/>
        </w:rPr>
        <w:t>megawatts (</w:t>
      </w:r>
      <w:r w:rsidR="009637D9">
        <w:rPr>
          <w:rFonts w:ascii="Calibri" w:hAnsi="Calibri" w:cs="Calibri"/>
          <w:color w:val="auto"/>
        </w:rPr>
        <w:t>MW</w:t>
      </w:r>
      <w:r w:rsidR="00D10A6A">
        <w:rPr>
          <w:rFonts w:ascii="Calibri" w:hAnsi="Calibri" w:cs="Calibri"/>
          <w:color w:val="auto"/>
        </w:rPr>
        <w:t>)</w:t>
      </w:r>
      <w:r w:rsidR="009637D9">
        <w:rPr>
          <w:rFonts w:ascii="Calibri" w:hAnsi="Calibri" w:cs="Calibri"/>
          <w:color w:val="auto"/>
        </w:rPr>
        <w:t xml:space="preserve"> of the daily peak load. Figure ES-</w:t>
      </w:r>
      <w:r w:rsidR="0020093E">
        <w:rPr>
          <w:rFonts w:ascii="Calibri" w:hAnsi="Calibri" w:cs="Calibri"/>
          <w:color w:val="auto"/>
        </w:rPr>
        <w:t>4</w:t>
      </w:r>
      <w:r w:rsidR="009637D9">
        <w:rPr>
          <w:rFonts w:ascii="Calibri" w:hAnsi="Calibri" w:cs="Calibri"/>
          <w:color w:val="auto"/>
        </w:rPr>
        <w:t xml:space="preserve"> compares the net load shape in the base case and in a high renewable scenario. Both scenarios require</w:t>
      </w:r>
      <w:r w:rsidR="00780F45">
        <w:rPr>
          <w:rFonts w:ascii="Calibri" w:hAnsi="Calibri" w:cs="Calibri"/>
          <w:color w:val="auto"/>
        </w:rPr>
        <w:t xml:space="preserve"> the same reserve margin to maintain </w:t>
      </w:r>
      <w:r w:rsidR="00D10A6A">
        <w:rPr>
          <w:rFonts w:ascii="Calibri" w:hAnsi="Calibri" w:cs="Calibri"/>
          <w:color w:val="auto"/>
        </w:rPr>
        <w:t xml:space="preserve">the same </w:t>
      </w:r>
      <w:r w:rsidR="00780F45">
        <w:rPr>
          <w:rFonts w:ascii="Calibri" w:hAnsi="Calibri" w:cs="Calibri"/>
          <w:color w:val="auto"/>
        </w:rPr>
        <w:t>reliability, but the high renewable scenario will have many fewer hours with high market prices.</w:t>
      </w:r>
      <w:r w:rsidR="009637D9">
        <w:rPr>
          <w:rFonts w:ascii="Calibri" w:hAnsi="Calibri" w:cs="Calibri"/>
          <w:color w:val="auto"/>
        </w:rPr>
        <w:t xml:space="preserve"> </w:t>
      </w:r>
    </w:p>
    <w:p w14:paraId="60A8DF6A" w14:textId="2A81A750" w:rsidR="001F0F76" w:rsidRPr="008047D4" w:rsidRDefault="001F0F76" w:rsidP="008047D4">
      <w:pPr>
        <w:pStyle w:val="Caption"/>
        <w:spacing w:after="0"/>
        <w:jc w:val="center"/>
        <w:rPr>
          <w:rFonts w:cs="Calibri"/>
          <w:b/>
          <w:bCs/>
          <w:i w:val="0"/>
          <w:iCs w:val="0"/>
          <w:noProof/>
          <w:color w:val="auto"/>
          <w:sz w:val="22"/>
          <w:szCs w:val="22"/>
        </w:rPr>
      </w:pPr>
      <w:r w:rsidRPr="008047D4">
        <w:rPr>
          <w:rFonts w:cs="Calibri"/>
          <w:b/>
          <w:bCs/>
          <w:i w:val="0"/>
          <w:iCs w:val="0"/>
          <w:color w:val="auto"/>
          <w:sz w:val="22"/>
          <w:szCs w:val="22"/>
        </w:rPr>
        <w:t>Figure ES-</w:t>
      </w:r>
      <w:r w:rsidR="0020093E">
        <w:rPr>
          <w:rFonts w:cs="Calibri"/>
          <w:b/>
          <w:bCs/>
          <w:i w:val="0"/>
          <w:iCs w:val="0"/>
          <w:noProof/>
          <w:color w:val="auto"/>
          <w:sz w:val="22"/>
          <w:szCs w:val="22"/>
        </w:rPr>
        <w:t>4</w:t>
      </w:r>
      <w:r w:rsidRPr="008047D4">
        <w:rPr>
          <w:rFonts w:cs="Calibri"/>
          <w:b/>
          <w:bCs/>
          <w:i w:val="0"/>
          <w:iCs w:val="0"/>
          <w:noProof/>
          <w:color w:val="auto"/>
          <w:sz w:val="22"/>
          <w:szCs w:val="22"/>
        </w:rPr>
        <w:t xml:space="preserve">. </w:t>
      </w:r>
      <w:r w:rsidR="00F578AC" w:rsidRPr="008047D4">
        <w:rPr>
          <w:rFonts w:cs="Calibri"/>
          <w:b/>
          <w:bCs/>
          <w:i w:val="0"/>
          <w:iCs w:val="0"/>
          <w:noProof/>
          <w:color w:val="auto"/>
          <w:sz w:val="22"/>
          <w:szCs w:val="22"/>
        </w:rPr>
        <w:t xml:space="preserve">Average August Daily </w:t>
      </w:r>
      <w:r w:rsidRPr="008047D4">
        <w:rPr>
          <w:rFonts w:cs="Calibri"/>
          <w:b/>
          <w:bCs/>
          <w:i w:val="0"/>
          <w:iCs w:val="0"/>
          <w:noProof/>
          <w:color w:val="auto"/>
          <w:sz w:val="22"/>
          <w:szCs w:val="22"/>
        </w:rPr>
        <w:t>Net Load Comparison</w:t>
      </w:r>
    </w:p>
    <w:p w14:paraId="44A74903" w14:textId="21AE1392" w:rsidR="001F0F76" w:rsidRPr="00F578AC" w:rsidRDefault="00156434" w:rsidP="008372A1">
      <w:pPr>
        <w:jc w:val="center"/>
      </w:pPr>
      <w:r>
        <w:rPr>
          <w:rFonts w:eastAsia="MS Mincho"/>
          <w:noProof/>
          <w:kern w:val="0"/>
          <w:sz w:val="16"/>
          <w:szCs w:val="16"/>
        </w:rPr>
        <mc:AlternateContent>
          <mc:Choice Requires="wps">
            <w:drawing>
              <wp:anchor distT="0" distB="0" distL="114300" distR="114300" simplePos="0" relativeHeight="251673600" behindDoc="0" locked="0" layoutInCell="1" allowOverlap="1" wp14:anchorId="3064AFE7" wp14:editId="25453235">
                <wp:simplePos x="0" y="0"/>
                <wp:positionH relativeFrom="column">
                  <wp:posOffset>4543425</wp:posOffset>
                </wp:positionH>
                <wp:positionV relativeFrom="paragraph">
                  <wp:posOffset>1142365</wp:posOffset>
                </wp:positionV>
                <wp:extent cx="400050" cy="0"/>
                <wp:effectExtent l="0" t="95250" r="0" b="95250"/>
                <wp:wrapNone/>
                <wp:docPr id="44" name="Straight Arrow Connector 44"/>
                <wp:cNvGraphicFramePr/>
                <a:graphic xmlns:a="http://schemas.openxmlformats.org/drawingml/2006/main">
                  <a:graphicData uri="http://schemas.microsoft.com/office/word/2010/wordprocessingShape">
                    <wps:wsp>
                      <wps:cNvCnPr/>
                      <wps:spPr>
                        <a:xfrm>
                          <a:off x="0" y="0"/>
                          <a:ext cx="400050" cy="0"/>
                        </a:xfrm>
                        <a:prstGeom prst="straightConnector1">
                          <a:avLst/>
                        </a:prstGeom>
                        <a:ln w="349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7D36D8" id="_x0000_t32" coordsize="21600,21600" o:spt="32" o:oned="t" path="m,l21600,21600e" filled="f">
                <v:path arrowok="t" fillok="f" o:connecttype="none"/>
                <o:lock v:ext="edit" shapetype="t"/>
              </v:shapetype>
              <v:shape id="Straight Arrow Connector 44" o:spid="_x0000_s1026" type="#_x0000_t32" style="position:absolute;margin-left:357.75pt;margin-top:89.95pt;width:31.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" strokecolor="#6a7277 [3204]" strokeweight="2.75pt">
                <v:stroke startarrow="block" endarrow="block" joinstyle="miter"/>
              </v:shape>
            </w:pict>
          </mc:Fallback>
        </mc:AlternateContent>
      </w:r>
      <w:r>
        <w:rPr>
          <w:rFonts w:eastAsia="MS Mincho"/>
          <w:noProof/>
          <w:kern w:val="0"/>
          <w:sz w:val="16"/>
          <w:szCs w:val="16"/>
        </w:rPr>
        <mc:AlternateContent>
          <mc:Choice Requires="wps">
            <w:drawing>
              <wp:anchor distT="0" distB="0" distL="114300" distR="114300" simplePos="0" relativeHeight="251677696" behindDoc="0" locked="0" layoutInCell="1" allowOverlap="1" wp14:anchorId="688CE31B" wp14:editId="0C075244">
                <wp:simplePos x="0" y="0"/>
                <wp:positionH relativeFrom="column">
                  <wp:posOffset>4486276</wp:posOffset>
                </wp:positionH>
                <wp:positionV relativeFrom="paragraph">
                  <wp:posOffset>1351914</wp:posOffset>
                </wp:positionV>
                <wp:extent cx="209550" cy="352425"/>
                <wp:effectExtent l="0" t="38100" r="57150" b="28575"/>
                <wp:wrapNone/>
                <wp:docPr id="57" name="Straight Arrow Connector 57"/>
                <wp:cNvGraphicFramePr/>
                <a:graphic xmlns:a="http://schemas.openxmlformats.org/drawingml/2006/main">
                  <a:graphicData uri="http://schemas.microsoft.com/office/word/2010/wordprocessingShape">
                    <wps:wsp>
                      <wps:cNvCnPr/>
                      <wps:spPr>
                        <a:xfrm flipV="1">
                          <a:off x="0" y="0"/>
                          <a:ext cx="20955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4C7A4" id="Straight Arrow Connector 57" o:spid="_x0000_s1026" type="#_x0000_t32" style="position:absolute;margin-left:353.25pt;margin-top:106.45pt;width:16.5pt;height:27.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" strokecolor="#6a7277 [3204]" strokeweight=".5pt">
                <v:stroke endarrow="block" joinstyle="miter"/>
              </v:shape>
            </w:pict>
          </mc:Fallback>
        </mc:AlternateContent>
      </w:r>
      <w:r>
        <w:rPr>
          <w:rFonts w:eastAsia="MS Mincho"/>
          <w:noProof/>
          <w:kern w:val="0"/>
          <w:sz w:val="16"/>
          <w:szCs w:val="16"/>
        </w:rPr>
        <mc:AlternateContent>
          <mc:Choice Requires="wps">
            <w:drawing>
              <wp:anchor distT="0" distB="0" distL="114300" distR="114300" simplePos="0" relativeHeight="251678720" behindDoc="0" locked="0" layoutInCell="1" allowOverlap="1" wp14:anchorId="0FA37371" wp14:editId="5D6A3ADB">
                <wp:simplePos x="0" y="0"/>
                <wp:positionH relativeFrom="column">
                  <wp:posOffset>3248025</wp:posOffset>
                </wp:positionH>
                <wp:positionV relativeFrom="paragraph">
                  <wp:posOffset>427990</wp:posOffset>
                </wp:positionV>
                <wp:extent cx="200025" cy="342900"/>
                <wp:effectExtent l="0" t="0" r="47625" b="57150"/>
                <wp:wrapNone/>
                <wp:docPr id="58" name="Straight Arrow Connector 58"/>
                <wp:cNvGraphicFramePr/>
                <a:graphic xmlns:a="http://schemas.openxmlformats.org/drawingml/2006/main">
                  <a:graphicData uri="http://schemas.microsoft.com/office/word/2010/wordprocessingShape">
                    <wps:wsp>
                      <wps:cNvCnPr/>
                      <wps:spPr>
                        <a:xfrm>
                          <a:off x="0" y="0"/>
                          <a:ext cx="2000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BBCD1" id="Straight Arrow Connector 58" o:spid="_x0000_s1026" type="#_x0000_t32" style="position:absolute;margin-left:255.75pt;margin-top:33.7pt;width:15.7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" strokecolor="#6a7277 [3204]" strokeweight=".5pt">
                <v:stroke endarrow="block" joinstyle="miter"/>
              </v:shape>
            </w:pict>
          </mc:Fallback>
        </mc:AlternateContent>
      </w:r>
      <w:r>
        <w:rPr>
          <w:rFonts w:eastAsia="MS Mincho"/>
          <w:noProof/>
          <w:kern w:val="0"/>
          <w:sz w:val="16"/>
          <w:szCs w:val="16"/>
        </w:rPr>
        <mc:AlternateContent>
          <mc:Choice Requires="wps">
            <w:drawing>
              <wp:anchor distT="0" distB="0" distL="114300" distR="114300" simplePos="0" relativeHeight="251672576" behindDoc="0" locked="0" layoutInCell="1" allowOverlap="1" wp14:anchorId="584564BC" wp14:editId="44FA2564">
                <wp:simplePos x="0" y="0"/>
                <wp:positionH relativeFrom="column">
                  <wp:posOffset>3400425</wp:posOffset>
                </wp:positionH>
                <wp:positionV relativeFrom="paragraph">
                  <wp:posOffset>551815</wp:posOffset>
                </wp:positionV>
                <wp:extent cx="1371600" cy="0"/>
                <wp:effectExtent l="0" t="95250" r="0" b="95250"/>
                <wp:wrapNone/>
                <wp:docPr id="34" name="Straight Arrow Connector 34"/>
                <wp:cNvGraphicFramePr/>
                <a:graphic xmlns:a="http://schemas.openxmlformats.org/drawingml/2006/main">
                  <a:graphicData uri="http://schemas.microsoft.com/office/word/2010/wordprocessingShape">
                    <wps:wsp>
                      <wps:cNvCnPr/>
                      <wps:spPr>
                        <a:xfrm>
                          <a:off x="0" y="0"/>
                          <a:ext cx="1371600" cy="0"/>
                        </a:xfrm>
                        <a:prstGeom prst="straightConnector1">
                          <a:avLst/>
                        </a:prstGeom>
                        <a:ln w="41275">
                          <a:solidFill>
                            <a:schemeClr val="bg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4C8C0" id="Straight Arrow Connector 34" o:spid="_x0000_s1026" type="#_x0000_t32" style="position:absolute;margin-left:267.75pt;margin-top:43.45pt;width:108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" strokecolor="#00467f [3214]" strokeweight="3.25pt">
                <v:stroke startarrow="block" endarrow="block" joinstyle="miter"/>
              </v:shape>
            </w:pict>
          </mc:Fallback>
        </mc:AlternateContent>
      </w:r>
      <w:r>
        <w:rPr>
          <w:rFonts w:eastAsia="MS Mincho"/>
          <w:noProof/>
          <w:kern w:val="0"/>
          <w:sz w:val="16"/>
          <w:szCs w:val="16"/>
        </w:rPr>
        <mc:AlternateContent>
          <mc:Choice Requires="wps">
            <w:drawing>
              <wp:anchor distT="0" distB="0" distL="114300" distR="114300" simplePos="0" relativeHeight="251676672" behindDoc="0" locked="0" layoutInCell="1" allowOverlap="1" wp14:anchorId="0C377F83" wp14:editId="51223194">
                <wp:simplePos x="0" y="0"/>
                <wp:positionH relativeFrom="column">
                  <wp:posOffset>3657600</wp:posOffset>
                </wp:positionH>
                <wp:positionV relativeFrom="paragraph">
                  <wp:posOffset>1713865</wp:posOffset>
                </wp:positionV>
                <wp:extent cx="1409700" cy="7239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409700" cy="723900"/>
                        </a:xfrm>
                        <a:prstGeom prst="rect">
                          <a:avLst/>
                        </a:prstGeom>
                        <a:solidFill>
                          <a:schemeClr val="lt1"/>
                        </a:solidFill>
                        <a:ln w="6350">
                          <a:solidFill>
                            <a:prstClr val="black"/>
                          </a:solidFill>
                        </a:ln>
                      </wps:spPr>
                      <wps:txbx>
                        <w:txbxContent>
                          <w:p w14:paraId="53809343" w14:textId="6541A11B" w:rsidR="003B5525" w:rsidRPr="00310D1F" w:rsidRDefault="003B5525" w:rsidP="00156434">
                            <w:pPr>
                              <w:jc w:val="center"/>
                              <w:rPr>
                                <w:b/>
                                <w:bCs/>
                                <w:color w:val="6A7277" w:themeColor="accent1"/>
                              </w:rPr>
                            </w:pPr>
                            <w:r w:rsidRPr="00310D1F">
                              <w:rPr>
                                <w:b/>
                                <w:bCs/>
                                <w:color w:val="6A7277" w:themeColor="accent1"/>
                              </w:rPr>
                              <w:t>2-3 Hours Near Peak in 2024 High Renewable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377F83" id="_x0000_t202" coordsize="21600,21600" o:spt="202" path="m,l,21600r21600,l21600,xe">
                <v:stroke joinstyle="miter"/>
                <v:path gradientshapeok="t" o:connecttype="rect"/>
              </v:shapetype>
              <v:shape id="Text Box 48" o:spid="_x0000_s1026" type="#_x0000_t202" style="position:absolute;left:0;text-align:left;margin-left:4in;margin-top:134.95pt;width:111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" fillcolor="white [3201]" strokeweight=".5pt">
                <v:textbox>
                  <w:txbxContent>
                    <w:p w14:paraId="53809343" w14:textId="6541A11B" w:rsidR="003B5525" w:rsidRPr="00310D1F" w:rsidRDefault="003B5525" w:rsidP="00156434">
                      <w:pPr>
                        <w:jc w:val="center"/>
                        <w:rPr>
                          <w:b/>
                          <w:bCs/>
                          <w:color w:val="6A7277" w:themeColor="accent1"/>
                        </w:rPr>
                      </w:pPr>
                      <w:r w:rsidRPr="00310D1F">
                        <w:rPr>
                          <w:b/>
                          <w:bCs/>
                          <w:color w:val="6A7277" w:themeColor="accent1"/>
                        </w:rPr>
                        <w:t>2-3 Hours Near Peak in 2024 High Renewable Case</w:t>
                      </w:r>
                    </w:p>
                  </w:txbxContent>
                </v:textbox>
              </v:shape>
            </w:pict>
          </mc:Fallback>
        </mc:AlternateContent>
      </w:r>
      <w:r w:rsidR="00866903">
        <w:rPr>
          <w:rFonts w:eastAsia="MS Mincho"/>
          <w:noProof/>
          <w:kern w:val="0"/>
          <w:sz w:val="16"/>
          <w:szCs w:val="16"/>
        </w:rPr>
        <mc:AlternateContent>
          <mc:Choice Requires="wps">
            <w:drawing>
              <wp:anchor distT="0" distB="0" distL="114300" distR="114300" simplePos="0" relativeHeight="251674624" behindDoc="0" locked="0" layoutInCell="1" allowOverlap="1" wp14:anchorId="05570866" wp14:editId="7B581071">
                <wp:simplePos x="0" y="0"/>
                <wp:positionH relativeFrom="column">
                  <wp:posOffset>1809750</wp:posOffset>
                </wp:positionH>
                <wp:positionV relativeFrom="paragraph">
                  <wp:posOffset>304165</wp:posOffset>
                </wp:positionV>
                <wp:extent cx="1409700" cy="5238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1409700" cy="523875"/>
                        </a:xfrm>
                        <a:prstGeom prst="rect">
                          <a:avLst/>
                        </a:prstGeom>
                        <a:solidFill>
                          <a:schemeClr val="lt1"/>
                        </a:solidFill>
                        <a:ln w="6350">
                          <a:solidFill>
                            <a:prstClr val="black"/>
                          </a:solidFill>
                        </a:ln>
                      </wps:spPr>
                      <wps:txbx>
                        <w:txbxContent>
                          <w:p w14:paraId="25E56E29" w14:textId="54781B83" w:rsidR="003B5525" w:rsidRPr="00310D1F" w:rsidRDefault="003B5525" w:rsidP="00156434">
                            <w:pPr>
                              <w:jc w:val="center"/>
                              <w:rPr>
                                <w:b/>
                                <w:bCs/>
                                <w:color w:val="00467F" w:themeColor="background2"/>
                              </w:rPr>
                            </w:pPr>
                            <w:r w:rsidRPr="00310D1F">
                              <w:rPr>
                                <w:b/>
                                <w:bCs/>
                                <w:color w:val="00467F" w:themeColor="background2"/>
                              </w:rPr>
                              <w:t>6-8 Hours Near Peak in 2024 Base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70866" id="Text Box 46" o:spid="_x0000_s1027" type="#_x0000_t202" style="position:absolute;left:0;text-align:left;margin-left:142.5pt;margin-top:23.95pt;width:111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" fillcolor="white [3201]" strokeweight=".5pt">
                <v:textbox>
                  <w:txbxContent>
                    <w:p w14:paraId="25E56E29" w14:textId="54781B83" w:rsidR="003B5525" w:rsidRPr="00310D1F" w:rsidRDefault="003B5525" w:rsidP="00156434">
                      <w:pPr>
                        <w:jc w:val="center"/>
                        <w:rPr>
                          <w:b/>
                          <w:bCs/>
                          <w:color w:val="00467F" w:themeColor="background2"/>
                        </w:rPr>
                      </w:pPr>
                      <w:r w:rsidRPr="00310D1F">
                        <w:rPr>
                          <w:b/>
                          <w:bCs/>
                          <w:color w:val="00467F" w:themeColor="background2"/>
                        </w:rPr>
                        <w:t>6-8 Hours Near Peak in 2024 Base Case</w:t>
                      </w:r>
                    </w:p>
                  </w:txbxContent>
                </v:textbox>
              </v:shape>
            </w:pict>
          </mc:Fallback>
        </mc:AlternateContent>
      </w:r>
      <w:r w:rsidR="00B91C55">
        <w:rPr>
          <w:noProof/>
        </w:rPr>
        <w:drawing>
          <wp:inline distT="0" distB="0" distL="0" distR="0" wp14:anchorId="73A06684" wp14:editId="3BCDEAAD">
            <wp:extent cx="5767070" cy="401129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70" cy="4011295"/>
                    </a:xfrm>
                    <a:prstGeom prst="rect">
                      <a:avLst/>
                    </a:prstGeom>
                    <a:noFill/>
                  </pic:spPr>
                </pic:pic>
              </a:graphicData>
            </a:graphic>
          </wp:inline>
        </w:drawing>
      </w:r>
    </w:p>
    <w:p w14:paraId="448B52C5" w14:textId="58F899D3" w:rsidR="001F0F76" w:rsidRDefault="001F0F76" w:rsidP="001F0F76">
      <w:pPr>
        <w:pStyle w:val="BGNormal125"/>
        <w:rPr>
          <w:rFonts w:ascii="Calibri" w:hAnsi="Calibri" w:cs="Calibri"/>
          <w:color w:val="auto"/>
        </w:rPr>
      </w:pPr>
      <w:r w:rsidRPr="001F0F76">
        <w:rPr>
          <w:rFonts w:ascii="Calibri" w:hAnsi="Calibri" w:cs="Calibri"/>
          <w:color w:val="auto"/>
        </w:rPr>
        <w:t>The</w:t>
      </w:r>
      <w:r w:rsidR="00B96426">
        <w:rPr>
          <w:rFonts w:ascii="Calibri" w:hAnsi="Calibri" w:cs="Calibri"/>
          <w:color w:val="auto"/>
        </w:rPr>
        <w:t xml:space="preserve"> moderation of </w:t>
      </w:r>
      <w:r w:rsidRPr="001F0F76">
        <w:rPr>
          <w:rFonts w:ascii="Calibri" w:hAnsi="Calibri" w:cs="Calibri"/>
          <w:color w:val="auto"/>
        </w:rPr>
        <w:t xml:space="preserve">net load </w:t>
      </w:r>
      <w:r w:rsidR="00B96426">
        <w:rPr>
          <w:rFonts w:ascii="Calibri" w:hAnsi="Calibri" w:cs="Calibri"/>
          <w:color w:val="auto"/>
        </w:rPr>
        <w:t>peak frequency</w:t>
      </w:r>
      <w:r w:rsidRPr="001F0F76">
        <w:rPr>
          <w:rFonts w:ascii="Calibri" w:hAnsi="Calibri" w:cs="Calibri"/>
          <w:color w:val="auto"/>
        </w:rPr>
        <w:t xml:space="preserve"> can be seen clearly in the annual net load duration curve</w:t>
      </w:r>
      <w:r w:rsidR="009544DE">
        <w:rPr>
          <w:rFonts w:ascii="Calibri" w:hAnsi="Calibri" w:cs="Calibri"/>
          <w:color w:val="auto"/>
        </w:rPr>
        <w:t xml:space="preserve"> shown in Figure ES-</w:t>
      </w:r>
      <w:r w:rsidR="0020093E">
        <w:rPr>
          <w:rFonts w:ascii="Calibri" w:hAnsi="Calibri" w:cs="Calibri"/>
          <w:color w:val="auto"/>
        </w:rPr>
        <w:t>5</w:t>
      </w:r>
      <w:r w:rsidRPr="001F0F76">
        <w:rPr>
          <w:rFonts w:ascii="Calibri" w:hAnsi="Calibri" w:cs="Calibri"/>
          <w:color w:val="auto"/>
        </w:rPr>
        <w:t xml:space="preserve">. Scarcity conditions and associated high prices are most likely when net load is near its annual peak. The addition of another </w:t>
      </w:r>
      <w:r w:rsidR="005962CF">
        <w:rPr>
          <w:rFonts w:ascii="Calibri" w:hAnsi="Calibri" w:cs="Calibri"/>
          <w:color w:val="auto"/>
        </w:rPr>
        <w:t>15</w:t>
      </w:r>
      <w:r w:rsidR="005962CF" w:rsidRPr="001F0F76">
        <w:rPr>
          <w:rFonts w:ascii="Calibri" w:hAnsi="Calibri" w:cs="Calibri"/>
          <w:color w:val="auto"/>
        </w:rPr>
        <w:t xml:space="preserve"> </w:t>
      </w:r>
      <w:r w:rsidRPr="001F0F76">
        <w:rPr>
          <w:rFonts w:ascii="Calibri" w:hAnsi="Calibri" w:cs="Calibri"/>
          <w:color w:val="auto"/>
        </w:rPr>
        <w:t xml:space="preserve">GW of solar capacity dramatically steepens the net load duration curve near the annual peak. This steepening translates to lower frequency of scarcity conditions and high prices depressing MERM. </w:t>
      </w:r>
    </w:p>
    <w:p w14:paraId="5432253E" w14:textId="22CBA373" w:rsidR="003A1D09" w:rsidRDefault="003A1D09" w:rsidP="003A1D09"/>
    <w:p w14:paraId="794A4A24" w14:textId="320B3F57" w:rsidR="003A1D09" w:rsidRDefault="003A1D09" w:rsidP="003A1D09"/>
    <w:p w14:paraId="7489B49C" w14:textId="61E2B3DD" w:rsidR="003A1D09" w:rsidRDefault="003A1D09" w:rsidP="003A1D09"/>
    <w:p w14:paraId="511B1467" w14:textId="4B10921F" w:rsidR="003A1D09" w:rsidRDefault="003A1D09" w:rsidP="003A1D09"/>
    <w:p w14:paraId="55C27DDC" w14:textId="21634F85" w:rsidR="003A1D09" w:rsidRDefault="003A1D09" w:rsidP="003A1D09"/>
    <w:p w14:paraId="79EE58AF" w14:textId="77777777" w:rsidR="003A1D09" w:rsidRDefault="003A1D09" w:rsidP="003A1D09"/>
    <w:p w14:paraId="415EF5F3" w14:textId="77777777" w:rsidR="003A1D09" w:rsidRPr="001F0F76" w:rsidRDefault="003A1D09" w:rsidP="003A1D09"/>
    <w:p w14:paraId="34C596CD" w14:textId="7BD521DC" w:rsidR="009544DE" w:rsidRDefault="009544DE" w:rsidP="008047D4">
      <w:pPr>
        <w:pStyle w:val="Caption"/>
        <w:spacing w:after="0"/>
        <w:jc w:val="center"/>
        <w:rPr>
          <w:rFonts w:cs="Calibri"/>
          <w:b/>
          <w:bCs/>
          <w:i w:val="0"/>
          <w:iCs w:val="0"/>
          <w:noProof/>
          <w:color w:val="auto"/>
          <w:sz w:val="22"/>
          <w:szCs w:val="22"/>
        </w:rPr>
      </w:pPr>
      <w:r w:rsidRPr="008047D4">
        <w:rPr>
          <w:rFonts w:cs="Calibri"/>
          <w:b/>
          <w:bCs/>
          <w:i w:val="0"/>
          <w:iCs w:val="0"/>
          <w:color w:val="auto"/>
          <w:sz w:val="22"/>
          <w:szCs w:val="22"/>
        </w:rPr>
        <w:t>Figure ES-</w:t>
      </w:r>
      <w:r w:rsidR="0020093E">
        <w:rPr>
          <w:rFonts w:cs="Calibri"/>
          <w:b/>
          <w:bCs/>
          <w:i w:val="0"/>
          <w:iCs w:val="0"/>
          <w:noProof/>
          <w:color w:val="auto"/>
          <w:sz w:val="22"/>
          <w:szCs w:val="22"/>
        </w:rPr>
        <w:t>5</w:t>
      </w:r>
      <w:r w:rsidRPr="008047D4">
        <w:rPr>
          <w:rFonts w:cs="Calibri"/>
          <w:b/>
          <w:bCs/>
          <w:i w:val="0"/>
          <w:iCs w:val="0"/>
          <w:noProof/>
          <w:color w:val="auto"/>
          <w:sz w:val="22"/>
          <w:szCs w:val="22"/>
        </w:rPr>
        <w:t>. Net Load Duration Curve Comparison</w:t>
      </w:r>
    </w:p>
    <w:p w14:paraId="4FD81E7A" w14:textId="47CD3AB1" w:rsidR="00070F55" w:rsidRPr="003A1D09" w:rsidRDefault="00B91C55" w:rsidP="003A1D09">
      <w:pPr>
        <w:jc w:val="center"/>
      </w:pPr>
      <w:r>
        <w:rPr>
          <w:noProof/>
        </w:rPr>
        <w:drawing>
          <wp:inline distT="0" distB="0" distL="0" distR="0" wp14:anchorId="29C095FE" wp14:editId="2DDE778C">
            <wp:extent cx="5210175" cy="313573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7420" cy="3152129"/>
                    </a:xfrm>
                    <a:prstGeom prst="rect">
                      <a:avLst/>
                    </a:prstGeom>
                    <a:noFill/>
                  </pic:spPr>
                </pic:pic>
              </a:graphicData>
            </a:graphic>
          </wp:inline>
        </w:drawing>
      </w:r>
    </w:p>
    <w:p w14:paraId="5A19EB13" w14:textId="379D0E76" w:rsidR="001F0F76" w:rsidRPr="008047D4" w:rsidRDefault="001F0F76" w:rsidP="003A1D09">
      <w:pPr>
        <w:pStyle w:val="BGNormal125"/>
        <w:spacing w:before="0" w:after="240"/>
        <w:rPr>
          <w:rFonts w:ascii="Calibri" w:hAnsi="Calibri" w:cs="Calibri"/>
          <w:color w:val="C00000"/>
        </w:rPr>
      </w:pPr>
      <w:r w:rsidRPr="001F0F76">
        <w:rPr>
          <w:rFonts w:ascii="Calibri" w:hAnsi="Calibri" w:cs="Calibri"/>
          <w:color w:val="auto"/>
        </w:rPr>
        <w:t>From the waterfall chart</w:t>
      </w:r>
      <w:r w:rsidR="00424B97">
        <w:rPr>
          <w:rFonts w:ascii="Calibri" w:hAnsi="Calibri" w:cs="Calibri"/>
          <w:color w:val="auto"/>
        </w:rPr>
        <w:t xml:space="preserve"> (Figure ES-2)</w:t>
      </w:r>
      <w:r w:rsidRPr="001F0F76">
        <w:rPr>
          <w:rFonts w:ascii="Calibri" w:hAnsi="Calibri" w:cs="Calibri"/>
          <w:color w:val="auto"/>
        </w:rPr>
        <w:t>, the impact of the 20</w:t>
      </w:r>
      <w:r w:rsidR="00940C5A">
        <w:rPr>
          <w:rFonts w:ascii="Calibri" w:hAnsi="Calibri" w:cs="Calibri"/>
          <w:color w:val="auto"/>
        </w:rPr>
        <w:t xml:space="preserve"> </w:t>
      </w:r>
      <w:r w:rsidRPr="001F0F76">
        <w:rPr>
          <w:rFonts w:ascii="Calibri" w:hAnsi="Calibri" w:cs="Calibri"/>
          <w:color w:val="auto"/>
        </w:rPr>
        <w:t xml:space="preserve">GW of renewable additions </w:t>
      </w:r>
      <w:r w:rsidR="00F67D54">
        <w:rPr>
          <w:rFonts w:ascii="Calibri" w:hAnsi="Calibri" w:cs="Calibri"/>
          <w:color w:val="auto"/>
        </w:rPr>
        <w:t xml:space="preserve">from the 2018 study to the 2020 study </w:t>
      </w:r>
      <w:r w:rsidRPr="001F0F76">
        <w:rPr>
          <w:rFonts w:ascii="Calibri" w:hAnsi="Calibri" w:cs="Calibri"/>
          <w:color w:val="auto"/>
        </w:rPr>
        <w:t>was to reduce the MERM by 1</w:t>
      </w:r>
      <w:r w:rsidR="004368C4">
        <w:rPr>
          <w:rFonts w:ascii="Calibri" w:hAnsi="Calibri" w:cs="Calibri"/>
          <w:color w:val="auto"/>
        </w:rPr>
        <w:t>.00</w:t>
      </w:r>
      <w:r w:rsidR="00424B97">
        <w:rPr>
          <w:rFonts w:ascii="Calibri" w:hAnsi="Calibri" w:cs="Calibri"/>
          <w:color w:val="auto"/>
        </w:rPr>
        <w:t xml:space="preserve"> percentage points</w:t>
      </w:r>
      <w:r w:rsidRPr="004368C4">
        <w:rPr>
          <w:rFonts w:ascii="Calibri" w:hAnsi="Calibri" w:cs="Calibri"/>
          <w:color w:val="auto"/>
        </w:rPr>
        <w:t>. Because of the more pronounced effect on load shape of additional solar from the projected 2024 penetration, the next 20 GW of renewable additions</w:t>
      </w:r>
      <w:r w:rsidR="00B64216">
        <w:rPr>
          <w:rFonts w:ascii="Calibri" w:hAnsi="Calibri" w:cs="Calibri"/>
          <w:color w:val="auto"/>
        </w:rPr>
        <w:t xml:space="preserve"> anal</w:t>
      </w:r>
      <w:r w:rsidR="00FC5A17">
        <w:rPr>
          <w:rFonts w:ascii="Calibri" w:hAnsi="Calibri" w:cs="Calibri"/>
          <w:color w:val="auto"/>
        </w:rPr>
        <w:t>y</w:t>
      </w:r>
      <w:r w:rsidR="00B64216">
        <w:rPr>
          <w:rFonts w:ascii="Calibri" w:hAnsi="Calibri" w:cs="Calibri"/>
          <w:color w:val="auto"/>
        </w:rPr>
        <w:t>zed in the high renewable scenario</w:t>
      </w:r>
      <w:r w:rsidRPr="004368C4">
        <w:rPr>
          <w:rFonts w:ascii="Calibri" w:hAnsi="Calibri" w:cs="Calibri"/>
          <w:color w:val="auto"/>
        </w:rPr>
        <w:t xml:space="preserve"> are expected to reduce MERM by </w:t>
      </w:r>
      <w:r w:rsidR="008C189B">
        <w:rPr>
          <w:rFonts w:ascii="Calibri" w:hAnsi="Calibri" w:cs="Calibri"/>
          <w:color w:val="auto"/>
        </w:rPr>
        <w:t>2.00</w:t>
      </w:r>
      <w:r w:rsidR="00424B97">
        <w:rPr>
          <w:rFonts w:ascii="Calibri" w:hAnsi="Calibri" w:cs="Calibri"/>
          <w:color w:val="auto"/>
        </w:rPr>
        <w:t xml:space="preserve"> percentage points</w:t>
      </w:r>
      <w:r w:rsidRPr="004368C4">
        <w:rPr>
          <w:rFonts w:ascii="Calibri" w:hAnsi="Calibri" w:cs="Calibri"/>
          <w:color w:val="auto"/>
        </w:rPr>
        <w:t xml:space="preserve"> to </w:t>
      </w:r>
      <w:r w:rsidR="00FC5A17">
        <w:rPr>
          <w:rFonts w:ascii="Calibri" w:hAnsi="Calibri" w:cs="Calibri"/>
          <w:color w:val="auto"/>
        </w:rPr>
        <w:t>10</w:t>
      </w:r>
      <w:r w:rsidR="008C189B">
        <w:rPr>
          <w:rFonts w:ascii="Calibri" w:hAnsi="Calibri" w:cs="Calibri"/>
          <w:color w:val="auto"/>
        </w:rPr>
        <w:t>.25</w:t>
      </w:r>
      <w:r w:rsidRPr="004368C4">
        <w:rPr>
          <w:rFonts w:ascii="Calibri" w:hAnsi="Calibri" w:cs="Calibri"/>
          <w:color w:val="auto"/>
        </w:rPr>
        <w:t>%</w:t>
      </w:r>
      <w:r w:rsidR="004368C4">
        <w:rPr>
          <w:rFonts w:ascii="Calibri" w:hAnsi="Calibri" w:cs="Calibri"/>
          <w:color w:val="auto"/>
        </w:rPr>
        <w:t>, as shown in Figure ES-</w:t>
      </w:r>
      <w:r w:rsidR="0020093E">
        <w:rPr>
          <w:rFonts w:ascii="Calibri" w:hAnsi="Calibri" w:cs="Calibri"/>
          <w:color w:val="auto"/>
        </w:rPr>
        <w:t>6</w:t>
      </w:r>
      <w:r w:rsidRPr="004368C4">
        <w:rPr>
          <w:rFonts w:ascii="Calibri" w:hAnsi="Calibri" w:cs="Calibri"/>
          <w:color w:val="auto"/>
        </w:rPr>
        <w:t xml:space="preserve">. At this level, the reliability implications of a different MERM are significant with firm load shed occurring </w:t>
      </w:r>
      <w:r w:rsidR="00156434">
        <w:rPr>
          <w:rFonts w:ascii="Calibri" w:hAnsi="Calibri" w:cs="Calibri"/>
          <w:color w:val="auto"/>
        </w:rPr>
        <w:t>0.5 days per year</w:t>
      </w:r>
      <w:r w:rsidRPr="004368C4">
        <w:rPr>
          <w:rFonts w:ascii="Calibri" w:hAnsi="Calibri" w:cs="Calibri"/>
          <w:color w:val="auto"/>
        </w:rPr>
        <w:t xml:space="preserve"> at MERM in the base case, but more than </w:t>
      </w:r>
      <w:r w:rsidR="00E27CA4">
        <w:rPr>
          <w:rFonts w:ascii="Calibri" w:hAnsi="Calibri" w:cs="Calibri"/>
          <w:color w:val="auto"/>
        </w:rPr>
        <w:t>1.3 days</w:t>
      </w:r>
      <w:r w:rsidR="00E27CA4" w:rsidRPr="004368C4">
        <w:rPr>
          <w:rFonts w:ascii="Calibri" w:hAnsi="Calibri" w:cs="Calibri"/>
          <w:color w:val="auto"/>
        </w:rPr>
        <w:t xml:space="preserve"> </w:t>
      </w:r>
      <w:r w:rsidRPr="004368C4">
        <w:rPr>
          <w:rFonts w:ascii="Calibri" w:hAnsi="Calibri" w:cs="Calibri"/>
          <w:color w:val="auto"/>
        </w:rPr>
        <w:t>every year in the high renewable case.</w:t>
      </w:r>
    </w:p>
    <w:p w14:paraId="604A704E" w14:textId="3581A669" w:rsidR="00070F55" w:rsidRPr="008047D4" w:rsidRDefault="00070F55" w:rsidP="008047D4">
      <w:pPr>
        <w:pStyle w:val="Caption"/>
        <w:spacing w:after="0"/>
        <w:jc w:val="center"/>
        <w:rPr>
          <w:rFonts w:cs="Calibri"/>
          <w:b/>
          <w:bCs/>
          <w:noProof/>
          <w:color w:val="auto"/>
          <w:sz w:val="22"/>
          <w:szCs w:val="22"/>
        </w:rPr>
      </w:pPr>
      <w:r w:rsidRPr="008047D4">
        <w:rPr>
          <w:rFonts w:cs="Calibri"/>
          <w:b/>
          <w:bCs/>
          <w:i w:val="0"/>
          <w:iCs w:val="0"/>
          <w:color w:val="auto"/>
          <w:sz w:val="22"/>
          <w:szCs w:val="22"/>
        </w:rPr>
        <w:t>Figure ES-</w:t>
      </w:r>
      <w:r w:rsidR="0098195C">
        <w:rPr>
          <w:rFonts w:cs="Calibri"/>
          <w:b/>
          <w:bCs/>
          <w:i w:val="0"/>
          <w:iCs w:val="0"/>
          <w:noProof/>
          <w:color w:val="auto"/>
          <w:sz w:val="22"/>
          <w:szCs w:val="22"/>
        </w:rPr>
        <w:t>6</w:t>
      </w:r>
      <w:r w:rsidRPr="008047D4">
        <w:rPr>
          <w:rFonts w:cs="Calibri"/>
          <w:b/>
          <w:bCs/>
          <w:i w:val="0"/>
          <w:iCs w:val="0"/>
          <w:noProof/>
          <w:color w:val="auto"/>
          <w:sz w:val="22"/>
          <w:szCs w:val="22"/>
        </w:rPr>
        <w:t>. Marginal Unit Net Energy Revenues</w:t>
      </w:r>
    </w:p>
    <w:p w14:paraId="7AFE7D9F" w14:textId="0F7AA377" w:rsidR="00070F55" w:rsidRDefault="00A97591" w:rsidP="008047D4">
      <w:pPr>
        <w:pStyle w:val="BGNormal125"/>
        <w:spacing w:before="0"/>
        <w:jc w:val="center"/>
        <w:rPr>
          <w:rFonts w:ascii="Calibri" w:hAnsi="Calibri" w:cs="Calibri"/>
          <w:color w:val="auto"/>
        </w:rPr>
      </w:pPr>
      <w:r>
        <w:rPr>
          <w:rFonts w:ascii="Calibri" w:hAnsi="Calibri" w:cs="Calibri"/>
          <w:noProof/>
          <w:color w:val="auto"/>
        </w:rPr>
        <w:drawing>
          <wp:inline distT="0" distB="0" distL="0" distR="0" wp14:anchorId="2B7F7B68" wp14:editId="3CD5652F">
            <wp:extent cx="4495800" cy="303739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
                      <a:extLst>
                        <a:ext uri="{28A0092B-C50C-407E-A947-70E740481C1C}">
                          <a14:useLocalDpi xmlns:a14="http://schemas.microsoft.com/office/drawing/2010/main" val="0"/>
                        </a:ext>
                      </a:extLst>
                    </a:blip>
                    <a:srcRect r="9782"/>
                    <a:stretch/>
                  </pic:blipFill>
                  <pic:spPr bwMode="auto">
                    <a:xfrm>
                      <a:off x="0" y="0"/>
                      <a:ext cx="4507736" cy="3045456"/>
                    </a:xfrm>
                    <a:prstGeom prst="rect">
                      <a:avLst/>
                    </a:prstGeom>
                    <a:noFill/>
                    <a:ln>
                      <a:noFill/>
                    </a:ln>
                    <a:extLst>
                      <a:ext uri="{53640926-AAD7-44D8-BBD7-CCE9431645EC}">
                        <a14:shadowObscured xmlns:a14="http://schemas.microsoft.com/office/drawing/2010/main"/>
                      </a:ext>
                    </a:extLst>
                  </pic:spPr>
                </pic:pic>
              </a:graphicData>
            </a:graphic>
          </wp:inline>
        </w:drawing>
      </w:r>
    </w:p>
    <w:p w14:paraId="7DD04D46" w14:textId="0C631F73" w:rsidR="001F0F76" w:rsidRPr="001F0F76" w:rsidRDefault="001F0F76" w:rsidP="001F0F76">
      <w:pPr>
        <w:pStyle w:val="BGNormal125"/>
        <w:rPr>
          <w:rFonts w:ascii="Calibri" w:hAnsi="Calibri" w:cs="Calibri"/>
          <w:color w:val="auto"/>
        </w:rPr>
      </w:pPr>
      <w:r w:rsidRPr="001F0F76">
        <w:rPr>
          <w:rFonts w:ascii="Calibri" w:hAnsi="Calibri" w:cs="Calibri"/>
          <w:color w:val="auto"/>
        </w:rPr>
        <w:t>While the change in net load shape reduces the frequency of scarcity pricing, it creates opportunities for other classes of resources, namely battery storage</w:t>
      </w:r>
      <w:r w:rsidR="005038AD">
        <w:rPr>
          <w:rFonts w:ascii="Calibri" w:hAnsi="Calibri" w:cs="Calibri"/>
          <w:color w:val="auto"/>
        </w:rPr>
        <w:t>, as shown in Figure ES-</w:t>
      </w:r>
      <w:r w:rsidR="0020093E">
        <w:rPr>
          <w:rFonts w:ascii="Calibri" w:hAnsi="Calibri" w:cs="Calibri"/>
          <w:color w:val="auto"/>
        </w:rPr>
        <w:t>7</w:t>
      </w:r>
      <w:r w:rsidRPr="001F0F76">
        <w:rPr>
          <w:rFonts w:ascii="Calibri" w:hAnsi="Calibri" w:cs="Calibri"/>
          <w:color w:val="auto"/>
        </w:rPr>
        <w:t xml:space="preserve">. </w:t>
      </w:r>
      <w:r w:rsidR="00594707">
        <w:rPr>
          <w:rFonts w:ascii="Calibri" w:hAnsi="Calibri" w:cs="Calibri"/>
          <w:color w:val="auto"/>
        </w:rPr>
        <w:t xml:space="preserve">Prior to the introduction of any solar, the load peak in ERCOT </w:t>
      </w:r>
      <w:r w:rsidR="00B92913">
        <w:rPr>
          <w:rFonts w:ascii="Calibri" w:hAnsi="Calibri" w:cs="Calibri"/>
          <w:color w:val="auto"/>
        </w:rPr>
        <w:t>spans</w:t>
      </w:r>
      <w:r w:rsidR="00594707">
        <w:rPr>
          <w:rFonts w:ascii="Calibri" w:hAnsi="Calibri" w:cs="Calibri"/>
          <w:color w:val="auto"/>
        </w:rPr>
        <w:t xml:space="preserve"> several hours</w:t>
      </w:r>
      <w:r w:rsidR="00B92913">
        <w:rPr>
          <w:rFonts w:ascii="Calibri" w:hAnsi="Calibri" w:cs="Calibri"/>
          <w:color w:val="auto"/>
        </w:rPr>
        <w:t xml:space="preserve">; the net load is within a few thousand MW of the daily peak for </w:t>
      </w:r>
      <w:r w:rsidR="00591A72">
        <w:rPr>
          <w:rFonts w:ascii="Calibri" w:hAnsi="Calibri" w:cs="Calibri"/>
          <w:color w:val="auto"/>
        </w:rPr>
        <w:t>six to eight</w:t>
      </w:r>
      <w:r w:rsidR="00B92913">
        <w:rPr>
          <w:rFonts w:ascii="Calibri" w:hAnsi="Calibri" w:cs="Calibri"/>
          <w:color w:val="auto"/>
        </w:rPr>
        <w:t xml:space="preserve"> hours</w:t>
      </w:r>
      <w:r w:rsidR="00594707">
        <w:rPr>
          <w:rFonts w:ascii="Calibri" w:hAnsi="Calibri" w:cs="Calibri"/>
          <w:color w:val="auto"/>
        </w:rPr>
        <w:t xml:space="preserve">. Even after the addition of over </w:t>
      </w:r>
      <w:r w:rsidR="00E27CA4">
        <w:rPr>
          <w:rFonts w:ascii="Calibri" w:hAnsi="Calibri" w:cs="Calibri"/>
          <w:color w:val="auto"/>
        </w:rPr>
        <w:t xml:space="preserve">16 GW </w:t>
      </w:r>
      <w:r w:rsidR="00594707">
        <w:rPr>
          <w:rFonts w:ascii="Calibri" w:hAnsi="Calibri" w:cs="Calibri"/>
          <w:color w:val="auto"/>
        </w:rPr>
        <w:t>of solar projected to be online by 2024, the net load shape is still quite flat near the peak</w:t>
      </w:r>
      <w:r w:rsidR="00C03F67">
        <w:rPr>
          <w:rFonts w:ascii="Calibri" w:hAnsi="Calibri" w:cs="Calibri"/>
          <w:color w:val="auto"/>
        </w:rPr>
        <w:t>, and consequently batteries would need to supply long duration storage</w:t>
      </w:r>
      <w:r w:rsidR="00594707">
        <w:rPr>
          <w:rFonts w:ascii="Calibri" w:hAnsi="Calibri" w:cs="Calibri"/>
          <w:color w:val="auto"/>
        </w:rPr>
        <w:t>. Subsequent additions begin to produce steeper net loads near the daily peak</w:t>
      </w:r>
      <w:r w:rsidR="00C03F67">
        <w:rPr>
          <w:rFonts w:ascii="Calibri" w:hAnsi="Calibri" w:cs="Calibri"/>
          <w:color w:val="auto"/>
        </w:rPr>
        <w:t xml:space="preserve">, and at the penetrations in the high renewable scenario, the steepness of the net load shape results in significant </w:t>
      </w:r>
      <w:r w:rsidR="00591A72">
        <w:rPr>
          <w:rFonts w:ascii="Calibri" w:hAnsi="Calibri" w:cs="Calibri"/>
          <w:color w:val="auto"/>
        </w:rPr>
        <w:t>four</w:t>
      </w:r>
      <w:r w:rsidR="00C03F67">
        <w:rPr>
          <w:rFonts w:ascii="Calibri" w:hAnsi="Calibri" w:cs="Calibri"/>
          <w:color w:val="auto"/>
        </w:rPr>
        <w:t>-hour battery capacity being able to supply capacity value.</w:t>
      </w:r>
    </w:p>
    <w:p w14:paraId="2B916C43" w14:textId="445EB42C" w:rsidR="007B1218" w:rsidRPr="00204DA2" w:rsidRDefault="007B1218" w:rsidP="003A1D09">
      <w:pPr>
        <w:pStyle w:val="Caption"/>
        <w:spacing w:after="0"/>
        <w:jc w:val="center"/>
        <w:rPr>
          <w:rFonts w:cs="Calibri"/>
          <w:b/>
          <w:bCs/>
          <w:i w:val="0"/>
          <w:iCs w:val="0"/>
          <w:noProof/>
          <w:color w:val="auto"/>
          <w:sz w:val="22"/>
          <w:szCs w:val="22"/>
        </w:rPr>
      </w:pPr>
      <w:r w:rsidRPr="00204DA2">
        <w:rPr>
          <w:rFonts w:cs="Calibri"/>
          <w:b/>
          <w:bCs/>
          <w:i w:val="0"/>
          <w:iCs w:val="0"/>
          <w:color w:val="auto"/>
          <w:sz w:val="22"/>
          <w:szCs w:val="22"/>
        </w:rPr>
        <w:t>Figure ES-</w:t>
      </w:r>
      <w:r w:rsidR="0020093E">
        <w:rPr>
          <w:rFonts w:cs="Calibri"/>
          <w:b/>
          <w:bCs/>
          <w:i w:val="0"/>
          <w:iCs w:val="0"/>
          <w:noProof/>
          <w:color w:val="auto"/>
          <w:sz w:val="22"/>
          <w:szCs w:val="22"/>
        </w:rPr>
        <w:t>7</w:t>
      </w:r>
      <w:r w:rsidRPr="00204DA2">
        <w:rPr>
          <w:rFonts w:cs="Calibri"/>
          <w:b/>
          <w:bCs/>
          <w:i w:val="0"/>
          <w:iCs w:val="0"/>
          <w:noProof/>
          <w:color w:val="auto"/>
          <w:sz w:val="22"/>
          <w:szCs w:val="22"/>
        </w:rPr>
        <w:t xml:space="preserve">. </w:t>
      </w:r>
      <w:r w:rsidR="00C668B0">
        <w:rPr>
          <w:rFonts w:cs="Calibri"/>
          <w:b/>
          <w:bCs/>
          <w:i w:val="0"/>
          <w:iCs w:val="0"/>
          <w:noProof/>
          <w:color w:val="auto"/>
          <w:sz w:val="22"/>
          <w:szCs w:val="22"/>
        </w:rPr>
        <w:t>Net Load Shape Impact of Solar</w:t>
      </w:r>
    </w:p>
    <w:p w14:paraId="3B316D31" w14:textId="545BCC27" w:rsidR="001F0F76" w:rsidRPr="008047D4" w:rsidRDefault="003B5525" w:rsidP="008047D4">
      <w:pPr>
        <w:pStyle w:val="BGNormal125"/>
        <w:spacing w:before="0"/>
        <w:jc w:val="center"/>
        <w:rPr>
          <w:rFonts w:ascii="Calibri" w:hAnsi="Calibri" w:cs="Calibri"/>
          <w:color w:val="C00000"/>
        </w:rPr>
      </w:pPr>
      <w:r>
        <w:rPr>
          <w:rFonts w:ascii="Calibri" w:hAnsi="Calibri" w:cs="Calibri"/>
          <w:noProof/>
          <w:color w:val="C00000"/>
        </w:rPr>
        <w:drawing>
          <wp:inline distT="0" distB="0" distL="0" distR="0" wp14:anchorId="3D53C1BA" wp14:editId="0F4AA936">
            <wp:extent cx="6096000" cy="353790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8452"/>
                    <a:stretch/>
                  </pic:blipFill>
                  <pic:spPr bwMode="auto">
                    <a:xfrm>
                      <a:off x="0" y="0"/>
                      <a:ext cx="6105269" cy="3543283"/>
                    </a:xfrm>
                    <a:prstGeom prst="rect">
                      <a:avLst/>
                    </a:prstGeom>
                    <a:noFill/>
                    <a:ln>
                      <a:noFill/>
                    </a:ln>
                    <a:extLst>
                      <a:ext uri="{53640926-AAD7-44D8-BBD7-CCE9431645EC}">
                        <a14:shadowObscured xmlns:a14="http://schemas.microsoft.com/office/drawing/2010/main"/>
                      </a:ext>
                    </a:extLst>
                  </pic:spPr>
                </pic:pic>
              </a:graphicData>
            </a:graphic>
          </wp:inline>
        </w:drawing>
      </w:r>
    </w:p>
    <w:p w14:paraId="6FD3A6AA" w14:textId="205335E5" w:rsidR="001F0F76" w:rsidRDefault="001F0F76" w:rsidP="003A1D09">
      <w:pPr>
        <w:pStyle w:val="BGNormal125"/>
        <w:spacing w:after="240"/>
        <w:rPr>
          <w:rFonts w:ascii="Calibri" w:hAnsi="Calibri" w:cs="Calibri"/>
          <w:color w:val="auto"/>
        </w:rPr>
      </w:pPr>
      <w:r w:rsidRPr="001F0F76">
        <w:rPr>
          <w:rFonts w:ascii="Calibri" w:hAnsi="Calibri" w:cs="Calibri"/>
          <w:color w:val="auto"/>
        </w:rPr>
        <w:t>While the capital cost of batteries is higher than that of conventional combustion turbine</w:t>
      </w:r>
      <w:r w:rsidR="00940C5A">
        <w:rPr>
          <w:rFonts w:ascii="Calibri" w:hAnsi="Calibri" w:cs="Calibri"/>
          <w:color w:val="auto"/>
        </w:rPr>
        <w:t xml:space="preserve"> (CT)</w:t>
      </w:r>
      <w:r w:rsidRPr="001F0F76">
        <w:rPr>
          <w:rFonts w:ascii="Calibri" w:hAnsi="Calibri" w:cs="Calibri"/>
          <w:color w:val="auto"/>
        </w:rPr>
        <w:t xml:space="preserve"> capacity, the </w:t>
      </w:r>
      <w:r w:rsidR="00B92913">
        <w:rPr>
          <w:rFonts w:ascii="Calibri" w:hAnsi="Calibri" w:cs="Calibri"/>
          <w:color w:val="auto"/>
        </w:rPr>
        <w:t xml:space="preserve">economic </w:t>
      </w:r>
      <w:r w:rsidRPr="001F0F76">
        <w:rPr>
          <w:rFonts w:ascii="Calibri" w:hAnsi="Calibri" w:cs="Calibri"/>
          <w:color w:val="auto"/>
        </w:rPr>
        <w:t xml:space="preserve">benefits of batteries are substantial in </w:t>
      </w:r>
      <w:r w:rsidR="00C03F67">
        <w:rPr>
          <w:rFonts w:ascii="Calibri" w:hAnsi="Calibri" w:cs="Calibri"/>
          <w:color w:val="auto"/>
        </w:rPr>
        <w:t>the</w:t>
      </w:r>
      <w:r w:rsidRPr="001F0F76">
        <w:rPr>
          <w:rFonts w:ascii="Calibri" w:hAnsi="Calibri" w:cs="Calibri"/>
          <w:color w:val="auto"/>
        </w:rPr>
        <w:t xml:space="preserve"> high renewable scenario. </w:t>
      </w:r>
      <w:r w:rsidR="00B92913">
        <w:rPr>
          <w:rFonts w:ascii="Calibri" w:hAnsi="Calibri" w:cs="Calibri"/>
          <w:color w:val="auto"/>
        </w:rPr>
        <w:t xml:space="preserve">At the high renewable MERM of </w:t>
      </w:r>
      <w:r w:rsidR="00FC5A17">
        <w:rPr>
          <w:rFonts w:ascii="Calibri" w:hAnsi="Calibri" w:cs="Calibri"/>
          <w:color w:val="auto"/>
        </w:rPr>
        <w:t>10.25</w:t>
      </w:r>
      <w:r w:rsidR="00B92913">
        <w:rPr>
          <w:rFonts w:ascii="Calibri" w:hAnsi="Calibri" w:cs="Calibri"/>
          <w:color w:val="auto"/>
        </w:rPr>
        <w:t>%, incremental batteries can expect to earn a return in excess of their fixed and variable costs</w:t>
      </w:r>
      <w:r w:rsidR="00450EA2">
        <w:rPr>
          <w:rFonts w:ascii="Calibri" w:hAnsi="Calibri" w:cs="Calibri"/>
          <w:color w:val="auto"/>
        </w:rPr>
        <w:t xml:space="preserve"> from the energy and ancillary service market</w:t>
      </w:r>
      <w:r w:rsidR="00B92913">
        <w:rPr>
          <w:rFonts w:ascii="Calibri" w:hAnsi="Calibri" w:cs="Calibri"/>
          <w:color w:val="auto"/>
        </w:rPr>
        <w:t xml:space="preserve">. Swapping out new CTs for new </w:t>
      </w:r>
      <w:r w:rsidR="00756F94">
        <w:rPr>
          <w:rFonts w:ascii="Calibri" w:hAnsi="Calibri" w:cs="Calibri"/>
          <w:color w:val="auto"/>
        </w:rPr>
        <w:t>four</w:t>
      </w:r>
      <w:r w:rsidR="00C03F67">
        <w:rPr>
          <w:rFonts w:ascii="Calibri" w:hAnsi="Calibri" w:cs="Calibri"/>
          <w:color w:val="auto"/>
        </w:rPr>
        <w:t xml:space="preserve">-hour </w:t>
      </w:r>
      <w:r w:rsidR="00B92913">
        <w:rPr>
          <w:rFonts w:ascii="Calibri" w:hAnsi="Calibri" w:cs="Calibri"/>
          <w:color w:val="auto"/>
        </w:rPr>
        <w:t>batteries yields the energy margins</w:t>
      </w:r>
      <w:r w:rsidR="00450EA2">
        <w:rPr>
          <w:rStyle w:val="FootnoteReference"/>
          <w:rFonts w:ascii="Calibri" w:hAnsi="Calibri" w:cs="Calibri"/>
          <w:color w:val="auto"/>
        </w:rPr>
        <w:footnoteReference w:id="5"/>
      </w:r>
      <w:r w:rsidR="00012657">
        <w:rPr>
          <w:rFonts w:ascii="Calibri" w:hAnsi="Calibri" w:cs="Calibri"/>
          <w:color w:val="auto"/>
        </w:rPr>
        <w:t xml:space="preserve"> </w:t>
      </w:r>
      <w:r w:rsidR="00616612">
        <w:rPr>
          <w:rFonts w:ascii="Calibri" w:hAnsi="Calibri" w:cs="Calibri"/>
          <w:color w:val="auto"/>
        </w:rPr>
        <w:t>shown in Figure ES-</w:t>
      </w:r>
      <w:r w:rsidR="0020093E">
        <w:rPr>
          <w:rFonts w:ascii="Calibri" w:hAnsi="Calibri" w:cs="Calibri"/>
          <w:color w:val="auto"/>
        </w:rPr>
        <w:t>8</w:t>
      </w:r>
      <w:r w:rsidR="00B92913">
        <w:rPr>
          <w:rFonts w:ascii="Calibri" w:hAnsi="Calibri" w:cs="Calibri"/>
          <w:color w:val="auto"/>
        </w:rPr>
        <w:t xml:space="preserve"> for incremental battery capacity</w:t>
      </w:r>
      <w:r w:rsidR="00012657">
        <w:rPr>
          <w:rFonts w:ascii="Calibri" w:hAnsi="Calibri" w:cs="Calibri"/>
          <w:color w:val="auto"/>
        </w:rPr>
        <w:t>,</w:t>
      </w:r>
      <w:r w:rsidR="00B92913">
        <w:rPr>
          <w:rFonts w:ascii="Calibri" w:hAnsi="Calibri" w:cs="Calibri"/>
          <w:color w:val="auto"/>
        </w:rPr>
        <w:t xml:space="preserve"> and demonstrates a breakeven </w:t>
      </w:r>
      <w:r w:rsidR="005E7DDD">
        <w:rPr>
          <w:rFonts w:ascii="Calibri" w:hAnsi="Calibri" w:cs="Calibri"/>
          <w:color w:val="auto"/>
        </w:rPr>
        <w:t xml:space="preserve">incremental </w:t>
      </w:r>
      <w:r w:rsidR="00B92913">
        <w:rPr>
          <w:rFonts w:ascii="Calibri" w:hAnsi="Calibri" w:cs="Calibri"/>
          <w:color w:val="auto"/>
        </w:rPr>
        <w:t xml:space="preserve">penetration of </w:t>
      </w:r>
      <w:r w:rsidR="00F06A72">
        <w:rPr>
          <w:rFonts w:ascii="Calibri" w:hAnsi="Calibri" w:cs="Calibri"/>
          <w:color w:val="auto"/>
        </w:rPr>
        <w:t>1,1</w:t>
      </w:r>
      <w:r w:rsidR="00B92913">
        <w:rPr>
          <w:rFonts w:ascii="Calibri" w:hAnsi="Calibri" w:cs="Calibri"/>
          <w:color w:val="auto"/>
        </w:rPr>
        <w:t>00 MW</w:t>
      </w:r>
      <w:r w:rsidR="00F26E33">
        <w:rPr>
          <w:rFonts w:ascii="Calibri" w:hAnsi="Calibri" w:cs="Calibri"/>
          <w:color w:val="auto"/>
        </w:rPr>
        <w:t>.</w:t>
      </w:r>
      <w:r w:rsidR="00F06A72">
        <w:rPr>
          <w:rStyle w:val="FootnoteReference"/>
          <w:rFonts w:ascii="Calibri" w:hAnsi="Calibri" w:cs="Calibri"/>
          <w:color w:val="auto"/>
        </w:rPr>
        <w:footnoteReference w:id="6"/>
      </w:r>
      <w:r w:rsidR="00B92913">
        <w:rPr>
          <w:rFonts w:ascii="Calibri" w:hAnsi="Calibri" w:cs="Calibri"/>
          <w:color w:val="auto"/>
        </w:rPr>
        <w:t xml:space="preserve"> The energy margin decline is modest and if </w:t>
      </w:r>
      <w:r w:rsidR="005C6AFB">
        <w:rPr>
          <w:rFonts w:ascii="Calibri" w:hAnsi="Calibri" w:cs="Calibri"/>
          <w:color w:val="auto"/>
        </w:rPr>
        <w:t xml:space="preserve">technology improvements lead to a </w:t>
      </w:r>
      <w:r w:rsidR="00B92913">
        <w:rPr>
          <w:rFonts w:ascii="Calibri" w:hAnsi="Calibri" w:cs="Calibri"/>
          <w:color w:val="auto"/>
        </w:rPr>
        <w:t>battery capital cost decline to $115/kw-</w:t>
      </w:r>
      <w:proofErr w:type="spellStart"/>
      <w:r w:rsidR="00B92913">
        <w:rPr>
          <w:rFonts w:ascii="Calibri" w:hAnsi="Calibri" w:cs="Calibri"/>
          <w:color w:val="auto"/>
        </w:rPr>
        <w:t>yr</w:t>
      </w:r>
      <w:proofErr w:type="spellEnd"/>
      <w:r w:rsidR="00B92913">
        <w:rPr>
          <w:rFonts w:ascii="Calibri" w:hAnsi="Calibri" w:cs="Calibri"/>
          <w:color w:val="auto"/>
        </w:rPr>
        <w:t xml:space="preserve">, up to </w:t>
      </w:r>
      <w:r w:rsidR="00F06A72">
        <w:rPr>
          <w:rFonts w:ascii="Calibri" w:hAnsi="Calibri" w:cs="Calibri"/>
          <w:color w:val="auto"/>
        </w:rPr>
        <w:t>6</w:t>
      </w:r>
      <w:r w:rsidR="00B92913">
        <w:rPr>
          <w:rFonts w:ascii="Calibri" w:hAnsi="Calibri" w:cs="Calibri"/>
          <w:color w:val="auto"/>
        </w:rPr>
        <w:t>.5 GW of</w:t>
      </w:r>
      <w:r w:rsidR="005E7DDD">
        <w:rPr>
          <w:rFonts w:ascii="Calibri" w:hAnsi="Calibri" w:cs="Calibri"/>
          <w:color w:val="auto"/>
        </w:rPr>
        <w:t xml:space="preserve"> incremental</w:t>
      </w:r>
      <w:r w:rsidR="00B92913">
        <w:rPr>
          <w:rFonts w:ascii="Calibri" w:hAnsi="Calibri" w:cs="Calibri"/>
          <w:color w:val="auto"/>
        </w:rPr>
        <w:t xml:space="preserve"> </w:t>
      </w:r>
      <w:r w:rsidR="00756F94">
        <w:rPr>
          <w:rFonts w:ascii="Calibri" w:hAnsi="Calibri" w:cs="Calibri"/>
          <w:color w:val="auto"/>
        </w:rPr>
        <w:t>four</w:t>
      </w:r>
      <w:r w:rsidR="00B60282">
        <w:rPr>
          <w:rFonts w:ascii="Calibri" w:hAnsi="Calibri" w:cs="Calibri"/>
          <w:color w:val="auto"/>
        </w:rPr>
        <w:t>-</w:t>
      </w:r>
      <w:r w:rsidR="00B92913">
        <w:rPr>
          <w:rFonts w:ascii="Calibri" w:hAnsi="Calibri" w:cs="Calibri"/>
          <w:color w:val="auto"/>
        </w:rPr>
        <w:t>hour batter</w:t>
      </w:r>
      <w:r w:rsidR="00F06A72">
        <w:rPr>
          <w:rFonts w:ascii="Calibri" w:hAnsi="Calibri" w:cs="Calibri"/>
          <w:color w:val="auto"/>
        </w:rPr>
        <w:t>y capacity</w:t>
      </w:r>
      <w:r w:rsidR="00B92913">
        <w:rPr>
          <w:rFonts w:ascii="Calibri" w:hAnsi="Calibri" w:cs="Calibri"/>
          <w:color w:val="auto"/>
        </w:rPr>
        <w:t xml:space="preserve"> could be economic in ERCOT in a high renewable scenario with the reserve margin at </w:t>
      </w:r>
      <w:r w:rsidR="00FC5A17">
        <w:rPr>
          <w:rFonts w:ascii="Calibri" w:hAnsi="Calibri" w:cs="Calibri"/>
          <w:color w:val="auto"/>
        </w:rPr>
        <w:t>10.25</w:t>
      </w:r>
      <w:r w:rsidR="00B92913">
        <w:rPr>
          <w:rFonts w:ascii="Calibri" w:hAnsi="Calibri" w:cs="Calibri"/>
          <w:color w:val="auto"/>
        </w:rPr>
        <w:t xml:space="preserve">%. </w:t>
      </w:r>
      <w:r w:rsidR="00E906D1">
        <w:rPr>
          <w:rFonts w:ascii="Calibri" w:hAnsi="Calibri" w:cs="Calibri"/>
          <w:color w:val="auto"/>
        </w:rPr>
        <w:t xml:space="preserve">These results are contingent on a number of assumptions including the bidding behavior of renewable resources and the qualification for providing ancillary services, </w:t>
      </w:r>
      <w:r w:rsidR="005E7DDD">
        <w:rPr>
          <w:rFonts w:ascii="Calibri" w:hAnsi="Calibri" w:cs="Calibri"/>
          <w:color w:val="auto"/>
        </w:rPr>
        <w:t xml:space="preserve">and they do not include other potential value streams for storage including locational benefits, </w:t>
      </w:r>
      <w:r w:rsidR="00E906D1">
        <w:rPr>
          <w:rFonts w:ascii="Calibri" w:hAnsi="Calibri" w:cs="Calibri"/>
          <w:color w:val="auto"/>
        </w:rPr>
        <w:t xml:space="preserve">but they provide indications of the economic potential for storage </w:t>
      </w:r>
      <w:r w:rsidR="005C6AFB">
        <w:rPr>
          <w:rFonts w:ascii="Calibri" w:hAnsi="Calibri" w:cs="Calibri"/>
          <w:color w:val="auto"/>
        </w:rPr>
        <w:t xml:space="preserve">in </w:t>
      </w:r>
      <w:r w:rsidR="00E906D1">
        <w:rPr>
          <w:rFonts w:ascii="Calibri" w:hAnsi="Calibri" w:cs="Calibri"/>
          <w:color w:val="auto"/>
        </w:rPr>
        <w:t>ERCOT in the future.</w:t>
      </w:r>
    </w:p>
    <w:p w14:paraId="178F1289" w14:textId="433D980F" w:rsidR="00344A6B" w:rsidRPr="00344A6B" w:rsidRDefault="00344A6B" w:rsidP="00344A6B">
      <w:pPr>
        <w:pStyle w:val="Caption"/>
        <w:spacing w:after="0"/>
        <w:jc w:val="center"/>
        <w:rPr>
          <w:rFonts w:cs="Calibri"/>
          <w:b/>
          <w:bCs/>
          <w:i w:val="0"/>
          <w:iCs w:val="0"/>
          <w:noProof/>
          <w:color w:val="auto"/>
          <w:sz w:val="22"/>
          <w:szCs w:val="22"/>
        </w:rPr>
      </w:pPr>
      <w:r w:rsidRPr="00204DA2">
        <w:rPr>
          <w:rFonts w:cs="Calibri"/>
          <w:b/>
          <w:bCs/>
          <w:i w:val="0"/>
          <w:iCs w:val="0"/>
          <w:color w:val="auto"/>
          <w:sz w:val="22"/>
          <w:szCs w:val="22"/>
        </w:rPr>
        <w:t>Figure ES-</w:t>
      </w:r>
      <w:r w:rsidR="0098195C">
        <w:rPr>
          <w:rFonts w:cs="Calibri"/>
          <w:b/>
          <w:bCs/>
          <w:i w:val="0"/>
          <w:iCs w:val="0"/>
          <w:noProof/>
          <w:color w:val="auto"/>
          <w:sz w:val="22"/>
          <w:szCs w:val="22"/>
        </w:rPr>
        <w:t>8</w:t>
      </w:r>
      <w:r w:rsidRPr="00204DA2">
        <w:rPr>
          <w:rFonts w:cs="Calibri"/>
          <w:b/>
          <w:bCs/>
          <w:i w:val="0"/>
          <w:iCs w:val="0"/>
          <w:noProof/>
          <w:color w:val="auto"/>
          <w:sz w:val="22"/>
          <w:szCs w:val="22"/>
        </w:rPr>
        <w:t xml:space="preserve">. </w:t>
      </w:r>
      <w:r>
        <w:rPr>
          <w:rFonts w:cs="Calibri"/>
          <w:b/>
          <w:bCs/>
          <w:i w:val="0"/>
          <w:iCs w:val="0"/>
          <w:noProof/>
          <w:color w:val="auto"/>
          <w:sz w:val="22"/>
          <w:szCs w:val="22"/>
        </w:rPr>
        <w:t>Storage Energy Margins</w:t>
      </w:r>
    </w:p>
    <w:p w14:paraId="185EB462" w14:textId="7156AD2E" w:rsidR="00B92913" w:rsidRDefault="00065401" w:rsidP="00344A6B">
      <w:pPr>
        <w:pStyle w:val="BGNormal125"/>
        <w:spacing w:before="0"/>
        <w:jc w:val="center"/>
        <w:rPr>
          <w:rFonts w:ascii="Calibri" w:hAnsi="Calibri" w:cs="Calibri"/>
          <w:color w:val="auto"/>
        </w:rPr>
      </w:pPr>
      <w:r>
        <w:rPr>
          <w:rFonts w:ascii="Calibri" w:hAnsi="Calibri" w:cs="Calibri"/>
          <w:noProof/>
          <w:color w:val="auto"/>
        </w:rPr>
        <w:drawing>
          <wp:inline distT="0" distB="0" distL="0" distR="0" wp14:anchorId="59F65438" wp14:editId="6A41974F">
            <wp:extent cx="4993005" cy="335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3005" cy="3359150"/>
                    </a:xfrm>
                    <a:prstGeom prst="rect">
                      <a:avLst/>
                    </a:prstGeom>
                    <a:noFill/>
                  </pic:spPr>
                </pic:pic>
              </a:graphicData>
            </a:graphic>
          </wp:inline>
        </w:drawing>
      </w:r>
    </w:p>
    <w:p w14:paraId="25ADAA24" w14:textId="22E4D6EF" w:rsidR="001F0F76" w:rsidRDefault="00A106B3" w:rsidP="001F0F76">
      <w:pPr>
        <w:pStyle w:val="BGNormal125"/>
        <w:rPr>
          <w:rFonts w:ascii="Calibri" w:hAnsi="Calibri" w:cs="Calibri"/>
          <w:color w:val="auto"/>
        </w:rPr>
      </w:pPr>
      <w:r>
        <w:rPr>
          <w:rFonts w:ascii="Calibri" w:hAnsi="Calibri" w:cs="Calibri"/>
          <w:color w:val="auto"/>
        </w:rPr>
        <w:t>Another key difference from the 2018 study is an increase to ORDC pricing</w:t>
      </w:r>
      <w:r w:rsidR="001F0F76" w:rsidRPr="001F0F76">
        <w:rPr>
          <w:rFonts w:ascii="Calibri" w:hAnsi="Calibri" w:cs="Calibri"/>
          <w:color w:val="auto"/>
        </w:rPr>
        <w:t>.</w:t>
      </w:r>
      <w:r w:rsidR="0064070A">
        <w:rPr>
          <w:rStyle w:val="FootnoteReference"/>
          <w:rFonts w:ascii="Calibri" w:hAnsi="Calibri" w:cs="Calibri"/>
          <w:color w:val="auto"/>
        </w:rPr>
        <w:footnoteReference w:id="7"/>
      </w:r>
      <w:r w:rsidR="0088354F">
        <w:rPr>
          <w:rFonts w:ascii="Calibri" w:hAnsi="Calibri" w:cs="Calibri"/>
          <w:color w:val="auto"/>
        </w:rPr>
        <w:t xml:space="preserve"> A comparison of the 2018 and 2020 </w:t>
      </w:r>
      <w:r w:rsidR="00C668B0">
        <w:rPr>
          <w:rFonts w:ascii="Calibri" w:hAnsi="Calibri" w:cs="Calibri"/>
          <w:color w:val="auto"/>
        </w:rPr>
        <w:t>ORDC adders</w:t>
      </w:r>
      <w:r w:rsidR="0088354F">
        <w:rPr>
          <w:rFonts w:ascii="Calibri" w:hAnsi="Calibri" w:cs="Calibri"/>
          <w:color w:val="auto"/>
        </w:rPr>
        <w:t xml:space="preserve"> is illustrated in Figure ES-</w:t>
      </w:r>
      <w:r w:rsidR="0020093E">
        <w:rPr>
          <w:rFonts w:ascii="Calibri" w:hAnsi="Calibri" w:cs="Calibri"/>
          <w:color w:val="auto"/>
        </w:rPr>
        <w:t>9</w:t>
      </w:r>
      <w:r w:rsidR="0088354F">
        <w:rPr>
          <w:rFonts w:ascii="Calibri" w:hAnsi="Calibri" w:cs="Calibri"/>
          <w:color w:val="auto"/>
        </w:rPr>
        <w:t>.</w:t>
      </w:r>
      <w:r w:rsidR="001F0F76" w:rsidRPr="001F0F76">
        <w:rPr>
          <w:rFonts w:ascii="Calibri" w:hAnsi="Calibri" w:cs="Calibri"/>
          <w:color w:val="auto"/>
        </w:rPr>
        <w:t xml:space="preserve"> At the same level of reserves, market participants will realize higher energy and ancillary service prices which will increase MERM. </w:t>
      </w:r>
    </w:p>
    <w:p w14:paraId="40165854" w14:textId="34476FA0" w:rsidR="003A1D09" w:rsidRDefault="003A1D09" w:rsidP="001F0F76">
      <w:pPr>
        <w:pStyle w:val="BGNormal125"/>
        <w:rPr>
          <w:rFonts w:ascii="Calibri" w:hAnsi="Calibri" w:cs="Calibri"/>
          <w:color w:val="auto"/>
        </w:rPr>
      </w:pPr>
    </w:p>
    <w:p w14:paraId="33921030" w14:textId="0583CAB9" w:rsidR="003A1D09" w:rsidRDefault="003A1D09" w:rsidP="001F0F76">
      <w:pPr>
        <w:pStyle w:val="BGNormal125"/>
        <w:rPr>
          <w:rFonts w:ascii="Calibri" w:hAnsi="Calibri" w:cs="Calibri"/>
          <w:color w:val="auto"/>
        </w:rPr>
      </w:pPr>
    </w:p>
    <w:p w14:paraId="2C04C10C" w14:textId="4D6EB8C8" w:rsidR="003A1D09" w:rsidRDefault="003A1D09" w:rsidP="001F0F76">
      <w:pPr>
        <w:pStyle w:val="BGNormal125"/>
        <w:rPr>
          <w:rFonts w:ascii="Calibri" w:hAnsi="Calibri" w:cs="Calibri"/>
          <w:color w:val="auto"/>
        </w:rPr>
      </w:pPr>
    </w:p>
    <w:p w14:paraId="2BB3BF2D" w14:textId="29B9F81E" w:rsidR="003A1D09" w:rsidRDefault="003A1D09" w:rsidP="001F0F76">
      <w:pPr>
        <w:pStyle w:val="BGNormal125"/>
        <w:rPr>
          <w:rFonts w:ascii="Calibri" w:hAnsi="Calibri" w:cs="Calibri"/>
          <w:color w:val="auto"/>
        </w:rPr>
      </w:pPr>
    </w:p>
    <w:p w14:paraId="5E705769" w14:textId="16D6400C" w:rsidR="003A1D09" w:rsidRDefault="003A1D09" w:rsidP="001F0F76">
      <w:pPr>
        <w:pStyle w:val="BGNormal125"/>
        <w:rPr>
          <w:rFonts w:ascii="Calibri" w:hAnsi="Calibri" w:cs="Calibri"/>
          <w:color w:val="auto"/>
        </w:rPr>
      </w:pPr>
    </w:p>
    <w:p w14:paraId="3463CB3A" w14:textId="77777777" w:rsidR="003A1D09" w:rsidRPr="001F0F76" w:rsidRDefault="003A1D09" w:rsidP="001F0F76">
      <w:pPr>
        <w:pStyle w:val="BGNormal125"/>
        <w:rPr>
          <w:rFonts w:ascii="Calibri" w:hAnsi="Calibri" w:cs="Calibri"/>
          <w:color w:val="auto"/>
        </w:rPr>
      </w:pPr>
    </w:p>
    <w:p w14:paraId="0E708835" w14:textId="45240098" w:rsidR="007B1218" w:rsidRPr="00204DA2" w:rsidRDefault="007B1218" w:rsidP="008047D4">
      <w:pPr>
        <w:pStyle w:val="Caption"/>
        <w:spacing w:after="0"/>
        <w:jc w:val="center"/>
        <w:rPr>
          <w:rFonts w:cs="Calibri"/>
          <w:b/>
          <w:bCs/>
          <w:i w:val="0"/>
          <w:iCs w:val="0"/>
          <w:noProof/>
          <w:color w:val="auto"/>
          <w:sz w:val="22"/>
          <w:szCs w:val="22"/>
        </w:rPr>
      </w:pPr>
      <w:r w:rsidRPr="00204DA2">
        <w:rPr>
          <w:rFonts w:cs="Calibri"/>
          <w:b/>
          <w:bCs/>
          <w:i w:val="0"/>
          <w:iCs w:val="0"/>
          <w:color w:val="auto"/>
          <w:sz w:val="22"/>
          <w:szCs w:val="22"/>
        </w:rPr>
        <w:t>Figure ES-</w:t>
      </w:r>
      <w:r w:rsidR="0020093E">
        <w:rPr>
          <w:rFonts w:cs="Calibri"/>
          <w:b/>
          <w:bCs/>
          <w:i w:val="0"/>
          <w:iCs w:val="0"/>
          <w:noProof/>
          <w:color w:val="auto"/>
          <w:sz w:val="22"/>
          <w:szCs w:val="22"/>
        </w:rPr>
        <w:t>9</w:t>
      </w:r>
      <w:r w:rsidRPr="00204DA2">
        <w:rPr>
          <w:rFonts w:cs="Calibri"/>
          <w:b/>
          <w:bCs/>
          <w:i w:val="0"/>
          <w:iCs w:val="0"/>
          <w:noProof/>
          <w:color w:val="auto"/>
          <w:sz w:val="22"/>
          <w:szCs w:val="22"/>
        </w:rPr>
        <w:t>. ORDC Curve Comparison</w:t>
      </w:r>
    </w:p>
    <w:p w14:paraId="2E306652" w14:textId="21647C86" w:rsidR="00B32352" w:rsidRPr="008047D4" w:rsidRDefault="00B32352" w:rsidP="008047D4">
      <w:pPr>
        <w:spacing w:after="0"/>
        <w:jc w:val="center"/>
        <w:rPr>
          <w:i/>
          <w:iCs/>
        </w:rPr>
      </w:pPr>
      <w:r>
        <w:rPr>
          <w:noProof/>
        </w:rPr>
        <w:drawing>
          <wp:inline distT="0" distB="0" distL="0" distR="0" wp14:anchorId="2EFF2B30" wp14:editId="24AFFD81">
            <wp:extent cx="5010150" cy="32640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542" cy="3268242"/>
                    </a:xfrm>
                    <a:prstGeom prst="rect">
                      <a:avLst/>
                    </a:prstGeom>
                    <a:noFill/>
                  </pic:spPr>
                </pic:pic>
              </a:graphicData>
            </a:graphic>
          </wp:inline>
        </w:drawing>
      </w:r>
    </w:p>
    <w:p w14:paraId="4B5B1909" w14:textId="564AB4E1" w:rsidR="001F0F76" w:rsidRDefault="001F0F76" w:rsidP="003A1D09">
      <w:pPr>
        <w:pStyle w:val="BGNormal125"/>
        <w:spacing w:before="0"/>
        <w:rPr>
          <w:rFonts w:ascii="Calibri" w:hAnsi="Calibri" w:cs="Calibri"/>
          <w:color w:val="auto"/>
        </w:rPr>
      </w:pPr>
      <w:r w:rsidRPr="001F0F76">
        <w:rPr>
          <w:rFonts w:ascii="Calibri" w:hAnsi="Calibri" w:cs="Calibri"/>
          <w:color w:val="auto"/>
        </w:rPr>
        <w:t xml:space="preserve">As shown in the waterfall </w:t>
      </w:r>
      <w:r w:rsidR="00F26843">
        <w:rPr>
          <w:rFonts w:ascii="Calibri" w:hAnsi="Calibri" w:cs="Calibri"/>
          <w:color w:val="auto"/>
        </w:rPr>
        <w:t>chart (F</w:t>
      </w:r>
      <w:r w:rsidRPr="001F0F76">
        <w:rPr>
          <w:rFonts w:ascii="Calibri" w:hAnsi="Calibri" w:cs="Calibri"/>
          <w:color w:val="auto"/>
        </w:rPr>
        <w:t>igure</w:t>
      </w:r>
      <w:r w:rsidR="00F26843">
        <w:rPr>
          <w:rFonts w:ascii="Calibri" w:hAnsi="Calibri" w:cs="Calibri"/>
          <w:color w:val="auto"/>
        </w:rPr>
        <w:t xml:space="preserve"> ES-</w:t>
      </w:r>
      <w:r w:rsidR="0020093E">
        <w:rPr>
          <w:rFonts w:ascii="Calibri" w:hAnsi="Calibri" w:cs="Calibri"/>
          <w:color w:val="auto"/>
        </w:rPr>
        <w:t>2</w:t>
      </w:r>
      <w:r w:rsidR="00F26843">
        <w:rPr>
          <w:rFonts w:ascii="Calibri" w:hAnsi="Calibri" w:cs="Calibri"/>
          <w:color w:val="auto"/>
        </w:rPr>
        <w:t>)</w:t>
      </w:r>
      <w:r w:rsidRPr="001F0F76">
        <w:rPr>
          <w:rFonts w:ascii="Calibri" w:hAnsi="Calibri" w:cs="Calibri"/>
          <w:color w:val="auto"/>
        </w:rPr>
        <w:t>, th</w:t>
      </w:r>
      <w:r w:rsidR="0088354F">
        <w:rPr>
          <w:rFonts w:ascii="Calibri" w:hAnsi="Calibri" w:cs="Calibri"/>
          <w:color w:val="auto"/>
        </w:rPr>
        <w:t>e ORDC curve change</w:t>
      </w:r>
      <w:r w:rsidRPr="001F0F76">
        <w:rPr>
          <w:rFonts w:ascii="Calibri" w:hAnsi="Calibri" w:cs="Calibri"/>
          <w:color w:val="auto"/>
        </w:rPr>
        <w:t xml:space="preserve"> increased </w:t>
      </w:r>
      <w:r w:rsidR="00F26843">
        <w:rPr>
          <w:rFonts w:ascii="Calibri" w:hAnsi="Calibri" w:cs="Calibri"/>
          <w:color w:val="auto"/>
        </w:rPr>
        <w:t xml:space="preserve">the </w:t>
      </w:r>
      <w:r w:rsidRPr="001F0F76">
        <w:rPr>
          <w:rFonts w:ascii="Calibri" w:hAnsi="Calibri" w:cs="Calibri"/>
          <w:color w:val="auto"/>
        </w:rPr>
        <w:t>MERM by 1.5</w:t>
      </w:r>
      <w:r w:rsidR="0020093E">
        <w:rPr>
          <w:rFonts w:ascii="Calibri" w:hAnsi="Calibri" w:cs="Calibri"/>
          <w:color w:val="auto"/>
        </w:rPr>
        <w:t xml:space="preserve"> percentage points</w:t>
      </w:r>
      <w:r w:rsidRPr="001F0F76">
        <w:rPr>
          <w:rFonts w:ascii="Calibri" w:hAnsi="Calibri" w:cs="Calibri"/>
          <w:color w:val="auto"/>
        </w:rPr>
        <w:t xml:space="preserve">. </w:t>
      </w:r>
      <w:r w:rsidR="005C6AFB">
        <w:rPr>
          <w:rFonts w:ascii="Calibri" w:hAnsi="Calibri" w:cs="Calibri"/>
          <w:color w:val="auto"/>
        </w:rPr>
        <w:t xml:space="preserve">In isolation this administrative change would improve reliability. </w:t>
      </w:r>
      <w:r w:rsidR="00F26843">
        <w:rPr>
          <w:rFonts w:ascii="Calibri" w:hAnsi="Calibri" w:cs="Calibri"/>
          <w:color w:val="auto"/>
        </w:rPr>
        <w:t xml:space="preserve">However, </w:t>
      </w:r>
      <w:r w:rsidR="005C6AFB">
        <w:rPr>
          <w:rFonts w:ascii="Calibri" w:hAnsi="Calibri" w:cs="Calibri"/>
          <w:color w:val="auto"/>
        </w:rPr>
        <w:t>the increase of renewable penetration in the base case almost completely offsets this effect</w:t>
      </w:r>
      <w:r w:rsidRPr="001F0F76">
        <w:rPr>
          <w:rFonts w:ascii="Calibri" w:hAnsi="Calibri" w:cs="Calibri"/>
          <w:color w:val="auto"/>
        </w:rPr>
        <w:t>.</w:t>
      </w:r>
      <w:r w:rsidR="00581212">
        <w:rPr>
          <w:rFonts w:ascii="Calibri" w:hAnsi="Calibri" w:cs="Calibri"/>
          <w:color w:val="auto"/>
        </w:rPr>
        <w:t xml:space="preserve"> </w:t>
      </w:r>
    </w:p>
    <w:p w14:paraId="76C1CBE1" w14:textId="4164DF61" w:rsidR="00F4245D" w:rsidRDefault="00F4245D" w:rsidP="001F0F76">
      <w:pPr>
        <w:pStyle w:val="BGNormal125"/>
        <w:rPr>
          <w:rFonts w:ascii="Calibri" w:hAnsi="Calibri" w:cs="Calibri"/>
          <w:color w:val="auto"/>
        </w:rPr>
      </w:pPr>
      <w:r>
        <w:rPr>
          <w:rFonts w:ascii="Calibri" w:hAnsi="Calibri" w:cs="Calibri"/>
          <w:color w:val="auto"/>
        </w:rPr>
        <w:t xml:space="preserve">Other key differences from the 2018 study include higher forced outages rates in the more recent outage data used for this study and the effect of the change in the reference technology. </w:t>
      </w:r>
    </w:p>
    <w:p w14:paraId="094212E1" w14:textId="5A45A988" w:rsidR="00AE576C" w:rsidRPr="00321C0A" w:rsidRDefault="00F4245D" w:rsidP="00AE576C">
      <w:pPr>
        <w:pStyle w:val="BGNormal125"/>
        <w:rPr>
          <w:rFonts w:ascii="Calibri" w:hAnsi="Calibri" w:cs="Calibri"/>
          <w:color w:val="C00000"/>
        </w:rPr>
      </w:pPr>
      <w:r w:rsidRPr="00A96C99">
        <w:rPr>
          <w:rFonts w:ascii="Calibri" w:hAnsi="Calibri" w:cs="Calibri"/>
          <w:color w:val="auto"/>
        </w:rPr>
        <w:t xml:space="preserve">While the MERM tests market outcomes, </w:t>
      </w:r>
      <w:r w:rsidR="00B3693B">
        <w:rPr>
          <w:rFonts w:ascii="Calibri" w:hAnsi="Calibri" w:cs="Calibri"/>
          <w:color w:val="auto"/>
        </w:rPr>
        <w:t>ERCOT stakeholders</w:t>
      </w:r>
      <w:r w:rsidR="00AE576C" w:rsidRPr="00A96C99">
        <w:rPr>
          <w:rFonts w:ascii="Calibri" w:hAnsi="Calibri" w:cs="Calibri"/>
          <w:color w:val="auto"/>
        </w:rPr>
        <w:t xml:space="preserve"> may be interested in </w:t>
      </w:r>
      <w:r w:rsidRPr="00A96C99">
        <w:rPr>
          <w:rFonts w:ascii="Calibri" w:hAnsi="Calibri" w:cs="Calibri"/>
          <w:color w:val="auto"/>
        </w:rPr>
        <w:t xml:space="preserve">the associated </w:t>
      </w:r>
      <w:r w:rsidR="00AE576C" w:rsidRPr="00A96C99">
        <w:rPr>
          <w:rFonts w:ascii="Calibri" w:hAnsi="Calibri" w:cs="Calibri"/>
          <w:color w:val="auto"/>
        </w:rPr>
        <w:t>economic optimality</w:t>
      </w:r>
      <w:r w:rsidR="00B3693B">
        <w:rPr>
          <w:rFonts w:ascii="Calibri" w:hAnsi="Calibri" w:cs="Calibri"/>
          <w:color w:val="auto"/>
        </w:rPr>
        <w:t xml:space="preserve"> outcomes</w:t>
      </w:r>
      <w:r w:rsidR="00AE576C" w:rsidRPr="00A96C99">
        <w:rPr>
          <w:rFonts w:ascii="Calibri" w:hAnsi="Calibri" w:cs="Calibri"/>
          <w:color w:val="auto"/>
        </w:rPr>
        <w:t>.  The economic optimum occurs at the reserve margin that minimizes societal costs net of all supply costs and the lost value from any disruptions in electric service.  We calculate the economically optimal reserve margin</w:t>
      </w:r>
      <w:r w:rsidR="00B3693B">
        <w:rPr>
          <w:rFonts w:ascii="Calibri" w:hAnsi="Calibri" w:cs="Calibri"/>
          <w:color w:val="auto"/>
        </w:rPr>
        <w:t xml:space="preserve"> (EORM)</w:t>
      </w:r>
      <w:r w:rsidR="00AE576C" w:rsidRPr="00A96C99">
        <w:rPr>
          <w:rFonts w:ascii="Calibri" w:hAnsi="Calibri" w:cs="Calibri"/>
          <w:color w:val="auto"/>
        </w:rPr>
        <w:t xml:space="preserve"> by finding the balance between the marginal costs and marginal benefits of adding capacity.  The marginal costs</w:t>
      </w:r>
      <w:r w:rsidR="00AE576C" w:rsidRPr="00A96C99" w:rsidDel="00085BFF">
        <w:rPr>
          <w:rFonts w:ascii="Calibri" w:hAnsi="Calibri" w:cs="Calibri"/>
          <w:color w:val="auto"/>
        </w:rPr>
        <w:t xml:space="preserve"> </w:t>
      </w:r>
      <w:r w:rsidR="00AE576C" w:rsidRPr="00A96C99">
        <w:rPr>
          <w:rFonts w:ascii="Calibri" w:hAnsi="Calibri" w:cs="Calibri"/>
          <w:color w:val="auto"/>
        </w:rPr>
        <w:t xml:space="preserve">are simply the levelized capital costs and fixed costs of a new generator.  Marginal benefits include lower production costs and reduced load shedding (at an assumed cost of $9,000/MWh), reserve shortages, demand-response calls, and other costly emergency events. Our simulations quantify how scarcity event frequencies decrease (at a diminishing rate) as reserve margins increase.  We estimate </w:t>
      </w:r>
      <w:r w:rsidRPr="00A96C99">
        <w:rPr>
          <w:rFonts w:ascii="Calibri" w:hAnsi="Calibri" w:cs="Calibri"/>
          <w:color w:val="auto"/>
        </w:rPr>
        <w:t>1</w:t>
      </w:r>
      <w:r w:rsidR="003C6800">
        <w:rPr>
          <w:rFonts w:ascii="Calibri" w:hAnsi="Calibri" w:cs="Calibri"/>
          <w:color w:val="auto"/>
        </w:rPr>
        <w:t>1</w:t>
      </w:r>
      <w:r w:rsidR="00AE576C" w:rsidRPr="00A96C99">
        <w:rPr>
          <w:rFonts w:ascii="Calibri" w:hAnsi="Calibri" w:cs="Calibri"/>
          <w:color w:val="auto"/>
        </w:rPr>
        <w:t>.0</w:t>
      </w:r>
      <w:r w:rsidR="00A96C99" w:rsidRPr="00A96C99">
        <w:rPr>
          <w:rFonts w:ascii="Calibri" w:hAnsi="Calibri" w:cs="Calibri"/>
          <w:color w:val="auto"/>
        </w:rPr>
        <w:t>0</w:t>
      </w:r>
      <w:r w:rsidR="00AE576C" w:rsidRPr="00A96C99">
        <w:rPr>
          <w:rFonts w:ascii="Calibri" w:hAnsi="Calibri" w:cs="Calibri"/>
          <w:color w:val="auto"/>
        </w:rPr>
        <w:t xml:space="preserve">% as the </w:t>
      </w:r>
      <w:r w:rsidR="00B3693B">
        <w:rPr>
          <w:rFonts w:ascii="Calibri" w:hAnsi="Calibri" w:cs="Calibri"/>
          <w:color w:val="auto"/>
        </w:rPr>
        <w:t>EORM</w:t>
      </w:r>
      <w:r w:rsidR="00AE576C" w:rsidRPr="00A96C99">
        <w:rPr>
          <w:rFonts w:ascii="Calibri" w:hAnsi="Calibri" w:cs="Calibri"/>
          <w:color w:val="auto"/>
        </w:rPr>
        <w:t xml:space="preserve">, based on the risk-neutral, probability-weighted-average cost of </w:t>
      </w:r>
      <w:r w:rsidR="00204DA2" w:rsidRPr="00A96C99">
        <w:rPr>
          <w:rFonts w:ascii="Calibri" w:hAnsi="Calibri" w:cs="Calibri"/>
          <w:color w:val="auto"/>
        </w:rPr>
        <w:t>80,000</w:t>
      </w:r>
      <w:r w:rsidR="00AE576C" w:rsidRPr="00A96C99">
        <w:rPr>
          <w:rFonts w:ascii="Calibri" w:hAnsi="Calibri" w:cs="Calibri"/>
          <w:color w:val="auto"/>
        </w:rPr>
        <w:t xml:space="preserve"> simulations.</w:t>
      </w:r>
      <w:r w:rsidR="00AE576C" w:rsidRPr="00A96C99">
        <w:rPr>
          <w:rStyle w:val="FootnoteReference"/>
          <w:rFonts w:ascii="Calibri" w:hAnsi="Calibri" w:cs="Calibri"/>
          <w:color w:val="auto"/>
        </w:rPr>
        <w:footnoteReference w:id="8"/>
      </w:r>
      <w:r w:rsidR="00AE576C" w:rsidRPr="00A96C99">
        <w:rPr>
          <w:rFonts w:ascii="Calibri" w:hAnsi="Calibri" w:cs="Calibri"/>
          <w:color w:val="auto"/>
        </w:rPr>
        <w:t xml:space="preserve">  However, the estimated societal costs are relatively flat with respect to reserve margin near the minimum, with </w:t>
      </w:r>
      <w:r w:rsidR="00AE576C" w:rsidRPr="00A96C99" w:rsidDel="0032791E">
        <w:rPr>
          <w:rFonts w:ascii="Calibri" w:hAnsi="Calibri" w:cs="Calibri"/>
          <w:color w:val="auto"/>
        </w:rPr>
        <w:t xml:space="preserve">only </w:t>
      </w:r>
      <w:r w:rsidR="00AE576C" w:rsidRPr="00A96C99">
        <w:rPr>
          <w:rFonts w:ascii="Calibri" w:hAnsi="Calibri" w:cs="Calibri"/>
          <w:color w:val="auto"/>
        </w:rPr>
        <w:t xml:space="preserve">modest variation between reserve margins of </w:t>
      </w:r>
      <w:r w:rsidR="00FC5A17">
        <w:rPr>
          <w:rFonts w:ascii="Calibri" w:hAnsi="Calibri" w:cs="Calibri"/>
          <w:color w:val="auto"/>
        </w:rPr>
        <w:t>10</w:t>
      </w:r>
      <w:r w:rsidR="008C189B">
        <w:rPr>
          <w:rFonts w:ascii="Calibri" w:hAnsi="Calibri" w:cs="Calibri"/>
          <w:color w:val="auto"/>
        </w:rPr>
        <w:t>.00</w:t>
      </w:r>
      <w:r w:rsidR="00AE576C" w:rsidRPr="00A96C99">
        <w:rPr>
          <w:rFonts w:ascii="Calibri" w:hAnsi="Calibri" w:cs="Calibri"/>
          <w:color w:val="auto"/>
        </w:rPr>
        <w:t>% and 1</w:t>
      </w:r>
      <w:r w:rsidR="00FC5A17">
        <w:rPr>
          <w:rFonts w:ascii="Calibri" w:hAnsi="Calibri" w:cs="Calibri"/>
          <w:color w:val="auto"/>
        </w:rPr>
        <w:t>2</w:t>
      </w:r>
      <w:r w:rsidR="008C189B">
        <w:rPr>
          <w:rFonts w:ascii="Calibri" w:hAnsi="Calibri" w:cs="Calibri"/>
          <w:color w:val="auto"/>
        </w:rPr>
        <w:t>.00</w:t>
      </w:r>
      <w:r w:rsidR="00AE576C" w:rsidRPr="00A96C99">
        <w:rPr>
          <w:rFonts w:ascii="Calibri" w:hAnsi="Calibri" w:cs="Calibri"/>
          <w:color w:val="auto"/>
        </w:rPr>
        <w:t>%.</w:t>
      </w:r>
    </w:p>
    <w:p w14:paraId="46DB070C" w14:textId="422B663C" w:rsidR="00AE576C" w:rsidRPr="00A96C99" w:rsidRDefault="00AE576C" w:rsidP="00AE576C">
      <w:pPr>
        <w:pStyle w:val="BGNormal125"/>
        <w:rPr>
          <w:rFonts w:ascii="Calibri" w:hAnsi="Calibri" w:cs="Calibri"/>
          <w:color w:val="auto"/>
        </w:rPr>
      </w:pPr>
      <w:r w:rsidRPr="009D5510">
        <w:rPr>
          <w:rFonts w:ascii="Calibri" w:hAnsi="Calibri" w:cs="Calibri"/>
          <w:b/>
          <w:color w:val="00467F"/>
        </w:rPr>
        <w:t>Our analysis shows that the market equilibrium of 1</w:t>
      </w:r>
      <w:r w:rsidR="003C6800">
        <w:rPr>
          <w:rFonts w:ascii="Calibri" w:hAnsi="Calibri" w:cs="Calibri"/>
          <w:b/>
          <w:color w:val="00467F"/>
        </w:rPr>
        <w:t>2</w:t>
      </w:r>
      <w:r w:rsidRPr="009D5510">
        <w:rPr>
          <w:rFonts w:ascii="Calibri" w:hAnsi="Calibri" w:cs="Calibri"/>
          <w:b/>
          <w:color w:val="00467F"/>
        </w:rPr>
        <w:t xml:space="preserve">.25% is greater than the economically optimal level of capacity by </w:t>
      </w:r>
      <w:r w:rsidR="008C189B">
        <w:rPr>
          <w:rFonts w:ascii="Calibri" w:hAnsi="Calibri" w:cs="Calibri"/>
          <w:b/>
          <w:color w:val="00467F"/>
        </w:rPr>
        <w:t>1.</w:t>
      </w:r>
      <w:r w:rsidRPr="009D5510">
        <w:rPr>
          <w:rFonts w:ascii="Calibri" w:hAnsi="Calibri" w:cs="Calibri"/>
          <w:b/>
          <w:color w:val="00467F"/>
        </w:rPr>
        <w:t>25</w:t>
      </w:r>
      <w:r w:rsidR="0020093E">
        <w:rPr>
          <w:rFonts w:ascii="Calibri" w:hAnsi="Calibri" w:cs="Calibri"/>
          <w:b/>
          <w:color w:val="00467F"/>
        </w:rPr>
        <w:t xml:space="preserve"> percentage points</w:t>
      </w:r>
      <w:r w:rsidRPr="009D5510">
        <w:rPr>
          <w:rFonts w:ascii="Calibri" w:hAnsi="Calibri" w:cs="Calibri"/>
          <w:b/>
          <w:color w:val="00467F"/>
        </w:rPr>
        <w:t>.</w:t>
      </w:r>
      <w:r w:rsidRPr="009D5510">
        <w:rPr>
          <w:rFonts w:ascii="Calibri" w:hAnsi="Calibri" w:cs="Calibri"/>
        </w:rPr>
        <w:t xml:space="preserve">  </w:t>
      </w:r>
      <w:r w:rsidRPr="00321C0A">
        <w:rPr>
          <w:rFonts w:ascii="Calibri" w:hAnsi="Calibri" w:cs="Calibri"/>
          <w:color w:val="C00000"/>
        </w:rPr>
        <w:t xml:space="preserve">  </w:t>
      </w:r>
      <w:r w:rsidRPr="00A96C99">
        <w:rPr>
          <w:rFonts w:ascii="Calibri" w:hAnsi="Calibri" w:cs="Calibri"/>
          <w:color w:val="auto"/>
        </w:rPr>
        <w:t xml:space="preserve">The market equilibrium is higher than the economic optimum because the ORDC as currently designed sets prices higher than the marginal value of energy during scarcity conditions.  </w:t>
      </w:r>
      <w:r w:rsidR="00F4245D" w:rsidRPr="00A96C99">
        <w:rPr>
          <w:rFonts w:ascii="Calibri" w:hAnsi="Calibri" w:cs="Calibri"/>
          <w:color w:val="auto"/>
        </w:rPr>
        <w:t xml:space="preserve">The </w:t>
      </w:r>
      <w:r w:rsidR="00B92913">
        <w:rPr>
          <w:rFonts w:ascii="Calibri" w:hAnsi="Calibri" w:cs="Calibri"/>
          <w:color w:val="auto"/>
        </w:rPr>
        <w:t xml:space="preserve">size of the </w:t>
      </w:r>
      <w:r w:rsidR="00F4245D" w:rsidRPr="00A96C99">
        <w:rPr>
          <w:rFonts w:ascii="Calibri" w:hAnsi="Calibri" w:cs="Calibri"/>
          <w:color w:val="auto"/>
        </w:rPr>
        <w:t xml:space="preserve">gap is lower than </w:t>
      </w:r>
      <w:r w:rsidR="00B92913">
        <w:rPr>
          <w:rFonts w:ascii="Calibri" w:hAnsi="Calibri" w:cs="Calibri"/>
          <w:color w:val="auto"/>
        </w:rPr>
        <w:t>suggested by current ORDC values and the gaps identified in</w:t>
      </w:r>
      <w:r w:rsidR="00F4245D" w:rsidRPr="00A96C99">
        <w:rPr>
          <w:rFonts w:ascii="Calibri" w:hAnsi="Calibri" w:cs="Calibri"/>
          <w:color w:val="auto"/>
        </w:rPr>
        <w:t xml:space="preserve"> previous studies because of the presence of </w:t>
      </w:r>
      <w:r w:rsidR="00B92913">
        <w:rPr>
          <w:rFonts w:ascii="Calibri" w:hAnsi="Calibri" w:cs="Calibri"/>
          <w:color w:val="auto"/>
        </w:rPr>
        <w:t xml:space="preserve">more </w:t>
      </w:r>
      <w:r w:rsidR="00F4245D" w:rsidRPr="00A96C99">
        <w:rPr>
          <w:rFonts w:ascii="Calibri" w:hAnsi="Calibri" w:cs="Calibri"/>
          <w:color w:val="auto"/>
        </w:rPr>
        <w:t>energy-limited resources. In certain reliability</w:t>
      </w:r>
      <w:r w:rsidR="00794910">
        <w:rPr>
          <w:rFonts w:ascii="Calibri" w:hAnsi="Calibri" w:cs="Calibri"/>
          <w:color w:val="auto"/>
        </w:rPr>
        <w:t>-</w:t>
      </w:r>
      <w:r w:rsidR="00F4245D" w:rsidRPr="00A96C99">
        <w:rPr>
          <w:rFonts w:ascii="Calibri" w:hAnsi="Calibri" w:cs="Calibri"/>
          <w:color w:val="auto"/>
        </w:rPr>
        <w:t xml:space="preserve">constrained hours in the simulation, additional capacity can provide more value than its nameplate. </w:t>
      </w:r>
      <w:r w:rsidR="00A10177" w:rsidRPr="00A96C99">
        <w:rPr>
          <w:rFonts w:ascii="Calibri" w:hAnsi="Calibri" w:cs="Calibri"/>
          <w:color w:val="auto"/>
        </w:rPr>
        <w:t xml:space="preserve">This is because in addition to being available during the peak hour, the incremental resource can preserve the energy </w:t>
      </w:r>
      <w:r w:rsidR="00B3693B">
        <w:rPr>
          <w:rFonts w:ascii="Calibri" w:hAnsi="Calibri" w:cs="Calibri"/>
          <w:color w:val="auto"/>
        </w:rPr>
        <w:t>from</w:t>
      </w:r>
      <w:r w:rsidR="00A10177" w:rsidRPr="00A96C99">
        <w:rPr>
          <w:rFonts w:ascii="Calibri" w:hAnsi="Calibri" w:cs="Calibri"/>
          <w:color w:val="auto"/>
        </w:rPr>
        <w:t xml:space="preserve"> the energy limited resources such as battery and demand response</w:t>
      </w:r>
      <w:r w:rsidR="002A033D">
        <w:rPr>
          <w:rStyle w:val="FootnoteReference"/>
          <w:rFonts w:ascii="Calibri" w:hAnsi="Calibri" w:cs="Calibri"/>
          <w:color w:val="auto"/>
        </w:rPr>
        <w:footnoteReference w:id="9"/>
      </w:r>
      <w:r w:rsidR="00A10177" w:rsidRPr="00A96C99">
        <w:rPr>
          <w:rFonts w:ascii="Calibri" w:hAnsi="Calibri" w:cs="Calibri"/>
          <w:color w:val="auto"/>
        </w:rPr>
        <w:t xml:space="preserve"> for availability during peak conditions. This means that the production cost savings in some extreme hours will be larger than the market price benefit the marginal </w:t>
      </w:r>
      <w:r w:rsidR="00B3693B">
        <w:rPr>
          <w:rFonts w:ascii="Calibri" w:hAnsi="Calibri" w:cs="Calibri"/>
          <w:color w:val="auto"/>
        </w:rPr>
        <w:t>CT</w:t>
      </w:r>
      <w:r w:rsidR="00A10177" w:rsidRPr="00A96C99">
        <w:rPr>
          <w:rFonts w:ascii="Calibri" w:hAnsi="Calibri" w:cs="Calibri"/>
          <w:color w:val="auto"/>
        </w:rPr>
        <w:t xml:space="preserve"> realizes. </w:t>
      </w:r>
    </w:p>
    <w:p w14:paraId="5BAA31DF" w14:textId="0B0A05C4" w:rsidR="00AE576C" w:rsidRPr="00165615" w:rsidRDefault="00AE576C" w:rsidP="00AE576C">
      <w:pPr>
        <w:pStyle w:val="BGNormal125"/>
        <w:rPr>
          <w:rFonts w:ascii="Calibri" w:hAnsi="Calibri" w:cs="Calibri"/>
          <w:color w:val="C00000"/>
        </w:rPr>
      </w:pPr>
      <w:r w:rsidRPr="00A96C99">
        <w:rPr>
          <w:rFonts w:ascii="Calibri" w:hAnsi="Calibri" w:cs="Calibri"/>
          <w:color w:val="auto"/>
        </w:rPr>
        <w:fldChar w:fldCharType="begin"/>
      </w:r>
      <w:r w:rsidRPr="00A96C99">
        <w:rPr>
          <w:rFonts w:ascii="Calibri" w:hAnsi="Calibri" w:cs="Calibri"/>
          <w:color w:val="auto"/>
        </w:rPr>
        <w:instrText xml:space="preserve"> REF _Ref526440696 \h  \* MERGEFORMAT </w:instrText>
      </w:r>
      <w:r w:rsidRPr="00A96C99">
        <w:rPr>
          <w:rFonts w:ascii="Calibri" w:hAnsi="Calibri" w:cs="Calibri"/>
          <w:color w:val="auto"/>
        </w:rPr>
      </w:r>
      <w:r w:rsidRPr="00A96C99">
        <w:rPr>
          <w:rFonts w:ascii="Calibri" w:hAnsi="Calibri" w:cs="Calibri"/>
          <w:color w:val="auto"/>
        </w:rPr>
        <w:fldChar w:fldCharType="separate"/>
      </w:r>
      <w:r w:rsidRPr="00A96C99">
        <w:rPr>
          <w:rFonts w:ascii="Calibri" w:hAnsi="Calibri" w:cs="Calibri"/>
          <w:color w:val="auto"/>
        </w:rPr>
        <w:t>Table ES-</w:t>
      </w:r>
      <w:r w:rsidRPr="00A96C99">
        <w:rPr>
          <w:rFonts w:ascii="Calibri" w:hAnsi="Calibri" w:cs="Calibri"/>
          <w:color w:val="auto"/>
        </w:rPr>
        <w:fldChar w:fldCharType="end"/>
      </w:r>
      <w:r w:rsidR="00D1756E">
        <w:rPr>
          <w:rFonts w:ascii="Calibri" w:hAnsi="Calibri" w:cs="Calibri"/>
          <w:color w:val="auto"/>
        </w:rPr>
        <w:t>1</w:t>
      </w:r>
      <w:r w:rsidR="00D1756E" w:rsidRPr="00A96C99">
        <w:rPr>
          <w:rFonts w:ascii="Calibri" w:hAnsi="Calibri" w:cs="Calibri"/>
          <w:color w:val="auto"/>
        </w:rPr>
        <w:t xml:space="preserve"> </w:t>
      </w:r>
      <w:r w:rsidRPr="00A96C99">
        <w:rPr>
          <w:rFonts w:ascii="Calibri" w:hAnsi="Calibri" w:cs="Calibri"/>
          <w:color w:val="auto"/>
        </w:rPr>
        <w:t xml:space="preserve">shows </w:t>
      </w:r>
      <w:r w:rsidR="00A10177" w:rsidRPr="00A96C99">
        <w:rPr>
          <w:rFonts w:ascii="Calibri" w:hAnsi="Calibri" w:cs="Calibri"/>
          <w:color w:val="auto"/>
        </w:rPr>
        <w:t>the MERM and EORM</w:t>
      </w:r>
      <w:r w:rsidRPr="00A96C99">
        <w:rPr>
          <w:rFonts w:ascii="Calibri" w:hAnsi="Calibri" w:cs="Calibri"/>
          <w:color w:val="auto"/>
        </w:rPr>
        <w:t xml:space="preserve"> for the base case as well as for sensitivity and scenario analyses conducted for this study.  Some of the key assumptions we test are the estimated capital cost of new generation, load forecasting error, coal and natural gas prices, the value of lost load (VOLL), intermittent renewable penetration, and weather distributions.  Regarding weather, our base case assumption is that all </w:t>
      </w:r>
      <w:r w:rsidR="00A96C99" w:rsidRPr="00A96C99">
        <w:rPr>
          <w:rFonts w:ascii="Calibri" w:hAnsi="Calibri" w:cs="Calibri"/>
          <w:color w:val="auto"/>
        </w:rPr>
        <w:t>40</w:t>
      </w:r>
      <w:r w:rsidRPr="00A96C99">
        <w:rPr>
          <w:rFonts w:ascii="Calibri" w:hAnsi="Calibri" w:cs="Calibri"/>
          <w:color w:val="auto"/>
        </w:rPr>
        <w:t xml:space="preserve"> years of historical weather are assigned an equal probability of occurring for the 202</w:t>
      </w:r>
      <w:r w:rsidR="00A96C99" w:rsidRPr="00A96C99">
        <w:rPr>
          <w:rFonts w:ascii="Calibri" w:hAnsi="Calibri" w:cs="Calibri"/>
          <w:color w:val="auto"/>
        </w:rPr>
        <w:t>4</w:t>
      </w:r>
      <w:r w:rsidRPr="00A96C99">
        <w:rPr>
          <w:rFonts w:ascii="Calibri" w:hAnsi="Calibri" w:cs="Calibri"/>
          <w:color w:val="auto"/>
        </w:rPr>
        <w:t xml:space="preserve"> simulation year, and this reliance on long</w:t>
      </w:r>
      <w:r w:rsidR="0020093E">
        <w:rPr>
          <w:rFonts w:ascii="Calibri" w:hAnsi="Calibri" w:cs="Calibri"/>
          <w:color w:val="auto"/>
        </w:rPr>
        <w:t xml:space="preserve"> term</w:t>
      </w:r>
      <w:r w:rsidRPr="00A96C99">
        <w:rPr>
          <w:rFonts w:ascii="Calibri" w:hAnsi="Calibri" w:cs="Calibri"/>
          <w:color w:val="auto"/>
        </w:rPr>
        <w:t xml:space="preserve"> history is consistent with the EORM Manual.</w:t>
      </w:r>
      <w:r w:rsidR="00D57DE0">
        <w:rPr>
          <w:rStyle w:val="FootnoteReference"/>
          <w:rFonts w:ascii="Calibri" w:hAnsi="Calibri" w:cs="Calibri"/>
          <w:color w:val="auto"/>
        </w:rPr>
        <w:footnoteReference w:id="10"/>
      </w:r>
      <w:r w:rsidRPr="00A96C99">
        <w:rPr>
          <w:rFonts w:ascii="Calibri" w:hAnsi="Calibri" w:cs="Calibri"/>
          <w:color w:val="auto"/>
        </w:rPr>
        <w:t xml:space="preserve">  More recent weather has been hotter (especially 2011) and may be more representative of future weather.  Assuming accordingly that each of the last 1</w:t>
      </w:r>
      <w:r w:rsidR="00A10177" w:rsidRPr="00A96C99">
        <w:rPr>
          <w:rFonts w:ascii="Calibri" w:hAnsi="Calibri" w:cs="Calibri"/>
          <w:color w:val="auto"/>
        </w:rPr>
        <w:t>5</w:t>
      </w:r>
      <w:r w:rsidRPr="00A96C99">
        <w:rPr>
          <w:rFonts w:ascii="Calibri" w:hAnsi="Calibri" w:cs="Calibri"/>
          <w:color w:val="auto"/>
        </w:rPr>
        <w:t xml:space="preserve"> weather years has a </w:t>
      </w:r>
      <w:r w:rsidR="00A10177" w:rsidRPr="00A96C99">
        <w:rPr>
          <w:rFonts w:ascii="Calibri" w:hAnsi="Calibri" w:cs="Calibri"/>
          <w:color w:val="auto"/>
        </w:rPr>
        <w:t>1/15th</w:t>
      </w:r>
      <w:r w:rsidRPr="00A96C99">
        <w:rPr>
          <w:rFonts w:ascii="Calibri" w:hAnsi="Calibri" w:cs="Calibri"/>
          <w:color w:val="auto"/>
        </w:rPr>
        <w:t xml:space="preserve"> chance of reoccurring (with 0% weight on each of the prior </w:t>
      </w:r>
      <w:r w:rsidR="00A10177" w:rsidRPr="00A96C99">
        <w:rPr>
          <w:rFonts w:ascii="Calibri" w:hAnsi="Calibri" w:cs="Calibri"/>
          <w:color w:val="auto"/>
        </w:rPr>
        <w:t>25</w:t>
      </w:r>
      <w:r w:rsidRPr="00A96C99">
        <w:rPr>
          <w:rFonts w:ascii="Calibri" w:hAnsi="Calibri" w:cs="Calibri"/>
          <w:color w:val="auto"/>
        </w:rPr>
        <w:t xml:space="preserve"> years) leads to higher simulated prices and reliability events at a given reserve margin; but the higher prices would attract more investment, resulting in a </w:t>
      </w:r>
      <w:r w:rsidR="00E07BF6">
        <w:rPr>
          <w:rFonts w:ascii="Calibri" w:hAnsi="Calibri" w:cs="Calibri"/>
          <w:color w:val="auto"/>
        </w:rPr>
        <w:t>1</w:t>
      </w:r>
      <w:r w:rsidRPr="00A96C99">
        <w:rPr>
          <w:rFonts w:ascii="Calibri" w:hAnsi="Calibri" w:cs="Calibri"/>
          <w:color w:val="auto"/>
        </w:rPr>
        <w:t>% higher market equilibrium reserve margin and similar reliability to the base case.</w:t>
      </w:r>
    </w:p>
    <w:p w14:paraId="2B482209" w14:textId="2CFF60CD" w:rsidR="00AE576C" w:rsidRPr="00F01914" w:rsidRDefault="00AE576C" w:rsidP="00AE576C">
      <w:pPr>
        <w:pStyle w:val="Caption"/>
        <w:jc w:val="center"/>
        <w:rPr>
          <w:rFonts w:cs="Calibri"/>
          <w:b/>
          <w:bCs/>
          <w:i w:val="0"/>
          <w:iCs w:val="0"/>
          <w:color w:val="auto"/>
          <w:sz w:val="22"/>
          <w:szCs w:val="22"/>
        </w:rPr>
      </w:pPr>
      <w:r w:rsidRPr="00F01914">
        <w:rPr>
          <w:rFonts w:cs="Calibri"/>
          <w:b/>
          <w:bCs/>
          <w:i w:val="0"/>
          <w:iCs w:val="0"/>
          <w:color w:val="auto"/>
          <w:sz w:val="22"/>
          <w:szCs w:val="22"/>
        </w:rPr>
        <w:t>Table ES-</w:t>
      </w:r>
      <w:r w:rsidRPr="00F01914">
        <w:rPr>
          <w:rFonts w:cs="Calibri"/>
          <w:b/>
          <w:bCs/>
          <w:i w:val="0"/>
          <w:iCs w:val="0"/>
          <w:noProof/>
          <w:color w:val="auto"/>
          <w:sz w:val="22"/>
          <w:szCs w:val="22"/>
        </w:rPr>
        <w:fldChar w:fldCharType="begin"/>
      </w:r>
      <w:r w:rsidRPr="00F01914">
        <w:rPr>
          <w:rFonts w:cs="Calibri"/>
          <w:b/>
          <w:bCs/>
          <w:i w:val="0"/>
          <w:iCs w:val="0"/>
          <w:noProof/>
          <w:color w:val="auto"/>
          <w:sz w:val="22"/>
          <w:szCs w:val="22"/>
        </w:rPr>
        <w:instrText xml:space="preserve"> SEQ Table_ES- \* ARABIC </w:instrText>
      </w:r>
      <w:r w:rsidRPr="00F01914">
        <w:rPr>
          <w:rFonts w:cs="Calibri"/>
          <w:b/>
          <w:bCs/>
          <w:i w:val="0"/>
          <w:iCs w:val="0"/>
          <w:noProof/>
          <w:color w:val="auto"/>
          <w:sz w:val="22"/>
          <w:szCs w:val="22"/>
        </w:rPr>
        <w:fldChar w:fldCharType="separate"/>
      </w:r>
      <w:r w:rsidR="00D1756E">
        <w:rPr>
          <w:rFonts w:cs="Calibri"/>
          <w:b/>
          <w:bCs/>
          <w:i w:val="0"/>
          <w:iCs w:val="0"/>
          <w:noProof/>
          <w:color w:val="auto"/>
          <w:sz w:val="22"/>
          <w:szCs w:val="22"/>
        </w:rPr>
        <w:t>1</w:t>
      </w:r>
      <w:r w:rsidRPr="00F01914">
        <w:rPr>
          <w:rFonts w:cs="Calibri"/>
          <w:b/>
          <w:bCs/>
          <w:i w:val="0"/>
          <w:iCs w:val="0"/>
          <w:noProof/>
          <w:color w:val="auto"/>
          <w:sz w:val="22"/>
          <w:szCs w:val="22"/>
        </w:rPr>
        <w:fldChar w:fldCharType="end"/>
      </w:r>
      <w:r w:rsidRPr="00F01914">
        <w:rPr>
          <w:rFonts w:cs="Calibri"/>
          <w:b/>
          <w:bCs/>
          <w:i w:val="0"/>
          <w:iCs w:val="0"/>
          <w:noProof/>
          <w:color w:val="auto"/>
          <w:sz w:val="22"/>
          <w:szCs w:val="22"/>
        </w:rPr>
        <w:t>.</w:t>
      </w:r>
      <w:r w:rsidRPr="00F01914">
        <w:rPr>
          <w:rFonts w:cs="Calibri"/>
          <w:b/>
          <w:bCs/>
          <w:i w:val="0"/>
          <w:iCs w:val="0"/>
          <w:color w:val="auto"/>
          <w:sz w:val="22"/>
          <w:szCs w:val="22"/>
        </w:rPr>
        <w:t xml:space="preserve"> Market Equilibrium and Economically</w:t>
      </w:r>
      <w:r w:rsidR="00D57DE0">
        <w:rPr>
          <w:rFonts w:cs="Calibri"/>
          <w:b/>
          <w:bCs/>
          <w:i w:val="0"/>
          <w:iCs w:val="0"/>
          <w:color w:val="auto"/>
          <w:sz w:val="22"/>
          <w:szCs w:val="22"/>
        </w:rPr>
        <w:t xml:space="preserve"> Optimal Reserve Margins and Reliability</w:t>
      </w:r>
    </w:p>
    <w:tbl>
      <w:tblPr>
        <w:tblW w:w="9360" w:type="dxa"/>
        <w:tblLook w:val="04A0" w:firstRow="1" w:lastRow="0" w:firstColumn="1" w:lastColumn="0" w:noHBand="0" w:noVBand="1"/>
      </w:tblPr>
      <w:tblGrid>
        <w:gridCol w:w="6080"/>
        <w:gridCol w:w="1660"/>
        <w:gridCol w:w="1620"/>
      </w:tblGrid>
      <w:tr w:rsidR="008C189B" w:rsidRPr="008C189B" w14:paraId="322D1426" w14:textId="77777777" w:rsidTr="008C189B">
        <w:trPr>
          <w:trHeight w:val="142"/>
        </w:trPr>
        <w:tc>
          <w:tcPr>
            <w:tcW w:w="6080" w:type="dxa"/>
            <w:vMerge w:val="restart"/>
            <w:tcBorders>
              <w:top w:val="single" w:sz="8" w:space="0" w:color="auto"/>
              <w:left w:val="nil"/>
              <w:bottom w:val="single" w:sz="8" w:space="0" w:color="000000"/>
              <w:right w:val="nil"/>
            </w:tcBorders>
            <w:shd w:val="clear" w:color="auto" w:fill="auto"/>
            <w:noWrap/>
            <w:vAlign w:val="center"/>
            <w:hideMark/>
          </w:tcPr>
          <w:p w14:paraId="718AB9F2" w14:textId="77777777" w:rsidR="008C189B" w:rsidRPr="008C189B" w:rsidRDefault="008C189B" w:rsidP="008C189B">
            <w:pPr>
              <w:spacing w:after="0" w:line="240" w:lineRule="auto"/>
              <w:rPr>
                <w:rFonts w:eastAsia="Times New Roman" w:cs="Calibri"/>
                <w:b/>
                <w:bCs/>
                <w:color w:val="000000"/>
                <w:kern w:val="0"/>
              </w:rPr>
            </w:pPr>
            <w:r w:rsidRPr="008C189B">
              <w:rPr>
                <w:rFonts w:eastAsia="Times New Roman" w:cs="Calibri"/>
                <w:b/>
                <w:bCs/>
                <w:color w:val="000000"/>
                <w:kern w:val="0"/>
              </w:rPr>
              <w:t>Scenario/Sensitivity</w:t>
            </w:r>
          </w:p>
        </w:tc>
        <w:tc>
          <w:tcPr>
            <w:tcW w:w="1660" w:type="dxa"/>
            <w:tcBorders>
              <w:top w:val="single" w:sz="8" w:space="0" w:color="auto"/>
              <w:left w:val="nil"/>
              <w:bottom w:val="nil"/>
              <w:right w:val="nil"/>
            </w:tcBorders>
            <w:shd w:val="clear" w:color="auto" w:fill="auto"/>
            <w:noWrap/>
            <w:vAlign w:val="center"/>
            <w:hideMark/>
          </w:tcPr>
          <w:p w14:paraId="720C6AE1" w14:textId="77777777" w:rsidR="008C189B" w:rsidRPr="008C189B" w:rsidRDefault="008C189B" w:rsidP="008C189B">
            <w:pPr>
              <w:spacing w:after="0" w:line="240" w:lineRule="auto"/>
              <w:jc w:val="center"/>
              <w:rPr>
                <w:rFonts w:eastAsia="Times New Roman" w:cs="Calibri"/>
                <w:b/>
                <w:bCs/>
                <w:color w:val="000000"/>
                <w:kern w:val="0"/>
              </w:rPr>
            </w:pPr>
            <w:r w:rsidRPr="008C189B">
              <w:rPr>
                <w:rFonts w:eastAsia="Times New Roman" w:cs="Calibri"/>
                <w:b/>
                <w:bCs/>
                <w:color w:val="000000"/>
                <w:kern w:val="0"/>
              </w:rPr>
              <w:t>MERM</w:t>
            </w:r>
          </w:p>
        </w:tc>
        <w:tc>
          <w:tcPr>
            <w:tcW w:w="1620" w:type="dxa"/>
            <w:tcBorders>
              <w:top w:val="single" w:sz="8" w:space="0" w:color="auto"/>
              <w:left w:val="nil"/>
              <w:bottom w:val="nil"/>
              <w:right w:val="nil"/>
            </w:tcBorders>
            <w:shd w:val="clear" w:color="auto" w:fill="auto"/>
            <w:noWrap/>
            <w:vAlign w:val="center"/>
            <w:hideMark/>
          </w:tcPr>
          <w:p w14:paraId="616D1E37" w14:textId="77777777" w:rsidR="008C189B" w:rsidRPr="008C189B" w:rsidRDefault="008C189B" w:rsidP="008C189B">
            <w:pPr>
              <w:spacing w:after="0" w:line="240" w:lineRule="auto"/>
              <w:jc w:val="center"/>
              <w:rPr>
                <w:rFonts w:eastAsia="Times New Roman" w:cs="Calibri"/>
                <w:b/>
                <w:bCs/>
                <w:color w:val="000000"/>
                <w:kern w:val="0"/>
              </w:rPr>
            </w:pPr>
            <w:r w:rsidRPr="008C189B">
              <w:rPr>
                <w:rFonts w:eastAsia="Times New Roman" w:cs="Calibri"/>
                <w:b/>
                <w:bCs/>
                <w:color w:val="000000"/>
                <w:kern w:val="0"/>
              </w:rPr>
              <w:t>EORM</w:t>
            </w:r>
          </w:p>
        </w:tc>
      </w:tr>
      <w:tr w:rsidR="008C189B" w:rsidRPr="008C189B" w14:paraId="3BA9B91B" w14:textId="77777777" w:rsidTr="008C189B">
        <w:trPr>
          <w:trHeight w:val="60"/>
        </w:trPr>
        <w:tc>
          <w:tcPr>
            <w:tcW w:w="6080" w:type="dxa"/>
            <w:vMerge/>
            <w:tcBorders>
              <w:top w:val="single" w:sz="8" w:space="0" w:color="auto"/>
              <w:left w:val="nil"/>
              <w:bottom w:val="single" w:sz="8" w:space="0" w:color="000000"/>
              <w:right w:val="nil"/>
            </w:tcBorders>
            <w:vAlign w:val="center"/>
            <w:hideMark/>
          </w:tcPr>
          <w:p w14:paraId="066ACC6D" w14:textId="77777777" w:rsidR="008C189B" w:rsidRPr="008C189B" w:rsidRDefault="008C189B" w:rsidP="008C189B">
            <w:pPr>
              <w:spacing w:after="0" w:line="240" w:lineRule="auto"/>
              <w:rPr>
                <w:rFonts w:eastAsia="Times New Roman" w:cs="Calibri"/>
                <w:b/>
                <w:bCs/>
                <w:color w:val="000000"/>
                <w:kern w:val="0"/>
              </w:rPr>
            </w:pPr>
          </w:p>
        </w:tc>
        <w:tc>
          <w:tcPr>
            <w:tcW w:w="1660" w:type="dxa"/>
            <w:tcBorders>
              <w:top w:val="nil"/>
              <w:left w:val="nil"/>
              <w:bottom w:val="single" w:sz="8" w:space="0" w:color="auto"/>
              <w:right w:val="nil"/>
            </w:tcBorders>
            <w:shd w:val="clear" w:color="auto" w:fill="auto"/>
            <w:noWrap/>
            <w:vAlign w:val="center"/>
            <w:hideMark/>
          </w:tcPr>
          <w:p w14:paraId="4A31242D" w14:textId="77777777" w:rsidR="008C189B" w:rsidRPr="008C189B" w:rsidRDefault="008C189B" w:rsidP="008C189B">
            <w:pPr>
              <w:spacing w:after="0" w:line="240" w:lineRule="auto"/>
              <w:jc w:val="center"/>
              <w:rPr>
                <w:rFonts w:eastAsia="Times New Roman" w:cs="Calibri"/>
                <w:color w:val="000000"/>
                <w:kern w:val="0"/>
              </w:rPr>
            </w:pPr>
            <w:r w:rsidRPr="008C189B">
              <w:rPr>
                <w:rFonts w:eastAsia="Times New Roman" w:cs="Calibri"/>
                <w:color w:val="000000"/>
                <w:kern w:val="0"/>
              </w:rPr>
              <w:t>(%)</w:t>
            </w:r>
          </w:p>
        </w:tc>
        <w:tc>
          <w:tcPr>
            <w:tcW w:w="1620" w:type="dxa"/>
            <w:tcBorders>
              <w:top w:val="nil"/>
              <w:left w:val="nil"/>
              <w:bottom w:val="single" w:sz="8" w:space="0" w:color="auto"/>
              <w:right w:val="nil"/>
            </w:tcBorders>
            <w:shd w:val="clear" w:color="auto" w:fill="auto"/>
            <w:noWrap/>
            <w:vAlign w:val="center"/>
            <w:hideMark/>
          </w:tcPr>
          <w:p w14:paraId="5A459D20" w14:textId="77777777" w:rsidR="008C189B" w:rsidRPr="008C189B" w:rsidRDefault="008C189B" w:rsidP="008C189B">
            <w:pPr>
              <w:spacing w:after="0" w:line="240" w:lineRule="auto"/>
              <w:jc w:val="center"/>
              <w:rPr>
                <w:rFonts w:eastAsia="Times New Roman" w:cs="Calibri"/>
                <w:color w:val="000000"/>
                <w:kern w:val="0"/>
              </w:rPr>
            </w:pPr>
            <w:r w:rsidRPr="008C189B">
              <w:rPr>
                <w:rFonts w:eastAsia="Times New Roman" w:cs="Calibri"/>
                <w:color w:val="000000"/>
                <w:kern w:val="0"/>
              </w:rPr>
              <w:t>(%)</w:t>
            </w:r>
          </w:p>
        </w:tc>
      </w:tr>
      <w:tr w:rsidR="008C189B" w:rsidRPr="008C189B" w14:paraId="7AA7F51D" w14:textId="77777777" w:rsidTr="008C189B">
        <w:trPr>
          <w:trHeight w:val="300"/>
        </w:trPr>
        <w:tc>
          <w:tcPr>
            <w:tcW w:w="6080" w:type="dxa"/>
            <w:tcBorders>
              <w:top w:val="nil"/>
              <w:left w:val="nil"/>
              <w:bottom w:val="nil"/>
              <w:right w:val="nil"/>
            </w:tcBorders>
            <w:shd w:val="clear" w:color="000000" w:fill="D9D9D9"/>
            <w:noWrap/>
            <w:vAlign w:val="center"/>
            <w:hideMark/>
          </w:tcPr>
          <w:p w14:paraId="792F0A89" w14:textId="77777777" w:rsidR="008C189B" w:rsidRPr="008C189B" w:rsidRDefault="008C189B" w:rsidP="008C189B">
            <w:pPr>
              <w:spacing w:after="0" w:line="240" w:lineRule="auto"/>
              <w:rPr>
                <w:rFonts w:eastAsia="Times New Roman" w:cs="Calibri"/>
                <w:b/>
                <w:bCs/>
                <w:color w:val="000000"/>
                <w:kern w:val="0"/>
              </w:rPr>
            </w:pPr>
            <w:r w:rsidRPr="008C189B">
              <w:rPr>
                <w:rFonts w:eastAsia="Times New Roman" w:cs="Calibri"/>
                <w:b/>
                <w:bCs/>
                <w:color w:val="000000"/>
                <w:kern w:val="0"/>
              </w:rPr>
              <w:t>Base Case</w:t>
            </w:r>
          </w:p>
        </w:tc>
        <w:tc>
          <w:tcPr>
            <w:tcW w:w="1660" w:type="dxa"/>
            <w:tcBorders>
              <w:top w:val="nil"/>
              <w:left w:val="nil"/>
              <w:bottom w:val="nil"/>
              <w:right w:val="nil"/>
            </w:tcBorders>
            <w:shd w:val="clear" w:color="000000" w:fill="D9D9D9"/>
            <w:noWrap/>
            <w:vAlign w:val="center"/>
            <w:hideMark/>
          </w:tcPr>
          <w:p w14:paraId="1CB41FC9" w14:textId="124E941A" w:rsidR="008C189B" w:rsidRPr="008C189B" w:rsidRDefault="008C189B" w:rsidP="002B3C5A">
            <w:pPr>
              <w:spacing w:after="0" w:line="240" w:lineRule="auto"/>
              <w:jc w:val="center"/>
              <w:rPr>
                <w:rFonts w:eastAsia="Times New Roman" w:cs="Calibri"/>
                <w:b/>
                <w:bCs/>
                <w:color w:val="000000"/>
                <w:kern w:val="0"/>
              </w:rPr>
            </w:pPr>
            <w:r w:rsidRPr="008C189B">
              <w:rPr>
                <w:rFonts w:eastAsia="Times New Roman" w:cs="Calibri"/>
                <w:b/>
                <w:bCs/>
                <w:color w:val="000000"/>
                <w:kern w:val="0"/>
              </w:rPr>
              <w:t>1</w:t>
            </w:r>
            <w:r w:rsidR="003C6800">
              <w:rPr>
                <w:rFonts w:eastAsia="Times New Roman" w:cs="Calibri"/>
                <w:b/>
                <w:bCs/>
                <w:color w:val="000000"/>
                <w:kern w:val="0"/>
              </w:rPr>
              <w:t>2</w:t>
            </w:r>
            <w:r w:rsidRPr="008C189B">
              <w:rPr>
                <w:rFonts w:eastAsia="Times New Roman" w:cs="Calibri"/>
                <w:b/>
                <w:bCs/>
                <w:color w:val="000000"/>
                <w:kern w:val="0"/>
              </w:rPr>
              <w:t>.25</w:t>
            </w:r>
          </w:p>
        </w:tc>
        <w:tc>
          <w:tcPr>
            <w:tcW w:w="1620" w:type="dxa"/>
            <w:tcBorders>
              <w:top w:val="nil"/>
              <w:left w:val="nil"/>
              <w:bottom w:val="nil"/>
              <w:right w:val="nil"/>
            </w:tcBorders>
            <w:shd w:val="clear" w:color="000000" w:fill="D9D9D9"/>
            <w:noWrap/>
            <w:vAlign w:val="center"/>
            <w:hideMark/>
          </w:tcPr>
          <w:p w14:paraId="453418CB" w14:textId="6B947066" w:rsidR="008C189B" w:rsidRPr="008C189B" w:rsidRDefault="008C189B" w:rsidP="002B3C5A">
            <w:pPr>
              <w:spacing w:after="0" w:line="240" w:lineRule="auto"/>
              <w:jc w:val="center"/>
              <w:rPr>
                <w:rFonts w:eastAsia="Times New Roman" w:cs="Calibri"/>
                <w:b/>
                <w:bCs/>
                <w:color w:val="000000"/>
                <w:kern w:val="0"/>
              </w:rPr>
            </w:pPr>
            <w:r w:rsidRPr="008C189B">
              <w:rPr>
                <w:rFonts w:eastAsia="Times New Roman" w:cs="Calibri"/>
                <w:b/>
                <w:bCs/>
                <w:color w:val="000000"/>
                <w:kern w:val="0"/>
              </w:rPr>
              <w:t>1</w:t>
            </w:r>
            <w:r w:rsidR="003C6800">
              <w:rPr>
                <w:rFonts w:eastAsia="Times New Roman" w:cs="Calibri"/>
                <w:b/>
                <w:bCs/>
                <w:color w:val="000000"/>
                <w:kern w:val="0"/>
              </w:rPr>
              <w:t>1</w:t>
            </w:r>
            <w:r w:rsidRPr="008C189B">
              <w:rPr>
                <w:rFonts w:eastAsia="Times New Roman" w:cs="Calibri"/>
                <w:b/>
                <w:bCs/>
                <w:color w:val="000000"/>
                <w:kern w:val="0"/>
              </w:rPr>
              <w:t>.00</w:t>
            </w:r>
          </w:p>
        </w:tc>
      </w:tr>
      <w:tr w:rsidR="008C189B" w:rsidRPr="008C189B" w14:paraId="6989095A" w14:textId="77777777" w:rsidTr="008C189B">
        <w:trPr>
          <w:trHeight w:val="300"/>
        </w:trPr>
        <w:tc>
          <w:tcPr>
            <w:tcW w:w="6080" w:type="dxa"/>
            <w:tcBorders>
              <w:top w:val="nil"/>
              <w:left w:val="nil"/>
              <w:bottom w:val="nil"/>
              <w:right w:val="nil"/>
            </w:tcBorders>
            <w:shd w:val="clear" w:color="auto" w:fill="auto"/>
            <w:noWrap/>
            <w:vAlign w:val="center"/>
            <w:hideMark/>
          </w:tcPr>
          <w:p w14:paraId="187363C8" w14:textId="64EBC55D" w:rsidR="008C189B" w:rsidRPr="008C189B" w:rsidRDefault="008C189B" w:rsidP="000740A4">
            <w:pPr>
              <w:spacing w:after="0" w:line="240" w:lineRule="auto"/>
              <w:rPr>
                <w:rFonts w:eastAsia="Times New Roman" w:cs="Calibri"/>
                <w:color w:val="000000"/>
                <w:kern w:val="0"/>
              </w:rPr>
            </w:pPr>
            <w:r w:rsidRPr="008C189B">
              <w:rPr>
                <w:rFonts w:eastAsia="Times New Roman" w:cs="Calibri"/>
                <w:color w:val="000000"/>
                <w:kern w:val="0"/>
              </w:rPr>
              <w:t xml:space="preserve">Vary </w:t>
            </w:r>
            <w:r w:rsidR="004C34C7">
              <w:rPr>
                <w:rFonts w:eastAsia="Times New Roman" w:cs="Calibri"/>
                <w:color w:val="000000"/>
                <w:kern w:val="0"/>
              </w:rPr>
              <w:t>Cost of New Entry</w:t>
            </w:r>
            <w:r w:rsidR="00F55D48">
              <w:rPr>
                <w:rFonts w:eastAsia="Times New Roman" w:cs="Calibri"/>
                <w:color w:val="000000"/>
                <w:kern w:val="0"/>
              </w:rPr>
              <w:t xml:space="preserve"> </w:t>
            </w:r>
            <w:r w:rsidR="004C34C7">
              <w:rPr>
                <w:rFonts w:eastAsia="Times New Roman" w:cs="Calibri"/>
                <w:color w:val="000000"/>
                <w:kern w:val="0"/>
              </w:rPr>
              <w:t>(</w:t>
            </w:r>
            <w:r w:rsidRPr="008C189B">
              <w:rPr>
                <w:rFonts w:eastAsia="Times New Roman" w:cs="Calibri"/>
                <w:color w:val="000000"/>
                <w:kern w:val="0"/>
              </w:rPr>
              <w:t>CONE</w:t>
            </w:r>
            <w:r w:rsidR="004C34C7">
              <w:rPr>
                <w:rFonts w:eastAsia="Times New Roman" w:cs="Calibri"/>
                <w:color w:val="000000"/>
                <w:kern w:val="0"/>
              </w:rPr>
              <w:t>)</w:t>
            </w:r>
          </w:p>
        </w:tc>
        <w:tc>
          <w:tcPr>
            <w:tcW w:w="1660" w:type="dxa"/>
            <w:tcBorders>
              <w:top w:val="nil"/>
              <w:left w:val="nil"/>
              <w:bottom w:val="nil"/>
              <w:right w:val="nil"/>
            </w:tcBorders>
            <w:shd w:val="clear" w:color="auto" w:fill="auto"/>
            <w:noWrap/>
            <w:vAlign w:val="center"/>
            <w:hideMark/>
          </w:tcPr>
          <w:p w14:paraId="1DC7A814" w14:textId="43FF7C31" w:rsidR="008C189B" w:rsidRPr="008C189B" w:rsidRDefault="009A42CE" w:rsidP="002B3C5A">
            <w:pPr>
              <w:spacing w:after="0" w:line="240" w:lineRule="auto"/>
              <w:jc w:val="center"/>
              <w:rPr>
                <w:rFonts w:eastAsia="Times New Roman" w:cs="Calibri"/>
                <w:color w:val="000000"/>
                <w:kern w:val="0"/>
              </w:rPr>
            </w:pPr>
            <w:r>
              <w:rPr>
                <w:rFonts w:eastAsia="Times New Roman" w:cs="Calibri"/>
                <w:color w:val="000000"/>
                <w:kern w:val="0"/>
              </w:rPr>
              <w:t>1</w:t>
            </w:r>
            <w:r w:rsidR="00D57DE0">
              <w:rPr>
                <w:rFonts w:eastAsia="Times New Roman" w:cs="Calibri"/>
                <w:color w:val="000000"/>
                <w:kern w:val="0"/>
              </w:rPr>
              <w:t>1</w:t>
            </w:r>
            <w:r>
              <w:rPr>
                <w:rFonts w:eastAsia="Times New Roman" w:cs="Calibri"/>
                <w:color w:val="000000"/>
                <w:kern w:val="0"/>
              </w:rPr>
              <w:t>.25 – 13.25</w:t>
            </w:r>
          </w:p>
        </w:tc>
        <w:tc>
          <w:tcPr>
            <w:tcW w:w="1620" w:type="dxa"/>
            <w:tcBorders>
              <w:top w:val="nil"/>
              <w:left w:val="nil"/>
              <w:bottom w:val="nil"/>
              <w:right w:val="nil"/>
            </w:tcBorders>
            <w:shd w:val="clear" w:color="auto" w:fill="auto"/>
            <w:noWrap/>
            <w:vAlign w:val="center"/>
            <w:hideMark/>
          </w:tcPr>
          <w:p w14:paraId="0F87D87E" w14:textId="672577DC" w:rsidR="008C189B" w:rsidRPr="008C189B" w:rsidRDefault="009A42CE" w:rsidP="002B3C5A">
            <w:pPr>
              <w:spacing w:after="0" w:line="240" w:lineRule="auto"/>
              <w:jc w:val="center"/>
              <w:rPr>
                <w:rFonts w:eastAsia="Times New Roman" w:cs="Calibri"/>
                <w:color w:val="000000"/>
                <w:kern w:val="0"/>
              </w:rPr>
            </w:pPr>
            <w:r>
              <w:rPr>
                <w:rFonts w:eastAsia="Times New Roman" w:cs="Calibri"/>
                <w:color w:val="000000"/>
                <w:kern w:val="0"/>
              </w:rPr>
              <w:t>10.00 – 12.00</w:t>
            </w:r>
          </w:p>
        </w:tc>
      </w:tr>
      <w:tr w:rsidR="008C189B" w:rsidRPr="008C189B" w14:paraId="5CE120C2" w14:textId="77777777" w:rsidTr="008C189B">
        <w:trPr>
          <w:trHeight w:val="300"/>
        </w:trPr>
        <w:tc>
          <w:tcPr>
            <w:tcW w:w="6080" w:type="dxa"/>
            <w:tcBorders>
              <w:top w:val="nil"/>
              <w:left w:val="nil"/>
              <w:bottom w:val="nil"/>
              <w:right w:val="nil"/>
            </w:tcBorders>
            <w:shd w:val="clear" w:color="000000" w:fill="D9D9D9"/>
            <w:noWrap/>
            <w:vAlign w:val="center"/>
            <w:hideMark/>
          </w:tcPr>
          <w:p w14:paraId="4938A8A6" w14:textId="77777777" w:rsidR="008C189B" w:rsidRPr="008C189B" w:rsidRDefault="008C189B" w:rsidP="008C189B">
            <w:pPr>
              <w:spacing w:after="0" w:line="240" w:lineRule="auto"/>
              <w:rPr>
                <w:rFonts w:eastAsia="Times New Roman" w:cs="Calibri"/>
                <w:color w:val="000000"/>
                <w:kern w:val="0"/>
              </w:rPr>
            </w:pPr>
            <w:r w:rsidRPr="008C189B">
              <w:rPr>
                <w:rFonts w:eastAsia="Times New Roman" w:cs="Calibri"/>
                <w:color w:val="000000"/>
                <w:kern w:val="0"/>
              </w:rPr>
              <w:t>Vary VOLL</w:t>
            </w:r>
          </w:p>
        </w:tc>
        <w:tc>
          <w:tcPr>
            <w:tcW w:w="1660" w:type="dxa"/>
            <w:tcBorders>
              <w:top w:val="nil"/>
              <w:left w:val="nil"/>
              <w:bottom w:val="nil"/>
              <w:right w:val="nil"/>
            </w:tcBorders>
            <w:shd w:val="clear" w:color="000000" w:fill="D9D9D9"/>
            <w:noWrap/>
            <w:vAlign w:val="center"/>
            <w:hideMark/>
          </w:tcPr>
          <w:p w14:paraId="1DAAB1D0" w14:textId="38A8F9C8" w:rsidR="008C189B" w:rsidRPr="008C189B" w:rsidRDefault="008C189B" w:rsidP="002B3C5A">
            <w:pPr>
              <w:spacing w:after="0" w:line="240" w:lineRule="auto"/>
              <w:jc w:val="center"/>
              <w:rPr>
                <w:rFonts w:eastAsia="Times New Roman" w:cs="Calibri"/>
                <w:color w:val="000000"/>
                <w:kern w:val="0"/>
              </w:rPr>
            </w:pPr>
            <w:r w:rsidRPr="008C189B">
              <w:rPr>
                <w:rFonts w:eastAsia="Times New Roman" w:cs="Calibri"/>
                <w:color w:val="000000"/>
                <w:kern w:val="0"/>
              </w:rPr>
              <w:t>1</w:t>
            </w:r>
            <w:r w:rsidR="003C6800">
              <w:rPr>
                <w:rFonts w:eastAsia="Times New Roman" w:cs="Calibri"/>
                <w:color w:val="000000"/>
                <w:kern w:val="0"/>
              </w:rPr>
              <w:t>2</w:t>
            </w:r>
            <w:r w:rsidRPr="008C189B">
              <w:rPr>
                <w:rFonts w:eastAsia="Times New Roman" w:cs="Calibri"/>
                <w:color w:val="000000"/>
                <w:kern w:val="0"/>
              </w:rPr>
              <w:t>.25</w:t>
            </w:r>
          </w:p>
        </w:tc>
        <w:tc>
          <w:tcPr>
            <w:tcW w:w="1620" w:type="dxa"/>
            <w:tcBorders>
              <w:top w:val="nil"/>
              <w:left w:val="nil"/>
              <w:bottom w:val="nil"/>
              <w:right w:val="nil"/>
            </w:tcBorders>
            <w:shd w:val="clear" w:color="000000" w:fill="D9D9D9"/>
            <w:noWrap/>
            <w:vAlign w:val="center"/>
            <w:hideMark/>
          </w:tcPr>
          <w:p w14:paraId="3874334F" w14:textId="58B6A0AB" w:rsidR="008C189B" w:rsidRPr="008C189B" w:rsidRDefault="003C6800" w:rsidP="002B3C5A">
            <w:pPr>
              <w:spacing w:after="0" w:line="240" w:lineRule="auto"/>
              <w:jc w:val="center"/>
              <w:rPr>
                <w:rFonts w:eastAsia="Times New Roman" w:cs="Calibri"/>
                <w:color w:val="000000"/>
                <w:kern w:val="0"/>
              </w:rPr>
            </w:pPr>
            <w:r>
              <w:rPr>
                <w:rFonts w:eastAsia="Times New Roman" w:cs="Calibri"/>
                <w:color w:val="000000"/>
                <w:kern w:val="0"/>
              </w:rPr>
              <w:t>10</w:t>
            </w:r>
            <w:r w:rsidR="002B3C5A">
              <w:rPr>
                <w:rFonts w:eastAsia="Times New Roman" w:cs="Calibri"/>
                <w:color w:val="000000"/>
                <w:kern w:val="0"/>
              </w:rPr>
              <w:t xml:space="preserve">.25 – </w:t>
            </w:r>
            <w:r>
              <w:rPr>
                <w:rFonts w:eastAsia="Times New Roman" w:cs="Calibri"/>
                <w:color w:val="000000"/>
                <w:kern w:val="0"/>
              </w:rPr>
              <w:t>13</w:t>
            </w:r>
            <w:r w:rsidR="002B3C5A">
              <w:rPr>
                <w:rFonts w:eastAsia="Times New Roman" w:cs="Calibri"/>
                <w:color w:val="000000"/>
                <w:kern w:val="0"/>
              </w:rPr>
              <w:t>.25</w:t>
            </w:r>
          </w:p>
        </w:tc>
      </w:tr>
      <w:tr w:rsidR="008C189B" w:rsidRPr="008C189B" w14:paraId="58CB6C30" w14:textId="77777777" w:rsidTr="008C189B">
        <w:trPr>
          <w:trHeight w:val="300"/>
        </w:trPr>
        <w:tc>
          <w:tcPr>
            <w:tcW w:w="6080" w:type="dxa"/>
            <w:tcBorders>
              <w:top w:val="nil"/>
              <w:left w:val="nil"/>
              <w:bottom w:val="nil"/>
              <w:right w:val="nil"/>
            </w:tcBorders>
            <w:shd w:val="clear" w:color="auto" w:fill="auto"/>
            <w:noWrap/>
            <w:vAlign w:val="center"/>
            <w:hideMark/>
          </w:tcPr>
          <w:p w14:paraId="43B2A21F" w14:textId="77777777" w:rsidR="008C189B" w:rsidRPr="008C189B" w:rsidRDefault="008C189B" w:rsidP="008C189B">
            <w:pPr>
              <w:spacing w:after="0" w:line="240" w:lineRule="auto"/>
              <w:rPr>
                <w:rFonts w:eastAsia="Times New Roman" w:cs="Calibri"/>
                <w:color w:val="000000"/>
                <w:kern w:val="0"/>
              </w:rPr>
            </w:pPr>
            <w:r w:rsidRPr="008C189B">
              <w:rPr>
                <w:rFonts w:eastAsia="Times New Roman" w:cs="Calibri"/>
                <w:color w:val="000000"/>
                <w:kern w:val="0"/>
              </w:rPr>
              <w:t>Vary Probability of Weather Years</w:t>
            </w:r>
          </w:p>
        </w:tc>
        <w:tc>
          <w:tcPr>
            <w:tcW w:w="1660" w:type="dxa"/>
            <w:tcBorders>
              <w:top w:val="nil"/>
              <w:left w:val="nil"/>
              <w:bottom w:val="nil"/>
              <w:right w:val="nil"/>
            </w:tcBorders>
            <w:shd w:val="clear" w:color="auto" w:fill="auto"/>
            <w:noWrap/>
            <w:vAlign w:val="center"/>
            <w:hideMark/>
          </w:tcPr>
          <w:p w14:paraId="37024B77" w14:textId="713EAF16" w:rsidR="008C189B" w:rsidRPr="008C189B" w:rsidRDefault="002B3C5A" w:rsidP="002B3C5A">
            <w:pPr>
              <w:spacing w:after="0" w:line="240" w:lineRule="auto"/>
              <w:jc w:val="center"/>
              <w:rPr>
                <w:rFonts w:eastAsia="Times New Roman" w:cs="Calibri"/>
                <w:color w:val="000000"/>
                <w:kern w:val="0"/>
              </w:rPr>
            </w:pPr>
            <w:r>
              <w:rPr>
                <w:rFonts w:eastAsia="Times New Roman" w:cs="Calibri"/>
                <w:color w:val="000000"/>
                <w:kern w:val="0"/>
              </w:rPr>
              <w:t>1</w:t>
            </w:r>
            <w:r w:rsidR="003C6800">
              <w:rPr>
                <w:rFonts w:eastAsia="Times New Roman" w:cs="Calibri"/>
                <w:color w:val="000000"/>
                <w:kern w:val="0"/>
              </w:rPr>
              <w:t>3</w:t>
            </w:r>
            <w:r>
              <w:rPr>
                <w:rFonts w:eastAsia="Times New Roman" w:cs="Calibri"/>
                <w:color w:val="000000"/>
                <w:kern w:val="0"/>
              </w:rPr>
              <w:t>.25</w:t>
            </w:r>
          </w:p>
        </w:tc>
        <w:tc>
          <w:tcPr>
            <w:tcW w:w="1620" w:type="dxa"/>
            <w:tcBorders>
              <w:top w:val="nil"/>
              <w:left w:val="nil"/>
              <w:bottom w:val="nil"/>
              <w:right w:val="nil"/>
            </w:tcBorders>
            <w:shd w:val="clear" w:color="auto" w:fill="auto"/>
            <w:noWrap/>
            <w:vAlign w:val="center"/>
            <w:hideMark/>
          </w:tcPr>
          <w:p w14:paraId="6E15E3A7" w14:textId="53F8535A" w:rsidR="008C189B" w:rsidRPr="008C189B" w:rsidRDefault="002B3C5A" w:rsidP="002B3C5A">
            <w:pPr>
              <w:spacing w:after="0" w:line="240" w:lineRule="auto"/>
              <w:jc w:val="center"/>
              <w:rPr>
                <w:rFonts w:eastAsia="Times New Roman" w:cs="Calibri"/>
                <w:color w:val="000000"/>
                <w:kern w:val="0"/>
              </w:rPr>
            </w:pPr>
            <w:r>
              <w:rPr>
                <w:rFonts w:eastAsia="Times New Roman" w:cs="Calibri"/>
                <w:color w:val="000000"/>
                <w:kern w:val="0"/>
              </w:rPr>
              <w:t>1</w:t>
            </w:r>
            <w:r w:rsidR="003C6800">
              <w:rPr>
                <w:rFonts w:eastAsia="Times New Roman" w:cs="Calibri"/>
                <w:color w:val="000000"/>
                <w:kern w:val="0"/>
              </w:rPr>
              <w:t>2</w:t>
            </w:r>
            <w:r>
              <w:rPr>
                <w:rFonts w:eastAsia="Times New Roman" w:cs="Calibri"/>
                <w:color w:val="000000"/>
                <w:kern w:val="0"/>
              </w:rPr>
              <w:t>.</w:t>
            </w:r>
            <w:r w:rsidR="00A106B3">
              <w:rPr>
                <w:rFonts w:eastAsia="Times New Roman" w:cs="Calibri"/>
                <w:color w:val="000000"/>
                <w:kern w:val="0"/>
              </w:rPr>
              <w:t>0</w:t>
            </w:r>
            <w:r w:rsidR="00C668B0">
              <w:rPr>
                <w:rFonts w:eastAsia="Times New Roman" w:cs="Calibri"/>
                <w:color w:val="000000"/>
                <w:kern w:val="0"/>
              </w:rPr>
              <w:t>0</w:t>
            </w:r>
          </w:p>
        </w:tc>
      </w:tr>
      <w:tr w:rsidR="008C189B" w:rsidRPr="008C189B" w14:paraId="78808FE0" w14:textId="77777777" w:rsidTr="008C189B">
        <w:trPr>
          <w:trHeight w:val="300"/>
        </w:trPr>
        <w:tc>
          <w:tcPr>
            <w:tcW w:w="6080" w:type="dxa"/>
            <w:tcBorders>
              <w:top w:val="nil"/>
              <w:left w:val="nil"/>
              <w:bottom w:val="nil"/>
              <w:right w:val="nil"/>
            </w:tcBorders>
            <w:shd w:val="clear" w:color="000000" w:fill="D9D9D9"/>
            <w:noWrap/>
            <w:vAlign w:val="center"/>
            <w:hideMark/>
          </w:tcPr>
          <w:p w14:paraId="0F024448" w14:textId="77777777" w:rsidR="008C189B" w:rsidRPr="008C189B" w:rsidRDefault="008C189B" w:rsidP="008C189B">
            <w:pPr>
              <w:spacing w:after="0" w:line="240" w:lineRule="auto"/>
              <w:rPr>
                <w:rFonts w:eastAsia="Times New Roman" w:cs="Calibri"/>
                <w:color w:val="000000"/>
                <w:kern w:val="0"/>
              </w:rPr>
            </w:pPr>
            <w:r w:rsidRPr="008C189B">
              <w:rPr>
                <w:rFonts w:eastAsia="Times New Roman" w:cs="Calibri"/>
                <w:color w:val="000000"/>
                <w:kern w:val="0"/>
              </w:rPr>
              <w:t>Vary Forward Period and Load Forecast Uncertainty</w:t>
            </w:r>
          </w:p>
        </w:tc>
        <w:tc>
          <w:tcPr>
            <w:tcW w:w="1660" w:type="dxa"/>
            <w:tcBorders>
              <w:top w:val="nil"/>
              <w:left w:val="nil"/>
              <w:bottom w:val="nil"/>
              <w:right w:val="nil"/>
            </w:tcBorders>
            <w:shd w:val="clear" w:color="000000" w:fill="D9D9D9"/>
            <w:noWrap/>
            <w:vAlign w:val="center"/>
            <w:hideMark/>
          </w:tcPr>
          <w:p w14:paraId="650245A3" w14:textId="5B4F3897" w:rsidR="008C189B" w:rsidRPr="008C189B" w:rsidRDefault="002B3C5A" w:rsidP="002B3C5A">
            <w:pPr>
              <w:spacing w:after="0" w:line="240" w:lineRule="auto"/>
              <w:jc w:val="center"/>
              <w:rPr>
                <w:rFonts w:eastAsia="Times New Roman" w:cs="Calibri"/>
                <w:color w:val="000000"/>
                <w:kern w:val="0"/>
              </w:rPr>
            </w:pPr>
            <w:r>
              <w:rPr>
                <w:rFonts w:eastAsia="Times New Roman" w:cs="Calibri"/>
                <w:color w:val="000000"/>
                <w:kern w:val="0"/>
              </w:rPr>
              <w:t>1</w:t>
            </w:r>
            <w:r w:rsidR="003C6800">
              <w:rPr>
                <w:rFonts w:eastAsia="Times New Roman" w:cs="Calibri"/>
                <w:color w:val="000000"/>
                <w:kern w:val="0"/>
              </w:rPr>
              <w:t>1</w:t>
            </w:r>
            <w:r>
              <w:rPr>
                <w:rFonts w:eastAsia="Times New Roman" w:cs="Calibri"/>
                <w:color w:val="000000"/>
                <w:kern w:val="0"/>
              </w:rPr>
              <w:t>.25 – 1</w:t>
            </w:r>
            <w:r w:rsidR="003C6800">
              <w:rPr>
                <w:rFonts w:eastAsia="Times New Roman" w:cs="Calibri"/>
                <w:color w:val="000000"/>
                <w:kern w:val="0"/>
              </w:rPr>
              <w:t>2</w:t>
            </w:r>
            <w:r>
              <w:rPr>
                <w:rFonts w:eastAsia="Times New Roman" w:cs="Calibri"/>
                <w:color w:val="000000"/>
                <w:kern w:val="0"/>
              </w:rPr>
              <w:t>.00</w:t>
            </w:r>
          </w:p>
        </w:tc>
        <w:tc>
          <w:tcPr>
            <w:tcW w:w="1620" w:type="dxa"/>
            <w:tcBorders>
              <w:top w:val="nil"/>
              <w:left w:val="nil"/>
              <w:bottom w:val="nil"/>
              <w:right w:val="nil"/>
            </w:tcBorders>
            <w:shd w:val="clear" w:color="000000" w:fill="D9D9D9"/>
            <w:noWrap/>
            <w:vAlign w:val="center"/>
            <w:hideMark/>
          </w:tcPr>
          <w:p w14:paraId="233662FF" w14:textId="31B19CD4" w:rsidR="008C189B" w:rsidRPr="008C189B" w:rsidRDefault="003C6800" w:rsidP="002B3C5A">
            <w:pPr>
              <w:spacing w:after="0" w:line="240" w:lineRule="auto"/>
              <w:jc w:val="center"/>
              <w:rPr>
                <w:rFonts w:eastAsia="Times New Roman" w:cs="Calibri"/>
                <w:color w:val="000000"/>
                <w:kern w:val="0"/>
              </w:rPr>
            </w:pPr>
            <w:r>
              <w:rPr>
                <w:rFonts w:eastAsia="Times New Roman" w:cs="Calibri"/>
                <w:color w:val="000000"/>
                <w:kern w:val="0"/>
              </w:rPr>
              <w:t>10</w:t>
            </w:r>
            <w:r w:rsidR="008C189B" w:rsidRPr="008C189B">
              <w:rPr>
                <w:rFonts w:eastAsia="Times New Roman" w:cs="Calibri"/>
                <w:color w:val="000000"/>
                <w:kern w:val="0"/>
              </w:rPr>
              <w:t xml:space="preserve">.00 </w:t>
            </w:r>
            <w:r w:rsidR="002B3C5A">
              <w:rPr>
                <w:rFonts w:eastAsia="Times New Roman" w:cs="Calibri"/>
                <w:color w:val="000000"/>
                <w:kern w:val="0"/>
              </w:rPr>
              <w:t xml:space="preserve">– </w:t>
            </w:r>
            <w:r>
              <w:rPr>
                <w:rFonts w:eastAsia="Times New Roman" w:cs="Calibri"/>
                <w:color w:val="000000"/>
                <w:kern w:val="0"/>
              </w:rPr>
              <w:t>10</w:t>
            </w:r>
            <w:r w:rsidR="002B3C5A">
              <w:rPr>
                <w:rFonts w:eastAsia="Times New Roman" w:cs="Calibri"/>
                <w:color w:val="000000"/>
                <w:kern w:val="0"/>
              </w:rPr>
              <w:t>.75</w:t>
            </w:r>
          </w:p>
        </w:tc>
      </w:tr>
      <w:tr w:rsidR="008C189B" w:rsidRPr="008C189B" w14:paraId="7F753410" w14:textId="77777777" w:rsidTr="008C189B">
        <w:trPr>
          <w:trHeight w:val="300"/>
        </w:trPr>
        <w:tc>
          <w:tcPr>
            <w:tcW w:w="6080" w:type="dxa"/>
            <w:tcBorders>
              <w:top w:val="nil"/>
              <w:left w:val="nil"/>
              <w:bottom w:val="nil"/>
              <w:right w:val="nil"/>
            </w:tcBorders>
            <w:shd w:val="clear" w:color="auto" w:fill="auto"/>
            <w:noWrap/>
            <w:vAlign w:val="center"/>
            <w:hideMark/>
          </w:tcPr>
          <w:p w14:paraId="771C69E6" w14:textId="1F2C4B20" w:rsidR="008C189B" w:rsidRPr="008C189B" w:rsidRDefault="008C189B" w:rsidP="008C189B">
            <w:pPr>
              <w:spacing w:after="0" w:line="240" w:lineRule="auto"/>
              <w:rPr>
                <w:rFonts w:eastAsia="Times New Roman" w:cs="Calibri"/>
                <w:b/>
                <w:bCs/>
                <w:color w:val="000000"/>
                <w:kern w:val="0"/>
              </w:rPr>
            </w:pPr>
            <w:r w:rsidRPr="008C189B">
              <w:rPr>
                <w:rFonts w:eastAsia="Times New Roman" w:cs="Calibri"/>
                <w:b/>
                <w:bCs/>
                <w:color w:val="000000"/>
                <w:kern w:val="0"/>
              </w:rPr>
              <w:t xml:space="preserve">High Renewables Scenario </w:t>
            </w:r>
          </w:p>
        </w:tc>
        <w:tc>
          <w:tcPr>
            <w:tcW w:w="1660" w:type="dxa"/>
            <w:tcBorders>
              <w:top w:val="nil"/>
              <w:left w:val="nil"/>
              <w:bottom w:val="nil"/>
              <w:right w:val="nil"/>
            </w:tcBorders>
            <w:shd w:val="clear" w:color="auto" w:fill="auto"/>
            <w:noWrap/>
            <w:vAlign w:val="center"/>
            <w:hideMark/>
          </w:tcPr>
          <w:p w14:paraId="1817A18E" w14:textId="014ACFDD" w:rsidR="008C189B" w:rsidRPr="008C189B" w:rsidRDefault="003C6800" w:rsidP="002B3C5A">
            <w:pPr>
              <w:spacing w:after="0" w:line="240" w:lineRule="auto"/>
              <w:jc w:val="center"/>
              <w:rPr>
                <w:rFonts w:eastAsia="Times New Roman" w:cs="Calibri"/>
                <w:b/>
                <w:bCs/>
                <w:color w:val="000000"/>
                <w:kern w:val="0"/>
              </w:rPr>
            </w:pPr>
            <w:r>
              <w:rPr>
                <w:rFonts w:eastAsia="Times New Roman" w:cs="Calibri"/>
                <w:b/>
                <w:bCs/>
                <w:color w:val="000000"/>
                <w:kern w:val="0"/>
              </w:rPr>
              <w:t>10</w:t>
            </w:r>
            <w:r w:rsidR="008C189B" w:rsidRPr="008C189B">
              <w:rPr>
                <w:rFonts w:eastAsia="Times New Roman" w:cs="Calibri"/>
                <w:b/>
                <w:bCs/>
                <w:color w:val="000000"/>
                <w:kern w:val="0"/>
              </w:rPr>
              <w:t>.25</w:t>
            </w:r>
          </w:p>
        </w:tc>
        <w:tc>
          <w:tcPr>
            <w:tcW w:w="1620" w:type="dxa"/>
            <w:tcBorders>
              <w:top w:val="nil"/>
              <w:left w:val="nil"/>
              <w:bottom w:val="nil"/>
              <w:right w:val="nil"/>
            </w:tcBorders>
            <w:shd w:val="clear" w:color="auto" w:fill="auto"/>
            <w:noWrap/>
            <w:vAlign w:val="center"/>
            <w:hideMark/>
          </w:tcPr>
          <w:p w14:paraId="5D9D87F2" w14:textId="2E14FE78" w:rsidR="008C189B" w:rsidRPr="008C189B" w:rsidRDefault="003C6800" w:rsidP="002B3C5A">
            <w:pPr>
              <w:spacing w:after="0" w:line="240" w:lineRule="auto"/>
              <w:jc w:val="center"/>
              <w:rPr>
                <w:rFonts w:eastAsia="Times New Roman" w:cs="Calibri"/>
                <w:b/>
                <w:bCs/>
                <w:color w:val="000000"/>
                <w:kern w:val="0"/>
              </w:rPr>
            </w:pPr>
            <w:r>
              <w:rPr>
                <w:rFonts w:eastAsia="Times New Roman" w:cs="Calibri"/>
                <w:b/>
                <w:bCs/>
                <w:color w:val="000000"/>
                <w:kern w:val="0"/>
              </w:rPr>
              <w:t>9</w:t>
            </w:r>
            <w:r w:rsidR="008C189B" w:rsidRPr="008C189B">
              <w:rPr>
                <w:rFonts w:eastAsia="Times New Roman" w:cs="Calibri"/>
                <w:b/>
                <w:bCs/>
                <w:color w:val="000000"/>
                <w:kern w:val="0"/>
              </w:rPr>
              <w:t>.00</w:t>
            </w:r>
          </w:p>
        </w:tc>
      </w:tr>
      <w:tr w:rsidR="008C189B" w:rsidRPr="008C189B" w14:paraId="5861D9A2" w14:textId="77777777" w:rsidTr="00A106B3">
        <w:trPr>
          <w:trHeight w:val="315"/>
        </w:trPr>
        <w:tc>
          <w:tcPr>
            <w:tcW w:w="6080" w:type="dxa"/>
            <w:tcBorders>
              <w:top w:val="nil"/>
              <w:left w:val="nil"/>
              <w:bottom w:val="single" w:sz="8" w:space="0" w:color="auto"/>
              <w:right w:val="nil"/>
            </w:tcBorders>
            <w:shd w:val="clear" w:color="auto" w:fill="D9D9D9" w:themeFill="background1" w:themeFillShade="D9"/>
            <w:noWrap/>
            <w:vAlign w:val="center"/>
            <w:hideMark/>
          </w:tcPr>
          <w:p w14:paraId="528C32D4" w14:textId="4C288DB8" w:rsidR="008C189B" w:rsidRPr="008C189B" w:rsidRDefault="00CB3E29" w:rsidP="008C189B">
            <w:pPr>
              <w:spacing w:after="0" w:line="240" w:lineRule="auto"/>
              <w:rPr>
                <w:rFonts w:eastAsia="Times New Roman" w:cs="Calibri"/>
                <w:b/>
                <w:bCs/>
                <w:color w:val="000000"/>
                <w:kern w:val="0"/>
              </w:rPr>
            </w:pPr>
            <w:r>
              <w:rPr>
                <w:rFonts w:eastAsia="Times New Roman" w:cs="Calibri"/>
                <w:b/>
                <w:bCs/>
                <w:color w:val="000000"/>
                <w:kern w:val="0"/>
              </w:rPr>
              <w:t xml:space="preserve">Lower </w:t>
            </w:r>
            <w:r w:rsidR="008C189B" w:rsidRPr="008C189B">
              <w:rPr>
                <w:rFonts w:eastAsia="Times New Roman" w:cs="Calibri"/>
                <w:b/>
                <w:bCs/>
                <w:color w:val="000000"/>
                <w:kern w:val="0"/>
              </w:rPr>
              <w:t>EFOR</w:t>
            </w:r>
          </w:p>
        </w:tc>
        <w:tc>
          <w:tcPr>
            <w:tcW w:w="1660" w:type="dxa"/>
            <w:tcBorders>
              <w:top w:val="nil"/>
              <w:left w:val="nil"/>
              <w:bottom w:val="single" w:sz="8" w:space="0" w:color="auto"/>
              <w:right w:val="nil"/>
            </w:tcBorders>
            <w:shd w:val="clear" w:color="auto" w:fill="D9D9D9" w:themeFill="background1" w:themeFillShade="D9"/>
            <w:noWrap/>
            <w:vAlign w:val="center"/>
            <w:hideMark/>
          </w:tcPr>
          <w:p w14:paraId="6786E1A7" w14:textId="76730960" w:rsidR="008C189B" w:rsidRPr="008C189B" w:rsidRDefault="008C189B" w:rsidP="002B3C5A">
            <w:pPr>
              <w:spacing w:after="0" w:line="240" w:lineRule="auto"/>
              <w:jc w:val="center"/>
              <w:rPr>
                <w:rFonts w:eastAsia="Times New Roman" w:cs="Calibri"/>
                <w:b/>
                <w:bCs/>
                <w:color w:val="000000"/>
                <w:kern w:val="0"/>
              </w:rPr>
            </w:pPr>
            <w:r w:rsidRPr="008C189B">
              <w:rPr>
                <w:rFonts w:eastAsia="Times New Roman" w:cs="Calibri"/>
                <w:b/>
                <w:bCs/>
                <w:color w:val="000000"/>
                <w:kern w:val="0"/>
              </w:rPr>
              <w:t>1</w:t>
            </w:r>
            <w:r w:rsidR="003C6800">
              <w:rPr>
                <w:rFonts w:eastAsia="Times New Roman" w:cs="Calibri"/>
                <w:b/>
                <w:bCs/>
                <w:color w:val="000000"/>
                <w:kern w:val="0"/>
              </w:rPr>
              <w:t>1</w:t>
            </w:r>
            <w:r w:rsidRPr="008C189B">
              <w:rPr>
                <w:rFonts w:eastAsia="Times New Roman" w:cs="Calibri"/>
                <w:b/>
                <w:bCs/>
                <w:color w:val="000000"/>
                <w:kern w:val="0"/>
              </w:rPr>
              <w:t>.25</w:t>
            </w:r>
          </w:p>
        </w:tc>
        <w:tc>
          <w:tcPr>
            <w:tcW w:w="1620" w:type="dxa"/>
            <w:tcBorders>
              <w:top w:val="nil"/>
              <w:left w:val="nil"/>
              <w:bottom w:val="single" w:sz="8" w:space="0" w:color="auto"/>
              <w:right w:val="nil"/>
            </w:tcBorders>
            <w:shd w:val="clear" w:color="auto" w:fill="D9D9D9" w:themeFill="background1" w:themeFillShade="D9"/>
            <w:noWrap/>
            <w:vAlign w:val="center"/>
            <w:hideMark/>
          </w:tcPr>
          <w:p w14:paraId="3C8BC06D" w14:textId="363B8DAB" w:rsidR="008C189B" w:rsidRPr="008C189B" w:rsidRDefault="003C6800" w:rsidP="002B3C5A">
            <w:pPr>
              <w:spacing w:after="0" w:line="240" w:lineRule="auto"/>
              <w:jc w:val="center"/>
              <w:rPr>
                <w:rFonts w:eastAsia="Times New Roman" w:cs="Calibri"/>
                <w:b/>
                <w:bCs/>
                <w:color w:val="000000"/>
                <w:kern w:val="0"/>
              </w:rPr>
            </w:pPr>
            <w:r>
              <w:rPr>
                <w:rFonts w:eastAsia="Times New Roman" w:cs="Calibri"/>
                <w:b/>
                <w:bCs/>
                <w:color w:val="000000"/>
                <w:kern w:val="0"/>
              </w:rPr>
              <w:t>10</w:t>
            </w:r>
            <w:r w:rsidR="008C189B" w:rsidRPr="008C189B">
              <w:rPr>
                <w:rFonts w:eastAsia="Times New Roman" w:cs="Calibri"/>
                <w:b/>
                <w:bCs/>
                <w:color w:val="000000"/>
                <w:kern w:val="0"/>
              </w:rPr>
              <w:t>.00</w:t>
            </w:r>
          </w:p>
        </w:tc>
      </w:tr>
    </w:tbl>
    <w:p w14:paraId="4BCFAC1F" w14:textId="619B6925" w:rsidR="00AE576C" w:rsidRPr="00F92758" w:rsidRDefault="00AE576C" w:rsidP="00AE576C">
      <w:pPr>
        <w:pStyle w:val="BGNotesFiguresTables"/>
        <w:keepNext/>
        <w:keepLines/>
        <w:tabs>
          <w:tab w:val="left" w:pos="1350"/>
          <w:tab w:val="left" w:pos="1620"/>
        </w:tabs>
        <w:spacing w:before="0"/>
        <w:ind w:left="810" w:right="270" w:hanging="180"/>
        <w:rPr>
          <w:rFonts w:cs="Calibri"/>
          <w:i/>
          <w:color w:val="auto"/>
        </w:rPr>
      </w:pPr>
      <w:r w:rsidRPr="00F92758">
        <w:rPr>
          <w:rFonts w:cs="Calibri"/>
          <w:i/>
          <w:color w:val="auto"/>
        </w:rPr>
        <w:t>Notes:</w:t>
      </w:r>
    </w:p>
    <w:p w14:paraId="790B0E35" w14:textId="77777777" w:rsidR="00AE576C" w:rsidRPr="00F92758" w:rsidRDefault="00AE576C" w:rsidP="00AE576C">
      <w:pPr>
        <w:pStyle w:val="BGNotesFiguresTables"/>
        <w:keepLines/>
        <w:tabs>
          <w:tab w:val="left" w:pos="1350"/>
          <w:tab w:val="left" w:pos="1620"/>
        </w:tabs>
        <w:spacing w:before="0"/>
        <w:ind w:left="810" w:right="270" w:hanging="187"/>
        <w:rPr>
          <w:rFonts w:cs="Calibri"/>
          <w:color w:val="auto"/>
        </w:rPr>
      </w:pPr>
      <w:r w:rsidRPr="00F92758">
        <w:rPr>
          <w:rFonts w:cs="Calibri"/>
          <w:color w:val="auto"/>
        </w:rPr>
        <w:tab/>
        <w:t xml:space="preserve">Table reflects all scenarios and sensitivities analyzed, as described in Section </w:t>
      </w:r>
      <w:r w:rsidRPr="00F92758">
        <w:rPr>
          <w:rFonts w:cs="Calibri"/>
          <w:color w:val="auto"/>
        </w:rPr>
        <w:fldChar w:fldCharType="begin"/>
      </w:r>
      <w:r w:rsidRPr="00F92758">
        <w:rPr>
          <w:rFonts w:cs="Calibri"/>
          <w:color w:val="auto"/>
        </w:rPr>
        <w:instrText xml:space="preserve"> REF _Ref525849782 \w \h  \* MERGEFORMAT </w:instrText>
      </w:r>
      <w:r w:rsidRPr="00F92758">
        <w:rPr>
          <w:rFonts w:cs="Calibri"/>
          <w:color w:val="auto"/>
        </w:rPr>
      </w:r>
      <w:r w:rsidRPr="00F92758">
        <w:rPr>
          <w:rFonts w:cs="Calibri"/>
          <w:color w:val="auto"/>
        </w:rPr>
        <w:fldChar w:fldCharType="separate"/>
      </w:r>
      <w:r w:rsidRPr="00F92758">
        <w:rPr>
          <w:rFonts w:cs="Calibri"/>
          <w:color w:val="auto"/>
        </w:rPr>
        <w:t>II.D</w:t>
      </w:r>
      <w:r w:rsidRPr="00F92758">
        <w:rPr>
          <w:rFonts w:cs="Calibri"/>
          <w:color w:val="auto"/>
        </w:rPr>
        <w:fldChar w:fldCharType="end"/>
      </w:r>
      <w:r w:rsidRPr="00F92758">
        <w:rPr>
          <w:rFonts w:cs="Calibri"/>
          <w:color w:val="auto"/>
        </w:rPr>
        <w:t>; Current practice has VOLL set to the max of the ORDC but the sensitivity which varies to VOLL does not change the ORDC curve and therefore does not affect the MERM.</w:t>
      </w:r>
    </w:p>
    <w:p w14:paraId="232C3D3F" w14:textId="77777777" w:rsidR="00D1756E" w:rsidRPr="00F92758" w:rsidRDefault="00D1756E" w:rsidP="00AE576C">
      <w:pPr>
        <w:pStyle w:val="BGNormal125"/>
        <w:rPr>
          <w:rFonts w:ascii="Calibri" w:hAnsi="Calibri" w:cs="Calibri"/>
          <w:color w:val="auto"/>
        </w:rPr>
      </w:pPr>
    </w:p>
    <w:p w14:paraId="30D1D8B5" w14:textId="16E8CE72" w:rsidR="00AE576C" w:rsidRPr="00EC16E5" w:rsidRDefault="00AE576C" w:rsidP="00AE576C">
      <w:pPr>
        <w:pStyle w:val="BGNormal125"/>
        <w:rPr>
          <w:rFonts w:ascii="Calibri" w:hAnsi="Calibri" w:cs="Calibri"/>
          <w:color w:val="C00000"/>
        </w:rPr>
      </w:pPr>
      <w:r w:rsidRPr="004B58AD">
        <w:rPr>
          <w:rFonts w:ascii="Calibri" w:hAnsi="Calibri" w:cs="Calibri"/>
          <w:b/>
          <w:color w:val="00467F" w:themeColor="accent6"/>
        </w:rPr>
        <w:t>These estimates must not be interpreted as deterministic, since actual market conditions will fluctuate from year-to-year</w:t>
      </w:r>
      <w:r w:rsidRPr="00EC16E5">
        <w:rPr>
          <w:rFonts w:ascii="Calibri" w:hAnsi="Calibri" w:cs="Calibri"/>
          <w:b/>
          <w:color w:val="C00000"/>
        </w:rPr>
        <w:t>.</w:t>
      </w:r>
      <w:r w:rsidRPr="00EC16E5">
        <w:rPr>
          <w:rFonts w:ascii="Calibri" w:hAnsi="Calibri" w:cs="Calibri"/>
          <w:color w:val="C00000"/>
        </w:rPr>
        <w:t xml:space="preserve">  </w:t>
      </w:r>
      <w:r w:rsidRPr="00F92758">
        <w:rPr>
          <w:rFonts w:ascii="Calibri" w:hAnsi="Calibri" w:cs="Calibri"/>
          <w:color w:val="auto"/>
        </w:rPr>
        <w:t>In reality, the reserve margin will vary as plants enter and exit.  Moreover, even at a given reserve margin, realized reliability and price outcomes can deviate far from the expected value, primarily due to weather and variations in wind generation.  For example, with a projected market equilibrium reserve margin of 1</w:t>
      </w:r>
      <w:r w:rsidR="003C6800">
        <w:rPr>
          <w:rFonts w:ascii="Calibri" w:hAnsi="Calibri" w:cs="Calibri"/>
          <w:color w:val="auto"/>
        </w:rPr>
        <w:t>2</w:t>
      </w:r>
      <w:r w:rsidR="00976138">
        <w:rPr>
          <w:rFonts w:ascii="Calibri" w:hAnsi="Calibri" w:cs="Calibri"/>
          <w:color w:val="auto"/>
        </w:rPr>
        <w:t>.</w:t>
      </w:r>
      <w:r w:rsidRPr="00F92758">
        <w:rPr>
          <w:rFonts w:ascii="Calibri" w:hAnsi="Calibri" w:cs="Calibri"/>
          <w:color w:val="auto"/>
        </w:rPr>
        <w:t xml:space="preserve">25%, we estimate that in the 90th percentile outcome—representing relatively hot weather and low generation availability—energy prices would </w:t>
      </w:r>
      <w:r w:rsidR="000257E7">
        <w:rPr>
          <w:rFonts w:ascii="Calibri" w:hAnsi="Calibri" w:cs="Calibri"/>
          <w:color w:val="auto"/>
        </w:rPr>
        <w:t xml:space="preserve">more than </w:t>
      </w:r>
      <w:r w:rsidRPr="00F92758">
        <w:rPr>
          <w:rFonts w:ascii="Calibri" w:hAnsi="Calibri" w:cs="Calibri"/>
          <w:color w:val="auto"/>
        </w:rPr>
        <w:t>double, marginal units could have net energy revenues reaching $</w:t>
      </w:r>
      <w:r w:rsidR="00D137C9">
        <w:rPr>
          <w:rFonts w:ascii="Calibri" w:hAnsi="Calibri" w:cs="Calibri"/>
          <w:color w:val="auto"/>
        </w:rPr>
        <w:t>246</w:t>
      </w:r>
      <w:r w:rsidRPr="00F92758">
        <w:rPr>
          <w:rFonts w:ascii="Calibri" w:hAnsi="Calibri" w:cs="Calibri"/>
          <w:color w:val="auto"/>
        </w:rPr>
        <w:t>/kW-</w:t>
      </w:r>
      <w:r w:rsidRPr="000257E7">
        <w:rPr>
          <w:rFonts w:ascii="Calibri" w:hAnsi="Calibri" w:cs="Calibri"/>
          <w:color w:val="auto"/>
        </w:rPr>
        <w:t>year, with 1.2 load-shed events per year (compared to a mean of 0.5 across all conditions modeled).</w:t>
      </w:r>
    </w:p>
    <w:p w14:paraId="53586F93" w14:textId="77777777" w:rsidR="00AE576C" w:rsidRPr="009D5510" w:rsidRDefault="00AE576C" w:rsidP="00AE576C">
      <w:pPr>
        <w:rPr>
          <w:rFonts w:eastAsiaTheme="majorEastAsia" w:cs="Calibri"/>
          <w:b/>
          <w:bCs/>
          <w:color w:val="00467F"/>
          <w:sz w:val="28"/>
          <w:szCs w:val="28"/>
        </w:rPr>
      </w:pPr>
    </w:p>
    <w:p w14:paraId="58921577" w14:textId="77777777" w:rsidR="003A1D09" w:rsidRDefault="003A1D09">
      <w:pPr>
        <w:spacing w:after="160" w:line="259" w:lineRule="auto"/>
        <w:rPr>
          <w:rFonts w:ascii="Century Gothic" w:eastAsiaTheme="majorEastAsia" w:hAnsi="Century Gothic" w:cstheme="majorBidi"/>
          <w:b/>
          <w:caps/>
          <w:color w:val="FFFFFF" w:themeColor="background1"/>
          <w:sz w:val="28"/>
          <w:szCs w:val="28"/>
        </w:rPr>
      </w:pPr>
      <w:bookmarkStart w:id="2" w:name="_Ref526241263"/>
      <w:bookmarkStart w:id="3" w:name="_Toc526279093"/>
      <w:bookmarkStart w:id="4" w:name="_Toc526437249"/>
      <w:bookmarkStart w:id="5" w:name="_Toc526439893"/>
      <w:bookmarkStart w:id="6" w:name="_Toc526440003"/>
      <w:bookmarkStart w:id="7" w:name="_Toc532834280"/>
      <w:bookmarkStart w:id="8" w:name="_Toc57193551"/>
      <w:r>
        <w:rPr>
          <w:sz w:val="28"/>
          <w:szCs w:val="28"/>
        </w:rPr>
        <w:br w:type="page"/>
      </w:r>
    </w:p>
    <w:p w14:paraId="63614B7E" w14:textId="5D531D26" w:rsidR="004B58AD" w:rsidRPr="00526044" w:rsidRDefault="004B58AD" w:rsidP="00FA0DFD">
      <w:pPr>
        <w:pStyle w:val="Heading1"/>
        <w:numPr>
          <w:ilvl w:val="0"/>
          <w:numId w:val="10"/>
        </w:numPr>
        <w:rPr>
          <w:sz w:val="28"/>
          <w:szCs w:val="28"/>
        </w:rPr>
      </w:pPr>
      <w:r w:rsidRPr="00526044">
        <w:rPr>
          <w:sz w:val="28"/>
          <w:szCs w:val="28"/>
        </w:rPr>
        <w:t>Background and Context</w:t>
      </w:r>
      <w:bookmarkEnd w:id="2"/>
      <w:bookmarkEnd w:id="3"/>
      <w:bookmarkEnd w:id="4"/>
      <w:bookmarkEnd w:id="5"/>
      <w:bookmarkEnd w:id="6"/>
      <w:bookmarkEnd w:id="7"/>
      <w:bookmarkEnd w:id="8"/>
    </w:p>
    <w:p w14:paraId="269A05EE" w14:textId="140335C2" w:rsidR="004B58AD" w:rsidRPr="007014FE" w:rsidRDefault="004B58AD" w:rsidP="004B58AD">
      <w:pPr>
        <w:pStyle w:val="BGNormal125"/>
        <w:rPr>
          <w:rFonts w:ascii="Calibri" w:hAnsi="Calibri" w:cs="Calibri"/>
          <w:color w:val="auto"/>
          <w:sz w:val="22"/>
          <w:szCs w:val="22"/>
        </w:rPr>
      </w:pPr>
      <w:r w:rsidRPr="007014FE">
        <w:rPr>
          <w:rFonts w:ascii="Calibri" w:hAnsi="Calibri" w:cs="Calibri"/>
          <w:color w:val="auto"/>
          <w:sz w:val="22"/>
          <w:szCs w:val="22"/>
        </w:rPr>
        <w:t>We have been asked to estimate the market equilibrium reserve margin (MERM) and the economically optimal reserve margin (EORM) for ERCOT’s wholesale electric market.</w:t>
      </w:r>
    </w:p>
    <w:p w14:paraId="7DE2372D" w14:textId="77777777" w:rsidR="004B58AD" w:rsidRPr="007014FE" w:rsidRDefault="004B58AD" w:rsidP="004B58AD">
      <w:pPr>
        <w:pStyle w:val="BGNormal125"/>
        <w:rPr>
          <w:rFonts w:ascii="Calibri" w:hAnsi="Calibri" w:cs="Calibri"/>
          <w:color w:val="auto"/>
          <w:sz w:val="22"/>
          <w:szCs w:val="22"/>
        </w:rPr>
      </w:pPr>
      <w:r w:rsidRPr="007014FE">
        <w:rPr>
          <w:rFonts w:ascii="Calibri" w:hAnsi="Calibri" w:cs="Calibri"/>
          <w:color w:val="auto"/>
          <w:sz w:val="22"/>
          <w:szCs w:val="22"/>
        </w:rPr>
        <w:t>The MERM describes the reserve margin that the market can be expected to support in equilibrium, as investment in new supply resources responds to expected market conditions.  This concept is relevant in ERCOT because, unlike all other electricity systems in North America, ERCOT does not have a reserve margin requirement.  In ERCOT, the reserve margin is ultimately determined by suppliers’ costs and willingness to invest based on market prices, where prices are determined by market fundamentals and by the administratively-determined Operating Reserve Demand Curve (ORDC) during tight market conditions.  This approach creates a supply response to changes in energy market prices toward a “market equilibrium”; low reserve margins cause high energy and ancillary service (A/S) prices and attract investment in new resources, and investment will continue until high reserve margins result in prices too low to support further investment.  The PUCT also wants to know whether the market outcome will be acceptable with respect to economic optimality.  The EORM is the benchmark for establishing the sufficiency of the expected MERM, where the marginal benefits of new supply are just equal to the marginal costs of new supply.</w:t>
      </w:r>
    </w:p>
    <w:p w14:paraId="6A6BB0A2" w14:textId="2D4D1DBB" w:rsidR="004B58AD" w:rsidRDefault="004B58AD" w:rsidP="003A1D09">
      <w:pPr>
        <w:pStyle w:val="BGNormal125"/>
        <w:spacing w:after="240"/>
        <w:rPr>
          <w:rFonts w:ascii="Calibri" w:hAnsi="Calibri" w:cs="Calibri"/>
          <w:color w:val="auto"/>
          <w:sz w:val="22"/>
          <w:szCs w:val="22"/>
        </w:rPr>
      </w:pPr>
      <w:r w:rsidRPr="007014FE">
        <w:rPr>
          <w:rFonts w:ascii="Calibri" w:hAnsi="Calibri" w:cs="Calibri"/>
          <w:color w:val="auto"/>
          <w:sz w:val="22"/>
          <w:szCs w:val="22"/>
        </w:rPr>
        <w:t xml:space="preserve">As the left panel of </w:t>
      </w:r>
      <w:r w:rsidRPr="007014FE">
        <w:rPr>
          <w:rFonts w:ascii="Calibri" w:hAnsi="Calibri" w:cs="Calibri"/>
          <w:color w:val="auto"/>
          <w:sz w:val="22"/>
          <w:szCs w:val="22"/>
        </w:rPr>
        <w:fldChar w:fldCharType="begin"/>
      </w:r>
      <w:r w:rsidRPr="007014FE">
        <w:rPr>
          <w:rFonts w:ascii="Calibri" w:hAnsi="Calibri" w:cs="Calibri"/>
          <w:color w:val="auto"/>
          <w:sz w:val="22"/>
          <w:szCs w:val="22"/>
        </w:rPr>
        <w:instrText xml:space="preserve"> REF _Ref526948567 \h </w:instrText>
      </w:r>
      <w:r w:rsidR="00EC16E5" w:rsidRPr="007014FE">
        <w:rPr>
          <w:rFonts w:ascii="Calibri" w:hAnsi="Calibri" w:cs="Calibri"/>
          <w:color w:val="auto"/>
          <w:sz w:val="22"/>
          <w:szCs w:val="22"/>
        </w:rPr>
        <w:instrText xml:space="preserve"> \* MERGEFORMAT </w:instrText>
      </w:r>
      <w:r w:rsidRPr="007014FE">
        <w:rPr>
          <w:rFonts w:ascii="Calibri" w:hAnsi="Calibri" w:cs="Calibri"/>
          <w:color w:val="auto"/>
          <w:sz w:val="22"/>
          <w:szCs w:val="22"/>
        </w:rPr>
      </w:r>
      <w:r w:rsidRPr="007014FE">
        <w:rPr>
          <w:rFonts w:ascii="Calibri" w:hAnsi="Calibri" w:cs="Calibri"/>
          <w:color w:val="auto"/>
          <w:sz w:val="22"/>
          <w:szCs w:val="22"/>
        </w:rPr>
        <w:fldChar w:fldCharType="separate"/>
      </w:r>
      <w:r w:rsidRPr="007014FE">
        <w:rPr>
          <w:rFonts w:ascii="Calibri" w:hAnsi="Calibri" w:cs="Calibri"/>
          <w:color w:val="auto"/>
          <w:sz w:val="22"/>
          <w:szCs w:val="22"/>
        </w:rPr>
        <w:t xml:space="preserve">Figure </w:t>
      </w:r>
      <w:r w:rsidRPr="007014FE">
        <w:rPr>
          <w:rFonts w:ascii="Calibri" w:hAnsi="Calibri" w:cs="Calibri"/>
          <w:noProof/>
          <w:color w:val="auto"/>
          <w:sz w:val="22"/>
          <w:szCs w:val="22"/>
        </w:rPr>
        <w:t>1</w:t>
      </w:r>
      <w:r w:rsidRPr="007014FE">
        <w:rPr>
          <w:rFonts w:ascii="Calibri" w:hAnsi="Calibri" w:cs="Calibri"/>
          <w:color w:val="auto"/>
          <w:sz w:val="22"/>
          <w:szCs w:val="22"/>
        </w:rPr>
        <w:fldChar w:fldCharType="end"/>
      </w:r>
      <w:r w:rsidRPr="007014FE">
        <w:rPr>
          <w:rFonts w:ascii="Calibri" w:hAnsi="Calibri" w:cs="Calibri"/>
          <w:color w:val="auto"/>
          <w:sz w:val="22"/>
          <w:szCs w:val="22"/>
        </w:rPr>
        <w:t xml:space="preserve"> shows, higher reserve margins are associated with higher generation capital and fixed costs of building more capacity (dark blue line).  The higher costs are offset by a reduction in the frequency and magnitude of costly reliability events, such as load-shed events, other emergency events, and </w:t>
      </w:r>
      <w:r w:rsidRPr="007014FE" w:rsidDel="008B5E11">
        <w:rPr>
          <w:rFonts w:ascii="Calibri" w:hAnsi="Calibri" w:cs="Calibri"/>
          <w:color w:val="auto"/>
          <w:sz w:val="22"/>
          <w:szCs w:val="22"/>
        </w:rPr>
        <w:t>demand</w:t>
      </w:r>
      <w:r w:rsidRPr="007014FE">
        <w:rPr>
          <w:rFonts w:ascii="Calibri" w:hAnsi="Calibri" w:cs="Calibri"/>
          <w:color w:val="auto"/>
          <w:sz w:val="22"/>
          <w:szCs w:val="22"/>
        </w:rPr>
        <w:t>-response curtailments, and the reduced production costs (light blue line).  The tradeoff between increasing capital costs and decreasing reliability-related operating costs results in a U-shaped societal cost curve (red line), with costs minimized at what we refer to as the “economically optimal” reserve margin.</w:t>
      </w:r>
      <w:r w:rsidRPr="007014FE">
        <w:rPr>
          <w:rStyle w:val="FootnoteReference"/>
          <w:rFonts w:ascii="Calibri" w:hAnsi="Calibri" w:cs="Calibri"/>
          <w:color w:val="auto"/>
          <w:sz w:val="22"/>
          <w:szCs w:val="22"/>
        </w:rPr>
        <w:footnoteReference w:id="11"/>
      </w:r>
      <w:r w:rsidRPr="007014FE">
        <w:rPr>
          <w:rFonts w:ascii="Calibri" w:hAnsi="Calibri" w:cs="Calibri"/>
          <w:color w:val="auto"/>
          <w:sz w:val="22"/>
          <w:szCs w:val="22"/>
        </w:rPr>
        <w:t xml:space="preserve">  The right </w:t>
      </w:r>
      <w:r w:rsidR="0098195C">
        <w:rPr>
          <w:rFonts w:ascii="Calibri" w:hAnsi="Calibri" w:cs="Calibri"/>
          <w:color w:val="auto"/>
          <w:sz w:val="22"/>
          <w:szCs w:val="22"/>
        </w:rPr>
        <w:t>chart</w:t>
      </w:r>
      <w:r w:rsidR="0098195C" w:rsidRPr="007014FE">
        <w:rPr>
          <w:rFonts w:ascii="Calibri" w:hAnsi="Calibri" w:cs="Calibri"/>
          <w:color w:val="auto"/>
          <w:sz w:val="22"/>
          <w:szCs w:val="22"/>
        </w:rPr>
        <w:t xml:space="preserve"> </w:t>
      </w:r>
      <w:r w:rsidRPr="007014FE">
        <w:rPr>
          <w:rFonts w:ascii="Calibri" w:hAnsi="Calibri" w:cs="Calibri"/>
          <w:color w:val="auto"/>
          <w:sz w:val="22"/>
          <w:szCs w:val="22"/>
        </w:rPr>
        <w:t xml:space="preserve">of </w:t>
      </w:r>
      <w:r w:rsidRPr="007014FE">
        <w:rPr>
          <w:rFonts w:ascii="Calibri" w:hAnsi="Calibri" w:cs="Calibri"/>
          <w:color w:val="auto"/>
          <w:sz w:val="22"/>
          <w:szCs w:val="22"/>
        </w:rPr>
        <w:fldChar w:fldCharType="begin"/>
      </w:r>
      <w:r w:rsidRPr="007014FE">
        <w:rPr>
          <w:rFonts w:ascii="Calibri" w:hAnsi="Calibri" w:cs="Calibri"/>
          <w:color w:val="auto"/>
          <w:sz w:val="22"/>
          <w:szCs w:val="22"/>
        </w:rPr>
        <w:instrText xml:space="preserve"> REF _Ref526948567 \h </w:instrText>
      </w:r>
      <w:r w:rsidR="00EC16E5" w:rsidRPr="007014FE">
        <w:rPr>
          <w:rFonts w:ascii="Calibri" w:hAnsi="Calibri" w:cs="Calibri"/>
          <w:color w:val="auto"/>
          <w:sz w:val="22"/>
          <w:szCs w:val="22"/>
        </w:rPr>
        <w:instrText xml:space="preserve"> \* MERGEFORMAT </w:instrText>
      </w:r>
      <w:r w:rsidRPr="007014FE">
        <w:rPr>
          <w:rFonts w:ascii="Calibri" w:hAnsi="Calibri" w:cs="Calibri"/>
          <w:color w:val="auto"/>
          <w:sz w:val="22"/>
          <w:szCs w:val="22"/>
        </w:rPr>
      </w:r>
      <w:r w:rsidRPr="007014FE">
        <w:rPr>
          <w:rFonts w:ascii="Calibri" w:hAnsi="Calibri" w:cs="Calibri"/>
          <w:color w:val="auto"/>
          <w:sz w:val="22"/>
          <w:szCs w:val="22"/>
        </w:rPr>
        <w:fldChar w:fldCharType="separate"/>
      </w:r>
      <w:r w:rsidRPr="007014FE">
        <w:rPr>
          <w:rFonts w:ascii="Calibri" w:hAnsi="Calibri" w:cs="Calibri"/>
          <w:color w:val="auto"/>
          <w:sz w:val="22"/>
          <w:szCs w:val="22"/>
        </w:rPr>
        <w:t xml:space="preserve">Figure </w:t>
      </w:r>
      <w:r w:rsidRPr="007014FE">
        <w:rPr>
          <w:rFonts w:ascii="Calibri" w:hAnsi="Calibri" w:cs="Calibri"/>
          <w:noProof/>
          <w:color w:val="auto"/>
          <w:sz w:val="22"/>
          <w:szCs w:val="22"/>
        </w:rPr>
        <w:t>1</w:t>
      </w:r>
      <w:r w:rsidRPr="007014FE">
        <w:rPr>
          <w:rFonts w:ascii="Calibri" w:hAnsi="Calibri" w:cs="Calibri"/>
          <w:color w:val="auto"/>
          <w:sz w:val="22"/>
          <w:szCs w:val="22"/>
        </w:rPr>
        <w:fldChar w:fldCharType="end"/>
      </w:r>
      <w:r w:rsidRPr="007014FE">
        <w:rPr>
          <w:rFonts w:ascii="Calibri" w:hAnsi="Calibri" w:cs="Calibri"/>
          <w:color w:val="auto"/>
          <w:sz w:val="22"/>
          <w:szCs w:val="22"/>
        </w:rPr>
        <w:t xml:space="preserve"> shows how we derive the “market equilibrium” reserve margin.  The marginal cost of capacity is known as the “Cost of New Entry” (CONE), which depends on technology costs and economic conditions such as tax structures and remains stable across reserve margins (dark blue line).  A marginal unit’s </w:t>
      </w:r>
      <w:r w:rsidR="001F3488">
        <w:rPr>
          <w:rFonts w:ascii="Calibri" w:hAnsi="Calibri" w:cs="Calibri"/>
          <w:color w:val="auto"/>
          <w:sz w:val="22"/>
          <w:szCs w:val="22"/>
        </w:rPr>
        <w:t xml:space="preserve">net </w:t>
      </w:r>
      <w:r w:rsidRPr="007014FE">
        <w:rPr>
          <w:rFonts w:ascii="Calibri" w:hAnsi="Calibri" w:cs="Calibri"/>
          <w:color w:val="auto"/>
          <w:sz w:val="22"/>
          <w:szCs w:val="22"/>
        </w:rPr>
        <w:t xml:space="preserve">revenues from energy markets and ancillary services (light blue line) quickly decrease with less scarcity pricing at higher reserve margins.  The intersection point of a marginal unit’s </w:t>
      </w:r>
      <w:r w:rsidR="001F3488">
        <w:rPr>
          <w:rFonts w:ascii="Calibri" w:hAnsi="Calibri" w:cs="Calibri"/>
          <w:color w:val="auto"/>
          <w:sz w:val="22"/>
          <w:szCs w:val="22"/>
        </w:rPr>
        <w:t xml:space="preserve">net </w:t>
      </w:r>
      <w:r w:rsidRPr="007014FE">
        <w:rPr>
          <w:rFonts w:ascii="Calibri" w:hAnsi="Calibri" w:cs="Calibri"/>
          <w:color w:val="auto"/>
          <w:sz w:val="22"/>
          <w:szCs w:val="22"/>
        </w:rPr>
        <w:t>revenue and CONE represent the “market equilibrium” reserve margin where the marginal unit breaks even.</w:t>
      </w:r>
    </w:p>
    <w:p w14:paraId="027A5E10" w14:textId="4FFD4179" w:rsidR="003A1D09" w:rsidRDefault="003A1D09" w:rsidP="003A1D09"/>
    <w:p w14:paraId="41C5ACE1" w14:textId="77777777" w:rsidR="003A1D09" w:rsidRPr="007014FE" w:rsidRDefault="003A1D09" w:rsidP="003A1D09"/>
    <w:p w14:paraId="40641749" w14:textId="72A8D750" w:rsidR="004B58AD" w:rsidRPr="007014FE" w:rsidRDefault="004B58AD" w:rsidP="003A1D09">
      <w:pPr>
        <w:pStyle w:val="Caption"/>
        <w:spacing w:after="0"/>
        <w:rPr>
          <w:rFonts w:cs="Calibri"/>
          <w:b/>
          <w:bCs/>
          <w:i w:val="0"/>
          <w:iCs w:val="0"/>
          <w:color w:val="auto"/>
          <w:sz w:val="22"/>
          <w:szCs w:val="22"/>
        </w:rPr>
      </w:pPr>
      <w:bookmarkStart w:id="9" w:name="_Ref526948567"/>
      <w:r w:rsidRPr="007014FE">
        <w:rPr>
          <w:rFonts w:cs="Calibri"/>
          <w:b/>
          <w:bCs/>
          <w:i w:val="0"/>
          <w:iCs w:val="0"/>
          <w:color w:val="auto"/>
          <w:sz w:val="22"/>
          <w:szCs w:val="22"/>
        </w:rPr>
        <w:t xml:space="preserve">Figure </w:t>
      </w:r>
      <w:r w:rsidRPr="007014FE">
        <w:rPr>
          <w:rFonts w:cs="Calibri"/>
          <w:b/>
          <w:bCs/>
          <w:i w:val="0"/>
          <w:iCs w:val="0"/>
          <w:noProof/>
          <w:color w:val="auto"/>
          <w:sz w:val="22"/>
          <w:szCs w:val="22"/>
        </w:rPr>
        <w:fldChar w:fldCharType="begin"/>
      </w:r>
      <w:r w:rsidRPr="007014FE">
        <w:rPr>
          <w:rFonts w:cs="Calibri"/>
          <w:b/>
          <w:bCs/>
          <w:i w:val="0"/>
          <w:iCs w:val="0"/>
          <w:noProof/>
          <w:color w:val="auto"/>
          <w:sz w:val="22"/>
          <w:szCs w:val="22"/>
        </w:rPr>
        <w:instrText xml:space="preserve"> SEQ Figure \* ARABIC </w:instrText>
      </w:r>
      <w:r w:rsidRPr="007014FE">
        <w:rPr>
          <w:rFonts w:cs="Calibri"/>
          <w:b/>
          <w:bCs/>
          <w:i w:val="0"/>
          <w:iCs w:val="0"/>
          <w:noProof/>
          <w:color w:val="auto"/>
          <w:sz w:val="22"/>
          <w:szCs w:val="22"/>
        </w:rPr>
        <w:fldChar w:fldCharType="separate"/>
      </w:r>
      <w:r w:rsidR="003F6A8E">
        <w:rPr>
          <w:rFonts w:cs="Calibri"/>
          <w:b/>
          <w:bCs/>
          <w:i w:val="0"/>
          <w:iCs w:val="0"/>
          <w:noProof/>
          <w:color w:val="auto"/>
          <w:sz w:val="22"/>
          <w:szCs w:val="22"/>
        </w:rPr>
        <w:t>1</w:t>
      </w:r>
      <w:r w:rsidRPr="007014FE">
        <w:rPr>
          <w:rFonts w:cs="Calibri"/>
          <w:b/>
          <w:bCs/>
          <w:i w:val="0"/>
          <w:iCs w:val="0"/>
          <w:noProof/>
          <w:color w:val="auto"/>
          <w:sz w:val="22"/>
          <w:szCs w:val="22"/>
        </w:rPr>
        <w:fldChar w:fldCharType="end"/>
      </w:r>
      <w:bookmarkEnd w:id="9"/>
      <w:r w:rsidR="00EC16E5" w:rsidRPr="007014FE">
        <w:rPr>
          <w:rFonts w:cs="Calibri"/>
          <w:b/>
          <w:bCs/>
          <w:i w:val="0"/>
          <w:iCs w:val="0"/>
          <w:noProof/>
          <w:color w:val="auto"/>
          <w:sz w:val="22"/>
          <w:szCs w:val="22"/>
        </w:rPr>
        <w:t>.</w:t>
      </w:r>
      <w:r w:rsidRPr="007014FE">
        <w:rPr>
          <w:rFonts w:cs="Calibri"/>
          <w:b/>
          <w:bCs/>
          <w:i w:val="0"/>
          <w:iCs w:val="0"/>
          <w:noProof/>
          <w:color w:val="auto"/>
          <w:sz w:val="22"/>
          <w:szCs w:val="22"/>
        </w:rPr>
        <w:t xml:space="preserve"> </w:t>
      </w:r>
      <w:r w:rsidRPr="007014FE">
        <w:rPr>
          <w:rFonts w:cs="Calibri"/>
          <w:b/>
          <w:bCs/>
          <w:i w:val="0"/>
          <w:iCs w:val="0"/>
          <w:color w:val="auto"/>
          <w:sz w:val="22"/>
          <w:szCs w:val="22"/>
        </w:rPr>
        <w:t>Economically Optimal Reserve Margin and Market Equilibrium Reserve Margin Concepts</w:t>
      </w:r>
    </w:p>
    <w:p w14:paraId="5ADE1C97" w14:textId="77777777" w:rsidR="004B58AD" w:rsidRPr="007014FE" w:rsidRDefault="004B58AD" w:rsidP="004B58AD">
      <w:pPr>
        <w:keepNext/>
        <w:contextualSpacing/>
        <w:jc w:val="center"/>
        <w:rPr>
          <w:rFonts w:cs="Calibri"/>
          <w:bCs/>
        </w:rPr>
      </w:pPr>
      <w:r w:rsidRPr="007014FE">
        <w:rPr>
          <w:rFonts w:cs="Calibri"/>
          <w:bCs/>
        </w:rPr>
        <w:t>(Illustrative Schematics, Not Simulation Results)</w:t>
      </w:r>
    </w:p>
    <w:p w14:paraId="15FBBB3A" w14:textId="77777777" w:rsidR="004B58AD" w:rsidRPr="00EC16E5" w:rsidRDefault="004B58AD" w:rsidP="004B58AD">
      <w:pPr>
        <w:pStyle w:val="BGInsertGraphic"/>
        <w:rPr>
          <w:rFonts w:ascii="Calibri" w:hAnsi="Calibri" w:cs="Calibri"/>
          <w:b/>
          <w:color w:val="C00000"/>
          <w:sz w:val="22"/>
          <w:szCs w:val="22"/>
        </w:rPr>
      </w:pPr>
      <w:r w:rsidRPr="00EC16E5">
        <w:rPr>
          <w:rFonts w:ascii="Calibri" w:hAnsi="Calibri" w:cs="Calibri"/>
          <w:b/>
          <w:noProof/>
          <w:color w:val="C00000"/>
          <w:sz w:val="22"/>
          <w:szCs w:val="22"/>
        </w:rPr>
        <w:drawing>
          <wp:inline distT="0" distB="0" distL="0" distR="0" wp14:anchorId="56CC4124" wp14:editId="74EBDAA4">
            <wp:extent cx="5932501" cy="2764465"/>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9382" cy="2763012"/>
                    </a:xfrm>
                    <a:prstGeom prst="rect">
                      <a:avLst/>
                    </a:prstGeom>
                    <a:noFill/>
                  </pic:spPr>
                </pic:pic>
              </a:graphicData>
            </a:graphic>
          </wp:inline>
        </w:drawing>
      </w:r>
    </w:p>
    <w:p w14:paraId="754A68E6" w14:textId="1A8BE481" w:rsidR="004B58AD" w:rsidRPr="007014FE" w:rsidRDefault="004B58AD" w:rsidP="004B58AD">
      <w:pPr>
        <w:pStyle w:val="BGNormal125"/>
        <w:rPr>
          <w:rFonts w:ascii="Calibri" w:hAnsi="Calibri" w:cs="Calibri"/>
          <w:color w:val="auto"/>
          <w:sz w:val="22"/>
          <w:szCs w:val="22"/>
        </w:rPr>
      </w:pPr>
      <w:r w:rsidRPr="007014FE">
        <w:rPr>
          <w:rFonts w:ascii="Calibri" w:hAnsi="Calibri" w:cs="Calibri"/>
          <w:color w:val="auto"/>
          <w:sz w:val="22"/>
          <w:szCs w:val="22"/>
        </w:rPr>
        <w:t>This study estimates the MERM and the EORM for the ERCOT market given the currently formulated scarcity pricing mechanism</w:t>
      </w:r>
      <w:r w:rsidRPr="007014FE" w:rsidDel="00F96783">
        <w:rPr>
          <w:rFonts w:ascii="Calibri" w:hAnsi="Calibri" w:cs="Calibri"/>
          <w:color w:val="auto"/>
          <w:sz w:val="22"/>
          <w:szCs w:val="22"/>
        </w:rPr>
        <w:t xml:space="preserve"> </w:t>
      </w:r>
      <w:r w:rsidRPr="007014FE">
        <w:rPr>
          <w:rFonts w:ascii="Calibri" w:hAnsi="Calibri" w:cs="Calibri"/>
          <w:color w:val="auto"/>
          <w:sz w:val="22"/>
          <w:szCs w:val="22"/>
        </w:rPr>
        <w:t>and expected market conditions.  It</w:t>
      </w:r>
      <w:r w:rsidRPr="007014FE" w:rsidDel="00355E1A">
        <w:rPr>
          <w:rFonts w:ascii="Calibri" w:hAnsi="Calibri" w:cs="Calibri"/>
          <w:color w:val="auto"/>
          <w:sz w:val="22"/>
          <w:szCs w:val="22"/>
        </w:rPr>
        <w:t xml:space="preserve"> </w:t>
      </w:r>
      <w:r w:rsidRPr="007014FE">
        <w:rPr>
          <w:rFonts w:ascii="Calibri" w:hAnsi="Calibri" w:cs="Calibri"/>
          <w:color w:val="auto"/>
          <w:sz w:val="22"/>
          <w:szCs w:val="22"/>
        </w:rPr>
        <w:t xml:space="preserve">estimates the reliability at each of those levels of reserves, but strictly for informational </w:t>
      </w:r>
      <w:r w:rsidR="00D7719A" w:rsidRPr="007014FE">
        <w:rPr>
          <w:rFonts w:ascii="Calibri" w:hAnsi="Calibri" w:cs="Calibri"/>
          <w:color w:val="auto"/>
          <w:sz w:val="22"/>
          <w:szCs w:val="22"/>
        </w:rPr>
        <w:t>purposes since</w:t>
      </w:r>
      <w:r w:rsidRPr="007014FE">
        <w:rPr>
          <w:rFonts w:ascii="Calibri" w:hAnsi="Calibri" w:cs="Calibri"/>
          <w:color w:val="auto"/>
          <w:sz w:val="22"/>
          <w:szCs w:val="22"/>
        </w:rPr>
        <w:t xml:space="preserve"> there is no reliability requirement.  Our study methodology follows the ERCOT manual for estimating the EORM and MERM.</w:t>
      </w:r>
      <w:r w:rsidRPr="007014FE">
        <w:rPr>
          <w:rStyle w:val="FootnoteReference"/>
          <w:rFonts w:ascii="Calibri" w:hAnsi="Calibri" w:cs="Calibri"/>
          <w:color w:val="auto"/>
          <w:sz w:val="22"/>
          <w:szCs w:val="22"/>
        </w:rPr>
        <w:footnoteReference w:id="12"/>
      </w:r>
      <w:r w:rsidRPr="007014FE">
        <w:rPr>
          <w:rFonts w:ascii="Calibri" w:hAnsi="Calibri" w:cs="Calibri"/>
          <w:color w:val="auto"/>
          <w:sz w:val="22"/>
          <w:szCs w:val="22"/>
        </w:rPr>
        <w:t xml:space="preserve">  The primary analytical tool in this study is energy market simulations using the SERVM model.  SERVM simulates hourly energy demand (under a range of weather conditions), energy production, and energy prices given the marginal cost of available supply and the Operating Reserve Demand Curve (ORDC).  By analyzing the results of simulations conducted at many possible levels of investment, we can identify which of the reserve margins represents </w:t>
      </w:r>
      <w:r w:rsidR="001F3488">
        <w:rPr>
          <w:rFonts w:ascii="Calibri" w:hAnsi="Calibri" w:cs="Calibri"/>
          <w:color w:val="auto"/>
          <w:sz w:val="22"/>
          <w:szCs w:val="22"/>
        </w:rPr>
        <w:t>the</w:t>
      </w:r>
      <w:r w:rsidRPr="007014FE">
        <w:rPr>
          <w:rFonts w:ascii="Calibri" w:hAnsi="Calibri" w:cs="Calibri"/>
          <w:color w:val="auto"/>
          <w:sz w:val="22"/>
          <w:szCs w:val="22"/>
        </w:rPr>
        <w:t xml:space="preserve"> MERM and which level represents the EORM.</w:t>
      </w:r>
    </w:p>
    <w:p w14:paraId="42A72EAC" w14:textId="279A1854" w:rsidR="004B58AD" w:rsidRPr="00EC16E5" w:rsidRDefault="00082ADF" w:rsidP="004B58AD">
      <w:pPr>
        <w:pStyle w:val="BGNormal125"/>
        <w:rPr>
          <w:rFonts w:ascii="Calibri" w:hAnsi="Calibri" w:cs="Calibri"/>
          <w:color w:val="C00000"/>
          <w:sz w:val="22"/>
          <w:szCs w:val="22"/>
        </w:rPr>
      </w:pPr>
      <w:r>
        <w:rPr>
          <w:rFonts w:ascii="Calibri" w:hAnsi="Calibri" w:cs="Calibri"/>
          <w:color w:val="auto"/>
          <w:sz w:val="22"/>
          <w:szCs w:val="22"/>
        </w:rPr>
        <w:t>This study was previously performed in 2014 and 2018.</w:t>
      </w:r>
      <w:r w:rsidR="004B58AD" w:rsidRPr="00EC0CB7">
        <w:rPr>
          <w:rFonts w:ascii="Calibri" w:hAnsi="Calibri" w:cs="Calibri"/>
          <w:color w:val="auto"/>
          <w:sz w:val="22"/>
          <w:szCs w:val="22"/>
        </w:rPr>
        <w:t xml:space="preserve">  </w:t>
      </w:r>
      <w:r w:rsidR="004B58AD" w:rsidRPr="00F95D87">
        <w:rPr>
          <w:rFonts w:ascii="Calibri" w:hAnsi="Calibri" w:cs="Calibri"/>
          <w:color w:val="auto"/>
          <w:sz w:val="22"/>
          <w:szCs w:val="22"/>
        </w:rPr>
        <w:t xml:space="preserve">The present study incorporates updated market conditions regarding the projected resource mix, </w:t>
      </w:r>
      <w:r w:rsidR="009F31B0">
        <w:rPr>
          <w:rFonts w:ascii="Calibri" w:hAnsi="Calibri" w:cs="Calibri"/>
          <w:color w:val="auto"/>
          <w:sz w:val="22"/>
          <w:szCs w:val="22"/>
        </w:rPr>
        <w:t xml:space="preserve">the </w:t>
      </w:r>
      <w:r w:rsidR="00F90E29">
        <w:rPr>
          <w:rFonts w:ascii="Calibri" w:hAnsi="Calibri" w:cs="Calibri"/>
          <w:color w:val="auto"/>
          <w:sz w:val="22"/>
          <w:szCs w:val="22"/>
        </w:rPr>
        <w:t>CONE</w:t>
      </w:r>
      <w:r w:rsidR="009F31B0">
        <w:rPr>
          <w:rFonts w:ascii="Calibri" w:hAnsi="Calibri" w:cs="Calibri"/>
          <w:color w:val="auto"/>
          <w:sz w:val="22"/>
          <w:szCs w:val="22"/>
        </w:rPr>
        <w:t xml:space="preserve"> for a reference generation resource</w:t>
      </w:r>
      <w:r w:rsidR="004B58AD" w:rsidRPr="00F95D87">
        <w:rPr>
          <w:rFonts w:ascii="Calibri" w:hAnsi="Calibri" w:cs="Calibri"/>
          <w:color w:val="auto"/>
          <w:sz w:val="22"/>
          <w:szCs w:val="22"/>
        </w:rPr>
        <w:t xml:space="preserve">, </w:t>
      </w:r>
      <w:r w:rsidR="00613191" w:rsidRPr="00F95D87">
        <w:rPr>
          <w:rFonts w:ascii="Calibri" w:hAnsi="Calibri" w:cs="Calibri"/>
          <w:color w:val="auto"/>
          <w:sz w:val="22"/>
          <w:szCs w:val="22"/>
        </w:rPr>
        <w:t xml:space="preserve">ORDC, maintenance outages, </w:t>
      </w:r>
      <w:r w:rsidR="004B58AD" w:rsidRPr="00F95D87">
        <w:rPr>
          <w:rFonts w:ascii="Calibri" w:hAnsi="Calibri" w:cs="Calibri"/>
          <w:color w:val="auto"/>
          <w:sz w:val="22"/>
          <w:szCs w:val="22"/>
        </w:rPr>
        <w:t xml:space="preserve">and gas prices; different assumptions regarding weather; </w:t>
      </w:r>
      <w:r w:rsidR="00A10177" w:rsidRPr="00F95D87">
        <w:rPr>
          <w:rFonts w:ascii="Calibri" w:hAnsi="Calibri" w:cs="Calibri"/>
          <w:color w:val="auto"/>
          <w:sz w:val="22"/>
          <w:szCs w:val="22"/>
        </w:rPr>
        <w:t xml:space="preserve">higher </w:t>
      </w:r>
      <w:r w:rsidR="004B58AD" w:rsidRPr="00F95D87">
        <w:rPr>
          <w:rFonts w:ascii="Calibri" w:hAnsi="Calibri" w:cs="Calibri"/>
          <w:color w:val="auto"/>
          <w:sz w:val="22"/>
          <w:szCs w:val="22"/>
        </w:rPr>
        <w:t>forced outage rates based on recent data; and current conventions for describing peak load and accounting for intermittent resources in expressing the reserve margin.</w:t>
      </w:r>
    </w:p>
    <w:p w14:paraId="22B664B6" w14:textId="77777777" w:rsidR="004B58AD" w:rsidRPr="00D31CA7" w:rsidRDefault="004B58AD" w:rsidP="004B58AD">
      <w:bookmarkStart w:id="10" w:name="_Toc525851006"/>
      <w:bookmarkStart w:id="11" w:name="_Toc525938038"/>
      <w:bookmarkStart w:id="12" w:name="_Toc525079583"/>
      <w:r>
        <w:br w:type="page"/>
      </w:r>
    </w:p>
    <w:p w14:paraId="4A4266FE" w14:textId="1175DB0F" w:rsidR="004B58AD" w:rsidRPr="00526044" w:rsidRDefault="004B58AD" w:rsidP="00FA0DFD">
      <w:pPr>
        <w:pStyle w:val="Heading1"/>
        <w:numPr>
          <w:ilvl w:val="0"/>
          <w:numId w:val="10"/>
        </w:numPr>
        <w:rPr>
          <w:sz w:val="28"/>
          <w:szCs w:val="28"/>
        </w:rPr>
      </w:pPr>
      <w:bookmarkStart w:id="13" w:name="_Toc526279094"/>
      <w:bookmarkStart w:id="14" w:name="_Toc526437250"/>
      <w:bookmarkStart w:id="15" w:name="_Toc526439894"/>
      <w:bookmarkStart w:id="16" w:name="_Toc526440004"/>
      <w:bookmarkStart w:id="17" w:name="_Toc532834281"/>
      <w:bookmarkStart w:id="18" w:name="_Toc57193552"/>
      <w:r w:rsidRPr="00526044">
        <w:rPr>
          <w:sz w:val="28"/>
          <w:szCs w:val="28"/>
        </w:rPr>
        <w:t>Study Assumptions and Approach</w:t>
      </w:r>
      <w:bookmarkEnd w:id="10"/>
      <w:bookmarkEnd w:id="11"/>
      <w:bookmarkEnd w:id="12"/>
      <w:bookmarkEnd w:id="13"/>
      <w:bookmarkEnd w:id="14"/>
      <w:bookmarkEnd w:id="15"/>
      <w:bookmarkEnd w:id="16"/>
      <w:bookmarkEnd w:id="17"/>
      <w:bookmarkEnd w:id="18"/>
    </w:p>
    <w:p w14:paraId="7076060C" w14:textId="2DB89F6F" w:rsidR="004B58AD" w:rsidRPr="00613191" w:rsidRDefault="004B58AD" w:rsidP="004B58AD">
      <w:pPr>
        <w:pStyle w:val="BGNormal125"/>
        <w:rPr>
          <w:rFonts w:ascii="Calibri" w:hAnsi="Calibri" w:cs="Calibri"/>
          <w:color w:val="auto"/>
          <w:sz w:val="22"/>
          <w:szCs w:val="22"/>
        </w:rPr>
      </w:pPr>
      <w:r w:rsidRPr="00613191">
        <w:rPr>
          <w:rFonts w:ascii="Calibri" w:hAnsi="Calibri" w:cs="Calibri"/>
          <w:color w:val="auto"/>
          <w:sz w:val="22"/>
          <w:szCs w:val="22"/>
        </w:rPr>
        <w:t xml:space="preserve">Our simulations rely on a detailed representation of the ERCOT system, including: load and weather patterns and their probabilistic variations; the cost and performance characteristics of ERCOT’s generation and </w:t>
      </w:r>
      <w:r w:rsidRPr="00613191" w:rsidDel="008B5E11">
        <w:rPr>
          <w:rFonts w:ascii="Calibri" w:hAnsi="Calibri" w:cs="Calibri"/>
          <w:color w:val="auto"/>
          <w:sz w:val="22"/>
          <w:szCs w:val="22"/>
        </w:rPr>
        <w:t>demand</w:t>
      </w:r>
      <w:r w:rsidRPr="00613191">
        <w:rPr>
          <w:rFonts w:ascii="Calibri" w:hAnsi="Calibri" w:cs="Calibri"/>
          <w:color w:val="auto"/>
          <w:sz w:val="22"/>
          <w:szCs w:val="22"/>
        </w:rPr>
        <w:t xml:space="preserve">-response resources; the mechanics of the ERCOT energy and ancillary services markets, including a unit commitment and economic dispatch of all generation resources, </w:t>
      </w:r>
      <w:r w:rsidRPr="00613191" w:rsidDel="008B5E11">
        <w:rPr>
          <w:rFonts w:ascii="Calibri" w:hAnsi="Calibri" w:cs="Calibri"/>
          <w:color w:val="auto"/>
          <w:sz w:val="22"/>
          <w:szCs w:val="22"/>
        </w:rPr>
        <w:t>demand</w:t>
      </w:r>
      <w:r w:rsidRPr="00613191">
        <w:rPr>
          <w:rFonts w:ascii="Calibri" w:hAnsi="Calibri" w:cs="Calibri"/>
          <w:color w:val="auto"/>
          <w:sz w:val="22"/>
          <w:szCs w:val="22"/>
        </w:rPr>
        <w:t xml:space="preserve">-response resources, and the transmission interties with neighboring markets.  Assumptions on the generation fleet, </w:t>
      </w:r>
      <w:r w:rsidRPr="00613191" w:rsidDel="008B5E11">
        <w:rPr>
          <w:rFonts w:ascii="Calibri" w:hAnsi="Calibri" w:cs="Calibri"/>
          <w:color w:val="auto"/>
          <w:sz w:val="22"/>
          <w:szCs w:val="22"/>
        </w:rPr>
        <w:t>demand</w:t>
      </w:r>
      <w:r w:rsidRPr="00613191">
        <w:rPr>
          <w:rFonts w:ascii="Calibri" w:hAnsi="Calibri" w:cs="Calibri"/>
          <w:color w:val="auto"/>
          <w:sz w:val="22"/>
          <w:szCs w:val="22"/>
        </w:rPr>
        <w:t>-response penetration, fuel prices, and energy market design reflect expected conditions in 202</w:t>
      </w:r>
      <w:r w:rsidR="00613191" w:rsidRPr="00613191">
        <w:rPr>
          <w:rFonts w:ascii="Calibri" w:hAnsi="Calibri" w:cs="Calibri"/>
          <w:color w:val="auto"/>
          <w:sz w:val="22"/>
          <w:szCs w:val="22"/>
        </w:rPr>
        <w:t>4</w:t>
      </w:r>
      <w:r w:rsidRPr="00613191">
        <w:rPr>
          <w:rFonts w:ascii="Calibri" w:hAnsi="Calibri" w:cs="Calibri"/>
          <w:color w:val="auto"/>
          <w:sz w:val="22"/>
          <w:szCs w:val="22"/>
        </w:rPr>
        <w:t>.</w:t>
      </w:r>
    </w:p>
    <w:p w14:paraId="7AD2EA26" w14:textId="6B7502DD" w:rsidR="004B58AD" w:rsidRPr="00D657DB" w:rsidRDefault="004B58AD" w:rsidP="00FA0DFD">
      <w:pPr>
        <w:pStyle w:val="Heading2"/>
        <w:numPr>
          <w:ilvl w:val="0"/>
          <w:numId w:val="11"/>
        </w:numPr>
      </w:pPr>
      <w:bookmarkStart w:id="19" w:name="_Ref522573293"/>
      <w:bookmarkStart w:id="20" w:name="_Toc525079584"/>
      <w:bookmarkStart w:id="21" w:name="_Toc525851007"/>
      <w:bookmarkStart w:id="22" w:name="_Toc525938039"/>
      <w:bookmarkStart w:id="23" w:name="_Toc526279095"/>
      <w:bookmarkStart w:id="24" w:name="_Toc526437251"/>
      <w:bookmarkStart w:id="25" w:name="_Toc526439895"/>
      <w:bookmarkStart w:id="26" w:name="_Toc526440005"/>
      <w:bookmarkStart w:id="27" w:name="_Toc532834282"/>
      <w:bookmarkStart w:id="28" w:name="_Toc57193553"/>
      <w:r>
        <w:t>Modeling Framework</w:t>
      </w:r>
      <w:bookmarkEnd w:id="19"/>
      <w:bookmarkEnd w:id="20"/>
      <w:bookmarkEnd w:id="21"/>
      <w:bookmarkEnd w:id="22"/>
      <w:bookmarkEnd w:id="23"/>
      <w:bookmarkEnd w:id="24"/>
      <w:bookmarkEnd w:id="25"/>
      <w:bookmarkEnd w:id="26"/>
      <w:bookmarkEnd w:id="27"/>
      <w:bookmarkEnd w:id="28"/>
    </w:p>
    <w:p w14:paraId="086DB44F" w14:textId="1101DCF0" w:rsidR="004B58AD" w:rsidRPr="00613191" w:rsidRDefault="004B58AD" w:rsidP="004B58AD">
      <w:pPr>
        <w:pStyle w:val="BGNormal125"/>
        <w:rPr>
          <w:rFonts w:ascii="Calibri" w:hAnsi="Calibri" w:cs="Calibri"/>
          <w:color w:val="auto"/>
          <w:sz w:val="22"/>
          <w:szCs w:val="22"/>
        </w:rPr>
      </w:pPr>
      <w:r w:rsidRPr="00613191">
        <w:rPr>
          <w:rFonts w:ascii="Calibri" w:hAnsi="Calibri" w:cs="Calibri"/>
          <w:color w:val="auto"/>
          <w:sz w:val="22"/>
          <w:szCs w:val="22"/>
        </w:rPr>
        <w:t>We use the Strategic Energy</w:t>
      </w:r>
      <w:r w:rsidR="001F3488">
        <w:rPr>
          <w:rFonts w:ascii="Calibri" w:hAnsi="Calibri" w:cs="Calibri"/>
          <w:color w:val="auto"/>
          <w:sz w:val="22"/>
          <w:szCs w:val="22"/>
        </w:rPr>
        <w:t xml:space="preserve"> &amp;</w:t>
      </w:r>
      <w:r w:rsidRPr="00613191">
        <w:rPr>
          <w:rFonts w:ascii="Calibri" w:hAnsi="Calibri" w:cs="Calibri"/>
          <w:color w:val="auto"/>
          <w:sz w:val="22"/>
          <w:szCs w:val="22"/>
        </w:rPr>
        <w:t xml:space="preserve"> Risk Valuation Model (SERVM) to estimate the economically optimal reserve margin, the market equilibrium reserve margin, and associated reliability in the ERCOT system.</w:t>
      </w:r>
      <w:r w:rsidRPr="00613191">
        <w:rPr>
          <w:rStyle w:val="FootnoteReference"/>
          <w:rFonts w:ascii="Calibri" w:hAnsi="Calibri" w:cs="Calibri"/>
          <w:color w:val="auto"/>
          <w:sz w:val="22"/>
          <w:szCs w:val="22"/>
        </w:rPr>
        <w:footnoteReference w:id="13"/>
      </w:r>
      <w:r w:rsidRPr="00613191">
        <w:rPr>
          <w:rFonts w:ascii="Calibri" w:hAnsi="Calibri" w:cs="Calibri"/>
          <w:color w:val="auto"/>
          <w:sz w:val="22"/>
          <w:szCs w:val="22"/>
        </w:rPr>
        <w:t xml:space="preserve">  Like other reliability models, SERVM probabilistically evaluates the reliability implications of any given reserve margin.  It does so by simulating generation availability, load profiles, load uncertainty, inter-regional transmission availability, and other factors.  SERVM ultimately generates standard reliability metrics such as loss-of-load events (LOLE), loss-of-load hours (LOLH), and expected unserved energy (EUE).  Unlike other reliability modeling packages, however, SERVM</w:t>
      </w:r>
      <w:r w:rsidRPr="00613191" w:rsidDel="004452F4">
        <w:rPr>
          <w:rFonts w:ascii="Calibri" w:hAnsi="Calibri" w:cs="Calibri"/>
          <w:color w:val="auto"/>
          <w:sz w:val="22"/>
          <w:szCs w:val="22"/>
        </w:rPr>
        <w:t xml:space="preserve"> </w:t>
      </w:r>
      <w:r w:rsidRPr="00613191">
        <w:rPr>
          <w:rFonts w:ascii="Calibri" w:hAnsi="Calibri" w:cs="Calibri"/>
          <w:color w:val="auto"/>
          <w:sz w:val="22"/>
          <w:szCs w:val="22"/>
        </w:rPr>
        <w:t>simulates economic outcomes, including hourly generation dispatch, ancillary services, and price formation under both normal conditions and emergency operating procedures.  SERVM estimates hourly and annual production costs, customer costs, market prices, net import costs, load shed costs, and generator net energy revenues as a function of the planning reserve margin.  These results allow us to compare these variable costs against the incremental capital costs required to achieve higher planning reserve margins, such that the optimal reserve margin can be identified.  The MERM can</w:t>
      </w:r>
      <w:r w:rsidRPr="00613191" w:rsidDel="004452F4">
        <w:rPr>
          <w:rFonts w:ascii="Calibri" w:hAnsi="Calibri" w:cs="Calibri"/>
          <w:color w:val="auto"/>
          <w:sz w:val="22"/>
          <w:szCs w:val="22"/>
        </w:rPr>
        <w:t xml:space="preserve"> </w:t>
      </w:r>
      <w:r w:rsidRPr="00613191">
        <w:rPr>
          <w:rFonts w:ascii="Calibri" w:hAnsi="Calibri" w:cs="Calibri"/>
          <w:color w:val="auto"/>
          <w:sz w:val="22"/>
          <w:szCs w:val="22"/>
        </w:rPr>
        <w:t>be identified by comparing potential new generators’ net revenues to their levelized fixed costs.</w:t>
      </w:r>
    </w:p>
    <w:p w14:paraId="73AB01F4" w14:textId="77777777" w:rsidR="004B58AD" w:rsidRPr="00613191" w:rsidRDefault="004B58AD" w:rsidP="004B58AD">
      <w:pPr>
        <w:pStyle w:val="BGNormal125"/>
        <w:rPr>
          <w:rFonts w:ascii="Calibri" w:hAnsi="Calibri" w:cs="Calibri"/>
          <w:color w:val="auto"/>
          <w:sz w:val="22"/>
          <w:szCs w:val="22"/>
        </w:rPr>
      </w:pPr>
      <w:r w:rsidRPr="00613191">
        <w:rPr>
          <w:rFonts w:ascii="Calibri" w:hAnsi="Calibri" w:cs="Calibri"/>
          <w:color w:val="auto"/>
          <w:sz w:val="22"/>
          <w:szCs w:val="22"/>
        </w:rPr>
        <w:t>The multi-area economic and reliability simulations in SERVM include an hourly chronological economic dispatch that is subject to inter-regional transmission constraints.  Each generation unit is modeled individually, characterized by its economic and physical characteristics.  Planned outages are scheduled in off-peak seasons, consistent with standard practices, while unplanned outages and derates occur probabilistically using historical distributions of time between failures and time to repair, as explained in Appendix 1.  Load, hydro, wind, and solar conditions are modeled based on profiles consistent with individual historical weather years.  Dispatch limitations and limitations on annual energy output are</w:t>
      </w:r>
      <w:r w:rsidRPr="00613191" w:rsidDel="00E11D61">
        <w:rPr>
          <w:rFonts w:ascii="Calibri" w:hAnsi="Calibri" w:cs="Calibri"/>
          <w:color w:val="auto"/>
          <w:sz w:val="22"/>
          <w:szCs w:val="22"/>
        </w:rPr>
        <w:t xml:space="preserve"> </w:t>
      </w:r>
      <w:r w:rsidRPr="00613191">
        <w:rPr>
          <w:rFonts w:ascii="Calibri" w:hAnsi="Calibri" w:cs="Calibri"/>
          <w:color w:val="auto"/>
          <w:sz w:val="22"/>
          <w:szCs w:val="22"/>
        </w:rPr>
        <w:t>imposed on certain types of resources such as demand response, hydro generation, and seasonally mothballed units.</w:t>
      </w:r>
    </w:p>
    <w:p w14:paraId="0276E3E2" w14:textId="1EA65899" w:rsidR="004B58AD" w:rsidRPr="00613191" w:rsidRDefault="004B58AD" w:rsidP="004B58AD">
      <w:pPr>
        <w:pStyle w:val="BGNormal125"/>
        <w:rPr>
          <w:rFonts w:ascii="Calibri" w:hAnsi="Calibri" w:cs="Calibri"/>
          <w:color w:val="auto"/>
          <w:sz w:val="22"/>
          <w:szCs w:val="22"/>
        </w:rPr>
      </w:pPr>
      <w:r w:rsidRPr="00613191">
        <w:rPr>
          <w:rFonts w:ascii="Calibri" w:hAnsi="Calibri" w:cs="Calibri"/>
          <w:color w:val="auto"/>
          <w:sz w:val="22"/>
          <w:szCs w:val="22"/>
        </w:rPr>
        <w:t>The model implements a week-ahead and then multi-hour-ahead unit commitment algorithm considering the outlook for weather and planned generation outages.  In the operating day, the model runs an hourly economic dispatch of baseload, intermediate, and peaking resources, including an optimization of transmission-constrained inter-regional power flows to minimize total costs.  During most hours, hourly prices reflect marginal production costs, with higher prices being realized when import constraints are binding.  During emergency and other peaking conditions, SERVM simulates scarcity prices that exceed generators’ marginal production costs as explained further in Appendix 1.</w:t>
      </w:r>
      <w:r w:rsidRPr="00613191">
        <w:rPr>
          <w:rFonts w:ascii="Calibri" w:hAnsi="Calibri" w:cs="Calibri"/>
          <w:color w:val="auto"/>
          <w:sz w:val="22"/>
          <w:szCs w:val="22"/>
        </w:rPr>
        <w:fldChar w:fldCharType="begin"/>
      </w:r>
      <w:r w:rsidRPr="00613191">
        <w:rPr>
          <w:rFonts w:ascii="Calibri" w:hAnsi="Calibri" w:cs="Calibri"/>
          <w:color w:val="auto"/>
          <w:sz w:val="22"/>
          <w:szCs w:val="22"/>
        </w:rPr>
        <w:instrText xml:space="preserve"> REF _Ref526443515 \n \h </w:instrText>
      </w:r>
      <w:r w:rsidR="00EC16E5" w:rsidRPr="00613191">
        <w:rPr>
          <w:rFonts w:ascii="Calibri" w:hAnsi="Calibri" w:cs="Calibri"/>
          <w:color w:val="auto"/>
          <w:sz w:val="22"/>
          <w:szCs w:val="22"/>
        </w:rPr>
        <w:instrText xml:space="preserve"> \* MERGEFORMAT </w:instrText>
      </w:r>
      <w:r w:rsidRPr="00613191">
        <w:rPr>
          <w:rFonts w:ascii="Calibri" w:hAnsi="Calibri" w:cs="Calibri"/>
          <w:color w:val="auto"/>
          <w:sz w:val="22"/>
          <w:szCs w:val="22"/>
        </w:rPr>
      </w:r>
      <w:r w:rsidRPr="00613191">
        <w:rPr>
          <w:rFonts w:ascii="Calibri" w:hAnsi="Calibri" w:cs="Calibri"/>
          <w:color w:val="auto"/>
          <w:sz w:val="22"/>
          <w:szCs w:val="22"/>
        </w:rPr>
        <w:fldChar w:fldCharType="separate"/>
      </w:r>
      <w:r w:rsidRPr="00613191">
        <w:rPr>
          <w:rFonts w:ascii="Calibri" w:hAnsi="Calibri" w:cs="Calibri"/>
          <w:color w:val="auto"/>
          <w:sz w:val="22"/>
          <w:szCs w:val="22"/>
        </w:rPr>
        <w:t>E</w:t>
      </w:r>
      <w:r w:rsidRPr="00613191">
        <w:rPr>
          <w:rFonts w:ascii="Calibri" w:hAnsi="Calibri" w:cs="Calibri"/>
          <w:color w:val="auto"/>
          <w:sz w:val="22"/>
          <w:szCs w:val="22"/>
        </w:rPr>
        <w:fldChar w:fldCharType="end"/>
      </w:r>
    </w:p>
    <w:p w14:paraId="2610FA7E" w14:textId="5A06F4E4" w:rsidR="004B58AD" w:rsidRPr="00613191" w:rsidRDefault="004B58AD" w:rsidP="004B58AD">
      <w:pPr>
        <w:pStyle w:val="BGNormal125"/>
        <w:rPr>
          <w:rFonts w:ascii="Calibri" w:hAnsi="Calibri" w:cs="Calibri"/>
          <w:color w:val="auto"/>
          <w:sz w:val="22"/>
          <w:szCs w:val="22"/>
        </w:rPr>
      </w:pPr>
      <w:r w:rsidRPr="00613191">
        <w:rPr>
          <w:rFonts w:ascii="Calibri" w:hAnsi="Calibri" w:cs="Calibri"/>
          <w:color w:val="auto"/>
          <w:sz w:val="22"/>
          <w:szCs w:val="22"/>
        </w:rPr>
        <w:t xml:space="preserve">To examine a full range of potential economic and reliability outcomes, we implement a Monte Carlo analysis over a large number of scenarios with varying demand and supply conditions.  Because reliability events occur only when system conditions reflect unusually high loads or limited supply, these simulations must capture wide distributions of possible weather, load growth, and generation performance scenarios.  </w:t>
      </w:r>
      <w:r w:rsidRPr="008047D4">
        <w:rPr>
          <w:rFonts w:ascii="Calibri" w:hAnsi="Calibri" w:cs="Calibri"/>
          <w:color w:val="auto"/>
          <w:sz w:val="22"/>
          <w:szCs w:val="22"/>
        </w:rPr>
        <w:t xml:space="preserve">This study incorporates </w:t>
      </w:r>
      <w:r w:rsidR="00613191" w:rsidRPr="008047D4">
        <w:rPr>
          <w:rFonts w:ascii="Calibri" w:hAnsi="Calibri" w:cs="Calibri"/>
          <w:color w:val="auto"/>
          <w:sz w:val="22"/>
          <w:szCs w:val="22"/>
        </w:rPr>
        <w:t>40</w:t>
      </w:r>
      <w:r w:rsidRPr="008047D4">
        <w:rPr>
          <w:rFonts w:ascii="Calibri" w:hAnsi="Calibri" w:cs="Calibri"/>
          <w:color w:val="auto"/>
          <w:sz w:val="22"/>
          <w:szCs w:val="22"/>
        </w:rPr>
        <w:t xml:space="preserve"> weather years, 5 levels of economic load forecast error,</w:t>
      </w:r>
      <w:r w:rsidRPr="008047D4">
        <w:rPr>
          <w:rStyle w:val="FootnoteReference"/>
          <w:rFonts w:ascii="Calibri" w:hAnsi="Calibri" w:cs="Calibri"/>
          <w:color w:val="auto"/>
          <w:sz w:val="22"/>
          <w:szCs w:val="22"/>
        </w:rPr>
        <w:footnoteReference w:id="14"/>
      </w:r>
      <w:r w:rsidRPr="008047D4">
        <w:rPr>
          <w:rFonts w:ascii="Calibri" w:hAnsi="Calibri" w:cs="Calibri"/>
          <w:color w:val="auto"/>
          <w:sz w:val="22"/>
          <w:szCs w:val="22"/>
        </w:rPr>
        <w:t xml:space="preserve"> and 50 draws of generating unit performance for a total of </w:t>
      </w:r>
      <w:r w:rsidR="00613191" w:rsidRPr="008047D4">
        <w:rPr>
          <w:rFonts w:ascii="Calibri" w:hAnsi="Calibri" w:cs="Calibri"/>
          <w:color w:val="auto"/>
          <w:sz w:val="22"/>
          <w:szCs w:val="22"/>
        </w:rPr>
        <w:t>10</w:t>
      </w:r>
      <w:r w:rsidRPr="008047D4">
        <w:rPr>
          <w:rFonts w:ascii="Calibri" w:hAnsi="Calibri" w:cs="Calibri"/>
          <w:color w:val="auto"/>
          <w:sz w:val="22"/>
          <w:szCs w:val="22"/>
        </w:rPr>
        <w:t>,</w:t>
      </w:r>
      <w:r w:rsidR="00613191" w:rsidRPr="008047D4">
        <w:rPr>
          <w:rFonts w:ascii="Calibri" w:hAnsi="Calibri" w:cs="Calibri"/>
          <w:color w:val="auto"/>
          <w:sz w:val="22"/>
          <w:szCs w:val="22"/>
        </w:rPr>
        <w:t>0</w:t>
      </w:r>
      <w:r w:rsidRPr="008047D4">
        <w:rPr>
          <w:rFonts w:ascii="Calibri" w:hAnsi="Calibri" w:cs="Calibri"/>
          <w:color w:val="auto"/>
          <w:sz w:val="22"/>
          <w:szCs w:val="22"/>
        </w:rPr>
        <w:t xml:space="preserve">00 iterations for each simulated reserve margin case. </w:t>
      </w:r>
      <w:r w:rsidRPr="00613191">
        <w:rPr>
          <w:rFonts w:ascii="Calibri" w:hAnsi="Calibri" w:cs="Calibri"/>
          <w:color w:val="auto"/>
          <w:sz w:val="22"/>
          <w:szCs w:val="22"/>
        </w:rPr>
        <w:t>Each individual iteration simulates 8,760 hours for the year 202</w:t>
      </w:r>
      <w:r w:rsidR="00613191" w:rsidRPr="00613191">
        <w:rPr>
          <w:rFonts w:ascii="Calibri" w:hAnsi="Calibri" w:cs="Calibri"/>
          <w:color w:val="auto"/>
          <w:sz w:val="22"/>
          <w:szCs w:val="22"/>
        </w:rPr>
        <w:t>4</w:t>
      </w:r>
      <w:r w:rsidRPr="00613191">
        <w:rPr>
          <w:rFonts w:ascii="Calibri" w:hAnsi="Calibri" w:cs="Calibri"/>
          <w:color w:val="auto"/>
          <w:sz w:val="22"/>
          <w:szCs w:val="22"/>
        </w:rPr>
        <w:t>.  The large number of simulations is necessary to accurately assess</w:t>
      </w:r>
      <w:r w:rsidRPr="00613191" w:rsidDel="00D63B19">
        <w:rPr>
          <w:rFonts w:ascii="Calibri" w:hAnsi="Calibri" w:cs="Calibri"/>
          <w:color w:val="auto"/>
          <w:sz w:val="22"/>
          <w:szCs w:val="22"/>
        </w:rPr>
        <w:t xml:space="preserve"> </w:t>
      </w:r>
      <w:r w:rsidRPr="00613191">
        <w:rPr>
          <w:rFonts w:ascii="Calibri" w:hAnsi="Calibri" w:cs="Calibri"/>
          <w:color w:val="auto"/>
          <w:sz w:val="22"/>
          <w:szCs w:val="22"/>
        </w:rPr>
        <w:t>the reliability and economic implications of varying reserve margins.  A probabilistic approach is needed to characterize the distribution of possible outcomes, particularly because the majority of reliability-related costs are associated with infrequent and sometimes extreme scarcity events.  Such reliability events are typically triggered by rare circumstances that reflect a combination of extreme weather-related loads, high load-growth forecast error, and unusual combinations of generation outages.</w:t>
      </w:r>
    </w:p>
    <w:p w14:paraId="74667FC0" w14:textId="77777777" w:rsidR="004B58AD" w:rsidRPr="005A0943" w:rsidRDefault="004B58AD" w:rsidP="004B58AD">
      <w:pPr>
        <w:pStyle w:val="BGNormal125"/>
        <w:rPr>
          <w:rFonts w:ascii="Calibri" w:hAnsi="Calibri" w:cs="Calibri"/>
          <w:color w:val="auto"/>
          <w:sz w:val="22"/>
          <w:szCs w:val="22"/>
        </w:rPr>
      </w:pPr>
      <w:r w:rsidRPr="005A0943">
        <w:rPr>
          <w:rFonts w:ascii="Calibri" w:hAnsi="Calibri" w:cs="Calibri"/>
          <w:color w:val="auto"/>
          <w:sz w:val="22"/>
          <w:szCs w:val="22"/>
        </w:rPr>
        <w:t>To properly capture the magnitude and impact of reliability conditions during extreme events, a critical aspect of this modeling effort is the correct economic and operational characterization of emergency procedures.  For this reason, SERVM simulates a range of emergency procedures, accounting for energy and call-hour limitations, dispatch prices, operating reserve depletion, dispatch of economic and emergency demand-response resources, and administrative scarcity pricing.</w:t>
      </w:r>
      <w:r w:rsidRPr="005A0943">
        <w:rPr>
          <w:rStyle w:val="FootnoteReference"/>
          <w:rFonts w:ascii="Calibri" w:hAnsi="Calibri" w:cs="Calibri"/>
          <w:color w:val="auto"/>
          <w:sz w:val="22"/>
          <w:szCs w:val="22"/>
        </w:rPr>
        <w:footnoteReference w:id="15"/>
      </w:r>
    </w:p>
    <w:p w14:paraId="1B3FE0A3" w14:textId="6A9D2199" w:rsidR="004B58AD" w:rsidRPr="00D657DB" w:rsidRDefault="004B58AD" w:rsidP="00FA0DFD">
      <w:pPr>
        <w:pStyle w:val="Heading2"/>
        <w:numPr>
          <w:ilvl w:val="0"/>
          <w:numId w:val="11"/>
        </w:numPr>
      </w:pPr>
      <w:bookmarkStart w:id="29" w:name="_Ref522571387"/>
      <w:bookmarkStart w:id="30" w:name="_Ref523319127"/>
      <w:bookmarkStart w:id="31" w:name="_Ref524989404"/>
      <w:bookmarkStart w:id="32" w:name="_Toc525079585"/>
      <w:bookmarkStart w:id="33" w:name="_Toc525851008"/>
      <w:bookmarkStart w:id="34" w:name="_Toc525938040"/>
      <w:bookmarkStart w:id="35" w:name="_Toc526279096"/>
      <w:bookmarkStart w:id="36" w:name="_Toc526437252"/>
      <w:bookmarkStart w:id="37" w:name="_Toc526439896"/>
      <w:bookmarkStart w:id="38" w:name="_Toc526440006"/>
      <w:bookmarkStart w:id="39" w:name="_Toc532834283"/>
      <w:bookmarkStart w:id="40" w:name="_Toc57193554"/>
      <w:r w:rsidRPr="00465633">
        <w:t>Primary Inputs</w:t>
      </w:r>
      <w:bookmarkEnd w:id="29"/>
      <w:bookmarkEnd w:id="30"/>
      <w:bookmarkEnd w:id="31"/>
      <w:bookmarkEnd w:id="32"/>
      <w:bookmarkEnd w:id="33"/>
      <w:bookmarkEnd w:id="34"/>
      <w:bookmarkEnd w:id="35"/>
      <w:bookmarkEnd w:id="36"/>
      <w:bookmarkEnd w:id="37"/>
      <w:bookmarkEnd w:id="38"/>
      <w:bookmarkEnd w:id="39"/>
      <w:bookmarkEnd w:id="40"/>
    </w:p>
    <w:p w14:paraId="7C9998AA" w14:textId="0655F58E" w:rsidR="004B58AD" w:rsidRPr="008047D4" w:rsidRDefault="00DA56F7" w:rsidP="004B58AD">
      <w:pPr>
        <w:pStyle w:val="BGNormal125"/>
        <w:rPr>
          <w:rFonts w:ascii="Calibri" w:hAnsi="Calibri" w:cs="Calibri"/>
          <w:color w:val="auto"/>
          <w:sz w:val="22"/>
          <w:szCs w:val="22"/>
        </w:rPr>
      </w:pPr>
      <w:r>
        <w:rPr>
          <w:rFonts w:ascii="Calibri" w:hAnsi="Calibri" w:cs="Calibri"/>
          <w:color w:val="auto"/>
          <w:sz w:val="22"/>
          <w:szCs w:val="22"/>
        </w:rPr>
        <w:t>The projected resource mixes in ERCOT have</w:t>
      </w:r>
      <w:r w:rsidR="004B58AD" w:rsidRPr="008047D4">
        <w:rPr>
          <w:rFonts w:ascii="Calibri" w:hAnsi="Calibri" w:cs="Calibri"/>
          <w:color w:val="auto"/>
          <w:sz w:val="22"/>
          <w:szCs w:val="22"/>
        </w:rPr>
        <w:t xml:space="preserve"> shifted </w:t>
      </w:r>
      <w:r>
        <w:rPr>
          <w:rFonts w:ascii="Calibri" w:hAnsi="Calibri" w:cs="Calibri"/>
          <w:color w:val="auto"/>
          <w:sz w:val="22"/>
          <w:szCs w:val="22"/>
        </w:rPr>
        <w:t xml:space="preserve">and load has grown </w:t>
      </w:r>
      <w:r w:rsidR="004B58AD" w:rsidRPr="008047D4">
        <w:rPr>
          <w:rFonts w:ascii="Calibri" w:hAnsi="Calibri" w:cs="Calibri"/>
          <w:color w:val="auto"/>
          <w:sz w:val="22"/>
          <w:szCs w:val="22"/>
        </w:rPr>
        <w:t xml:space="preserve">since </w:t>
      </w:r>
      <w:r w:rsidR="00AF19C7">
        <w:rPr>
          <w:rFonts w:ascii="Calibri" w:hAnsi="Calibri" w:cs="Calibri"/>
          <w:color w:val="auto"/>
          <w:sz w:val="22"/>
          <w:szCs w:val="22"/>
        </w:rPr>
        <w:t xml:space="preserve">completion of </w:t>
      </w:r>
      <w:r w:rsidR="004B58AD" w:rsidRPr="008047D4">
        <w:rPr>
          <w:rFonts w:ascii="Calibri" w:hAnsi="Calibri" w:cs="Calibri"/>
          <w:color w:val="auto"/>
          <w:sz w:val="22"/>
          <w:szCs w:val="22"/>
        </w:rPr>
        <w:t>the 201</w:t>
      </w:r>
      <w:r w:rsidR="00D7719A" w:rsidRPr="008047D4">
        <w:rPr>
          <w:rFonts w:ascii="Calibri" w:hAnsi="Calibri" w:cs="Calibri"/>
          <w:color w:val="auto"/>
          <w:sz w:val="22"/>
          <w:szCs w:val="22"/>
        </w:rPr>
        <w:t>8</w:t>
      </w:r>
      <w:r w:rsidR="004B58AD" w:rsidRPr="008047D4">
        <w:rPr>
          <w:rFonts w:ascii="Calibri" w:hAnsi="Calibri" w:cs="Calibri"/>
          <w:color w:val="auto"/>
          <w:sz w:val="22"/>
          <w:szCs w:val="22"/>
        </w:rPr>
        <w:t xml:space="preserve"> </w:t>
      </w:r>
      <w:r w:rsidR="00F27FFA">
        <w:rPr>
          <w:rFonts w:ascii="Calibri" w:hAnsi="Calibri" w:cs="Calibri"/>
          <w:color w:val="auto"/>
          <w:sz w:val="22"/>
          <w:szCs w:val="22"/>
        </w:rPr>
        <w:t>study</w:t>
      </w:r>
      <w:r w:rsidR="004B58AD" w:rsidRPr="008047D4">
        <w:rPr>
          <w:rFonts w:ascii="Calibri" w:hAnsi="Calibri" w:cs="Calibri"/>
          <w:color w:val="auto"/>
          <w:sz w:val="22"/>
          <w:szCs w:val="22"/>
        </w:rPr>
        <w:t xml:space="preserve"> report.  This section focuses on those changes and discusses their implications for the MERM and EORM.</w:t>
      </w:r>
    </w:p>
    <w:p w14:paraId="53588F69" w14:textId="3DF90D1D" w:rsidR="00DD0209" w:rsidRDefault="00DA56F7" w:rsidP="003A1D09">
      <w:pPr>
        <w:pStyle w:val="BGNormal125"/>
        <w:spacing w:after="240"/>
        <w:rPr>
          <w:rFonts w:ascii="Calibri" w:hAnsi="Calibri" w:cs="Calibri"/>
          <w:color w:val="auto"/>
          <w:sz w:val="22"/>
          <w:szCs w:val="22"/>
        </w:rPr>
      </w:pPr>
      <w:r>
        <w:rPr>
          <w:rFonts w:ascii="Calibri" w:hAnsi="Calibri" w:cs="Calibri"/>
          <w:color w:val="auto"/>
          <w:sz w:val="22"/>
          <w:szCs w:val="22"/>
        </w:rPr>
        <w:t>Load and resource</w:t>
      </w:r>
      <w:r w:rsidR="004B58AD" w:rsidRPr="005A0943">
        <w:rPr>
          <w:rFonts w:ascii="Calibri" w:hAnsi="Calibri" w:cs="Calibri"/>
          <w:color w:val="auto"/>
          <w:sz w:val="22"/>
          <w:szCs w:val="22"/>
        </w:rPr>
        <w:t xml:space="preserve"> accounting</w:t>
      </w:r>
      <w:r w:rsidR="009A3D53">
        <w:rPr>
          <w:rFonts w:ascii="Calibri" w:hAnsi="Calibri" w:cs="Calibri"/>
          <w:color w:val="auto"/>
          <w:sz w:val="22"/>
          <w:szCs w:val="22"/>
        </w:rPr>
        <w:t xml:space="preserve"> for the base case is </w:t>
      </w:r>
      <w:r w:rsidR="00FF1CEC">
        <w:rPr>
          <w:rFonts w:ascii="Calibri" w:hAnsi="Calibri" w:cs="Calibri"/>
          <w:color w:val="auto"/>
          <w:sz w:val="22"/>
          <w:szCs w:val="22"/>
        </w:rPr>
        <w:t>based on ERCOT’s conventions</w:t>
      </w:r>
      <w:r w:rsidR="009A3D53">
        <w:rPr>
          <w:rFonts w:ascii="Calibri" w:hAnsi="Calibri" w:cs="Calibri"/>
          <w:color w:val="auto"/>
          <w:sz w:val="22"/>
          <w:szCs w:val="22"/>
        </w:rPr>
        <w:t xml:space="preserve"> </w:t>
      </w:r>
      <w:r w:rsidR="000C1E59" w:rsidRPr="005A0943">
        <w:rPr>
          <w:rFonts w:ascii="Calibri" w:hAnsi="Calibri" w:cs="Calibri"/>
          <w:color w:val="auto"/>
          <w:sz w:val="22"/>
          <w:szCs w:val="22"/>
        </w:rPr>
        <w:t xml:space="preserve">in </w:t>
      </w:r>
      <w:r w:rsidR="000C1E59">
        <w:rPr>
          <w:rFonts w:ascii="Calibri" w:hAnsi="Calibri" w:cs="Calibri"/>
          <w:color w:val="auto"/>
          <w:sz w:val="22"/>
          <w:szCs w:val="22"/>
        </w:rPr>
        <w:t>the</w:t>
      </w:r>
      <w:r w:rsidR="000C1E59" w:rsidRPr="005A0943">
        <w:rPr>
          <w:rFonts w:ascii="Calibri" w:hAnsi="Calibri" w:cs="Calibri"/>
          <w:color w:val="auto"/>
          <w:sz w:val="22"/>
          <w:szCs w:val="22"/>
        </w:rPr>
        <w:t xml:space="preserve"> </w:t>
      </w:r>
      <w:r w:rsidR="003C6800">
        <w:rPr>
          <w:rFonts w:ascii="Calibri" w:hAnsi="Calibri" w:cs="Calibri"/>
          <w:color w:val="auto"/>
          <w:sz w:val="22"/>
          <w:szCs w:val="22"/>
        </w:rPr>
        <w:t xml:space="preserve">May </w:t>
      </w:r>
      <w:r w:rsidR="000C1E59" w:rsidRPr="005A0943">
        <w:rPr>
          <w:rFonts w:ascii="Calibri" w:hAnsi="Calibri" w:cs="Calibri"/>
          <w:color w:val="auto"/>
          <w:sz w:val="22"/>
          <w:szCs w:val="22"/>
        </w:rPr>
        <w:t xml:space="preserve">2020 CDR, as summarized in column C of </w:t>
      </w:r>
      <w:r w:rsidR="000C1E59" w:rsidRPr="005A0943">
        <w:rPr>
          <w:rFonts w:ascii="Calibri" w:hAnsi="Calibri" w:cs="Calibri"/>
          <w:color w:val="auto"/>
          <w:sz w:val="22"/>
          <w:szCs w:val="22"/>
        </w:rPr>
        <w:fldChar w:fldCharType="begin"/>
      </w:r>
      <w:r w:rsidR="000C1E59" w:rsidRPr="005A0943">
        <w:rPr>
          <w:rFonts w:ascii="Calibri" w:hAnsi="Calibri" w:cs="Calibri"/>
          <w:color w:val="auto"/>
          <w:sz w:val="22"/>
          <w:szCs w:val="22"/>
        </w:rPr>
        <w:instrText xml:space="preserve"> REF _Ref523235568 \h  \* MERGEFORMAT </w:instrText>
      </w:r>
      <w:r w:rsidR="000C1E59" w:rsidRPr="005A0943">
        <w:rPr>
          <w:rFonts w:ascii="Calibri" w:hAnsi="Calibri" w:cs="Calibri"/>
          <w:color w:val="auto"/>
          <w:sz w:val="22"/>
          <w:szCs w:val="22"/>
        </w:rPr>
      </w:r>
      <w:r w:rsidR="000C1E59" w:rsidRPr="005A0943">
        <w:rPr>
          <w:rFonts w:ascii="Calibri" w:hAnsi="Calibri" w:cs="Calibri"/>
          <w:color w:val="auto"/>
          <w:sz w:val="22"/>
          <w:szCs w:val="22"/>
        </w:rPr>
        <w:fldChar w:fldCharType="separate"/>
      </w:r>
      <w:r w:rsidR="000C1E59" w:rsidRPr="005A0943">
        <w:rPr>
          <w:rFonts w:ascii="Calibri" w:hAnsi="Calibri" w:cs="Calibri"/>
          <w:color w:val="auto"/>
          <w:sz w:val="22"/>
          <w:szCs w:val="22"/>
        </w:rPr>
        <w:t xml:space="preserve">Table </w:t>
      </w:r>
      <w:r w:rsidR="000C1E59" w:rsidRPr="005A0943">
        <w:rPr>
          <w:rFonts w:ascii="Calibri" w:hAnsi="Calibri" w:cs="Calibri"/>
          <w:noProof/>
          <w:color w:val="auto"/>
          <w:sz w:val="22"/>
          <w:szCs w:val="22"/>
        </w:rPr>
        <w:t>1</w:t>
      </w:r>
      <w:r w:rsidR="000C1E59" w:rsidRPr="005A0943">
        <w:rPr>
          <w:rFonts w:ascii="Calibri" w:hAnsi="Calibri" w:cs="Calibri"/>
          <w:color w:val="auto"/>
          <w:sz w:val="22"/>
          <w:szCs w:val="22"/>
        </w:rPr>
        <w:fldChar w:fldCharType="end"/>
      </w:r>
      <w:r w:rsidR="00FF1CEC">
        <w:rPr>
          <w:rFonts w:ascii="Calibri" w:hAnsi="Calibri" w:cs="Calibri"/>
          <w:color w:val="auto"/>
          <w:sz w:val="22"/>
          <w:szCs w:val="22"/>
        </w:rPr>
        <w:t>.</w:t>
      </w:r>
      <w:r w:rsidR="000C1E59">
        <w:rPr>
          <w:rFonts w:ascii="Calibri" w:hAnsi="Calibri" w:cs="Calibri"/>
          <w:color w:val="auto"/>
          <w:sz w:val="22"/>
          <w:szCs w:val="22"/>
        </w:rPr>
        <w:t xml:space="preserve"> </w:t>
      </w:r>
      <w:r w:rsidR="000C1E59" w:rsidRPr="005A0943">
        <w:rPr>
          <w:rFonts w:ascii="Calibri" w:hAnsi="Calibri" w:cs="Calibri"/>
          <w:color w:val="auto"/>
          <w:sz w:val="22"/>
          <w:szCs w:val="22"/>
        </w:rPr>
        <w:t xml:space="preserve">Peak load is reduced for non-controllable load resources (LRs), 10-minute and 30-minute emergency response service (ERS), and Transmission/Distribution Service Providers (TDSP) energy efficiency and </w:t>
      </w:r>
      <w:r w:rsidR="000C1E59" w:rsidRPr="005D76C3">
        <w:rPr>
          <w:rFonts w:ascii="Calibri" w:hAnsi="Calibri" w:cs="Calibri"/>
          <w:color w:val="auto"/>
          <w:sz w:val="22"/>
          <w:szCs w:val="22"/>
        </w:rPr>
        <w:t>load management.  On the supply side, most resources are counted toward the reserve margin at their summer ratings, except for coastal wind, panhandle wind, other wind, solar, and storage counting at 63%, 29%, 16%, 76%, and 0% of nameplate respectively</w:t>
      </w:r>
      <w:r w:rsidR="000C1E59" w:rsidRPr="003375E7">
        <w:rPr>
          <w:rFonts w:ascii="Calibri" w:hAnsi="Calibri" w:cs="Calibri"/>
          <w:color w:val="auto"/>
          <w:sz w:val="22"/>
          <w:szCs w:val="22"/>
        </w:rPr>
        <w:t xml:space="preserve">, </w:t>
      </w:r>
      <w:r w:rsidR="000C1E59" w:rsidRPr="00724DF6">
        <w:rPr>
          <w:rFonts w:ascii="Calibri" w:hAnsi="Calibri" w:cs="Calibri"/>
          <w:color w:val="auto"/>
          <w:sz w:val="22"/>
          <w:szCs w:val="22"/>
        </w:rPr>
        <w:t>and the High Voltage Direct Current (HVDC) ties counting at approximately 31% of the path ratings, consistent with the CDR.</w:t>
      </w:r>
      <w:r w:rsidR="00FF1CEC" w:rsidRPr="003375E7">
        <w:rPr>
          <w:rFonts w:ascii="Calibri" w:hAnsi="Calibri" w:cs="Calibri"/>
          <w:color w:val="auto"/>
          <w:sz w:val="22"/>
          <w:szCs w:val="22"/>
        </w:rPr>
        <w:t xml:space="preserve"> </w:t>
      </w:r>
      <w:r w:rsidRPr="003375E7">
        <w:rPr>
          <w:rFonts w:ascii="Calibri" w:hAnsi="Calibri" w:cs="Calibri"/>
          <w:color w:val="auto"/>
          <w:sz w:val="22"/>
          <w:szCs w:val="22"/>
        </w:rPr>
        <w:t xml:space="preserve">The capacity </w:t>
      </w:r>
      <w:r w:rsidR="004E4DDB">
        <w:rPr>
          <w:rFonts w:ascii="Calibri" w:hAnsi="Calibri" w:cs="Calibri"/>
          <w:color w:val="auto"/>
          <w:sz w:val="22"/>
          <w:szCs w:val="22"/>
        </w:rPr>
        <w:t>credit</w:t>
      </w:r>
      <w:r w:rsidRPr="00E20E07">
        <w:rPr>
          <w:rFonts w:ascii="Calibri" w:hAnsi="Calibri" w:cs="Calibri"/>
          <w:color w:val="auto"/>
          <w:sz w:val="22"/>
          <w:szCs w:val="22"/>
        </w:rPr>
        <w:t xml:space="preserve"> </w:t>
      </w:r>
      <w:r w:rsidR="00AF19C7">
        <w:rPr>
          <w:rFonts w:ascii="Calibri" w:hAnsi="Calibri" w:cs="Calibri"/>
          <w:color w:val="auto"/>
          <w:sz w:val="22"/>
          <w:szCs w:val="22"/>
        </w:rPr>
        <w:t xml:space="preserve">estimation process </w:t>
      </w:r>
      <w:r w:rsidRPr="00E20E07">
        <w:rPr>
          <w:rFonts w:ascii="Calibri" w:hAnsi="Calibri" w:cs="Calibri"/>
          <w:color w:val="auto"/>
          <w:sz w:val="22"/>
          <w:szCs w:val="22"/>
        </w:rPr>
        <w:t xml:space="preserve">for renewable resources is discussed further in section </w:t>
      </w:r>
      <w:r w:rsidR="00517625">
        <w:rPr>
          <w:rFonts w:ascii="Calibri" w:hAnsi="Calibri" w:cs="Calibri"/>
          <w:color w:val="auto"/>
          <w:sz w:val="22"/>
          <w:szCs w:val="22"/>
        </w:rPr>
        <w:t>II.A</w:t>
      </w:r>
      <w:r w:rsidRPr="003375E7">
        <w:rPr>
          <w:rFonts w:ascii="Calibri" w:hAnsi="Calibri" w:cs="Calibri"/>
          <w:color w:val="auto"/>
          <w:sz w:val="22"/>
          <w:szCs w:val="22"/>
        </w:rPr>
        <w:t xml:space="preserve">. </w:t>
      </w:r>
    </w:p>
    <w:p w14:paraId="76D0E9FE" w14:textId="5EED6541" w:rsidR="007974EC" w:rsidRDefault="007974EC" w:rsidP="007974EC">
      <w:pPr>
        <w:pStyle w:val="Caption"/>
        <w:jc w:val="center"/>
        <w:rPr>
          <w:rFonts w:cs="Calibri"/>
          <w:b/>
          <w:bCs/>
          <w:i w:val="0"/>
          <w:iCs w:val="0"/>
          <w:color w:val="auto"/>
          <w:sz w:val="22"/>
          <w:szCs w:val="22"/>
        </w:rPr>
      </w:pPr>
      <w:r w:rsidRPr="00E025BC">
        <w:rPr>
          <w:rFonts w:cs="Calibri"/>
          <w:b/>
          <w:bCs/>
          <w:i w:val="0"/>
          <w:iCs w:val="0"/>
          <w:color w:val="auto"/>
          <w:sz w:val="22"/>
          <w:szCs w:val="22"/>
        </w:rPr>
        <w:t xml:space="preserve">Table </w:t>
      </w:r>
      <w:r w:rsidRPr="00E025BC">
        <w:rPr>
          <w:rFonts w:cs="Calibri"/>
          <w:b/>
          <w:bCs/>
          <w:i w:val="0"/>
          <w:iCs w:val="0"/>
          <w:noProof/>
          <w:color w:val="auto"/>
          <w:sz w:val="22"/>
          <w:szCs w:val="22"/>
        </w:rPr>
        <w:fldChar w:fldCharType="begin"/>
      </w:r>
      <w:r w:rsidRPr="00E025BC">
        <w:rPr>
          <w:rFonts w:cs="Calibri"/>
          <w:b/>
          <w:bCs/>
          <w:i w:val="0"/>
          <w:iCs w:val="0"/>
          <w:noProof/>
          <w:color w:val="auto"/>
          <w:sz w:val="22"/>
          <w:szCs w:val="22"/>
        </w:rPr>
        <w:instrText xml:space="preserve"> SEQ Table \* ARABIC </w:instrText>
      </w:r>
      <w:r w:rsidRPr="00E025BC">
        <w:rPr>
          <w:rFonts w:cs="Calibri"/>
          <w:b/>
          <w:bCs/>
          <w:i w:val="0"/>
          <w:iCs w:val="0"/>
          <w:noProof/>
          <w:color w:val="auto"/>
          <w:sz w:val="22"/>
          <w:szCs w:val="22"/>
        </w:rPr>
        <w:fldChar w:fldCharType="separate"/>
      </w:r>
      <w:r>
        <w:rPr>
          <w:rFonts w:cs="Calibri"/>
          <w:b/>
          <w:bCs/>
          <w:i w:val="0"/>
          <w:iCs w:val="0"/>
          <w:noProof/>
          <w:color w:val="auto"/>
          <w:sz w:val="22"/>
          <w:szCs w:val="22"/>
        </w:rPr>
        <w:t>1</w:t>
      </w:r>
      <w:r w:rsidRPr="00E025BC">
        <w:rPr>
          <w:rFonts w:cs="Calibri"/>
          <w:b/>
          <w:bCs/>
          <w:i w:val="0"/>
          <w:iCs w:val="0"/>
          <w:noProof/>
          <w:color w:val="auto"/>
          <w:sz w:val="22"/>
          <w:szCs w:val="22"/>
        </w:rPr>
        <w:fldChar w:fldCharType="end"/>
      </w:r>
      <w:r w:rsidRPr="00E025BC">
        <w:rPr>
          <w:rFonts w:cs="Calibri"/>
          <w:b/>
          <w:bCs/>
          <w:i w:val="0"/>
          <w:iCs w:val="0"/>
          <w:noProof/>
          <w:color w:val="auto"/>
          <w:sz w:val="22"/>
          <w:szCs w:val="22"/>
        </w:rPr>
        <w:t xml:space="preserve">. </w:t>
      </w:r>
      <w:r>
        <w:rPr>
          <w:rFonts w:cs="Calibri"/>
          <w:b/>
          <w:bCs/>
          <w:i w:val="0"/>
          <w:iCs w:val="0"/>
          <w:color w:val="auto"/>
          <w:sz w:val="22"/>
          <w:szCs w:val="22"/>
        </w:rPr>
        <w:t>Components of Supply and Demand in Current 2020 Study vs. 2018 Study</w:t>
      </w:r>
    </w:p>
    <w:tbl>
      <w:tblPr>
        <w:tblW w:w="5150" w:type="pct"/>
        <w:tblLook w:val="04A0" w:firstRow="1" w:lastRow="0" w:firstColumn="1" w:lastColumn="0" w:noHBand="0" w:noVBand="1"/>
      </w:tblPr>
      <w:tblGrid>
        <w:gridCol w:w="2733"/>
        <w:gridCol w:w="1220"/>
        <w:gridCol w:w="1389"/>
        <w:gridCol w:w="1221"/>
        <w:gridCol w:w="1458"/>
        <w:gridCol w:w="1620"/>
      </w:tblGrid>
      <w:tr w:rsidR="007974EC" w:rsidRPr="007974EC" w14:paraId="1FA707B1" w14:textId="77777777" w:rsidTr="000501D2">
        <w:trPr>
          <w:trHeight w:val="300"/>
        </w:trPr>
        <w:tc>
          <w:tcPr>
            <w:tcW w:w="1417" w:type="pct"/>
            <w:tcBorders>
              <w:top w:val="single" w:sz="4" w:space="0" w:color="auto"/>
              <w:left w:val="nil"/>
              <w:bottom w:val="nil"/>
              <w:right w:val="nil"/>
            </w:tcBorders>
            <w:shd w:val="clear" w:color="auto" w:fill="auto"/>
            <w:noWrap/>
            <w:vAlign w:val="center"/>
            <w:hideMark/>
          </w:tcPr>
          <w:p w14:paraId="74E8907D" w14:textId="76B4E31E" w:rsidR="007974EC" w:rsidRPr="007974EC" w:rsidRDefault="007974EC" w:rsidP="007974EC">
            <w:pPr>
              <w:spacing w:after="0" w:line="240" w:lineRule="auto"/>
              <w:jc w:val="center"/>
              <w:rPr>
                <w:rFonts w:eastAsia="Times New Roman" w:cs="Calibri"/>
                <w:b/>
                <w:bCs/>
                <w:color w:val="000000"/>
                <w:kern w:val="0"/>
                <w:sz w:val="20"/>
                <w:szCs w:val="20"/>
              </w:rPr>
            </w:pPr>
          </w:p>
        </w:tc>
        <w:tc>
          <w:tcPr>
            <w:tcW w:w="633" w:type="pct"/>
            <w:tcBorders>
              <w:top w:val="single" w:sz="4" w:space="0" w:color="auto"/>
              <w:left w:val="nil"/>
              <w:bottom w:val="nil"/>
              <w:right w:val="nil"/>
            </w:tcBorders>
            <w:shd w:val="clear" w:color="auto" w:fill="auto"/>
            <w:noWrap/>
            <w:vAlign w:val="center"/>
            <w:hideMark/>
          </w:tcPr>
          <w:p w14:paraId="01DB8622" w14:textId="1479F607"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Values from</w:t>
            </w:r>
          </w:p>
          <w:p w14:paraId="18FBFFA0" w14:textId="7E4395EC" w:rsidR="007974EC" w:rsidRP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2018 Study</w:t>
            </w:r>
          </w:p>
        </w:tc>
        <w:tc>
          <w:tcPr>
            <w:tcW w:w="721" w:type="pct"/>
            <w:tcBorders>
              <w:top w:val="single" w:sz="4" w:space="0" w:color="auto"/>
              <w:left w:val="nil"/>
              <w:bottom w:val="nil"/>
              <w:right w:val="nil"/>
            </w:tcBorders>
            <w:shd w:val="clear" w:color="auto" w:fill="auto"/>
            <w:noWrap/>
            <w:vAlign w:val="center"/>
            <w:hideMark/>
          </w:tcPr>
          <w:p w14:paraId="7CEA4CB4" w14:textId="25E03566"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Re-expressed</w:t>
            </w:r>
          </w:p>
          <w:p w14:paraId="54204E11" w14:textId="256D4F24"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Values from</w:t>
            </w:r>
          </w:p>
          <w:p w14:paraId="5A5F7243" w14:textId="77777777"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2018 Study</w:t>
            </w:r>
          </w:p>
          <w:p w14:paraId="4942589A" w14:textId="6D81DDAF"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(Using 2020</w:t>
            </w:r>
          </w:p>
          <w:p w14:paraId="168A6C7A" w14:textId="7FE32D00" w:rsidR="007974EC" w:rsidRP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Accounting)</w:t>
            </w:r>
          </w:p>
        </w:tc>
        <w:tc>
          <w:tcPr>
            <w:tcW w:w="633" w:type="pct"/>
            <w:tcBorders>
              <w:top w:val="single" w:sz="4" w:space="0" w:color="auto"/>
              <w:left w:val="nil"/>
              <w:bottom w:val="nil"/>
              <w:right w:val="single" w:sz="4" w:space="0" w:color="auto"/>
            </w:tcBorders>
            <w:shd w:val="clear" w:color="auto" w:fill="auto"/>
            <w:noWrap/>
            <w:vAlign w:val="center"/>
            <w:hideMark/>
          </w:tcPr>
          <w:p w14:paraId="110DED0F" w14:textId="2A2278F6"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Values from</w:t>
            </w:r>
          </w:p>
          <w:p w14:paraId="57704582" w14:textId="3C5E8480" w:rsidR="007974EC" w:rsidRP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2020 Study</w:t>
            </w:r>
          </w:p>
        </w:tc>
        <w:tc>
          <w:tcPr>
            <w:tcW w:w="756" w:type="pct"/>
            <w:tcBorders>
              <w:top w:val="single" w:sz="4" w:space="0" w:color="auto"/>
              <w:left w:val="single" w:sz="4" w:space="0" w:color="auto"/>
              <w:bottom w:val="nil"/>
              <w:right w:val="nil"/>
            </w:tcBorders>
            <w:shd w:val="clear" w:color="auto" w:fill="auto"/>
            <w:noWrap/>
            <w:vAlign w:val="center"/>
            <w:hideMark/>
          </w:tcPr>
          <w:p w14:paraId="54F8C242" w14:textId="07874EE9"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Difference</w:t>
            </w:r>
          </w:p>
          <w:p w14:paraId="68E6E6A0" w14:textId="6CEAF671"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Attributable to</w:t>
            </w:r>
          </w:p>
          <w:p w14:paraId="6CB25892" w14:textId="0CFD36EE"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Accounting</w:t>
            </w:r>
          </w:p>
          <w:p w14:paraId="0927671E" w14:textId="73B11CFF" w:rsidR="007974EC" w:rsidRP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Changes</w:t>
            </w:r>
          </w:p>
        </w:tc>
        <w:tc>
          <w:tcPr>
            <w:tcW w:w="840" w:type="pct"/>
            <w:tcBorders>
              <w:top w:val="single" w:sz="4" w:space="0" w:color="auto"/>
              <w:left w:val="nil"/>
              <w:bottom w:val="nil"/>
              <w:right w:val="nil"/>
            </w:tcBorders>
            <w:shd w:val="clear" w:color="auto" w:fill="auto"/>
            <w:noWrap/>
            <w:vAlign w:val="center"/>
            <w:hideMark/>
          </w:tcPr>
          <w:p w14:paraId="724528D1" w14:textId="6930EEE6"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Difference</w:t>
            </w:r>
          </w:p>
          <w:p w14:paraId="68BE2978" w14:textId="1549CE5D"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Attributable</w:t>
            </w:r>
          </w:p>
          <w:p w14:paraId="7B0FD9C7" w14:textId="4B7E9356" w:rsid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to Fundamentals</w:t>
            </w:r>
          </w:p>
          <w:p w14:paraId="47ABAA09" w14:textId="7FFF2A89" w:rsidR="007974EC" w:rsidRPr="007974EC" w:rsidRDefault="007974EC" w:rsidP="007974EC">
            <w:pPr>
              <w:spacing w:after="0" w:line="240" w:lineRule="auto"/>
              <w:jc w:val="center"/>
              <w:rPr>
                <w:rFonts w:eastAsia="Times New Roman" w:cs="Calibri"/>
                <w:b/>
                <w:bCs/>
                <w:color w:val="000000"/>
                <w:kern w:val="0"/>
                <w:sz w:val="20"/>
                <w:szCs w:val="20"/>
              </w:rPr>
            </w:pPr>
            <w:r w:rsidRPr="007974EC">
              <w:rPr>
                <w:rFonts w:eastAsia="Times New Roman" w:cs="Calibri"/>
                <w:b/>
                <w:bCs/>
                <w:color w:val="000000"/>
                <w:kern w:val="0"/>
                <w:sz w:val="20"/>
                <w:szCs w:val="20"/>
              </w:rPr>
              <w:t>Changes</w:t>
            </w:r>
          </w:p>
        </w:tc>
      </w:tr>
      <w:tr w:rsidR="007974EC" w:rsidRPr="007974EC" w14:paraId="27BBDB86" w14:textId="77777777" w:rsidTr="000501D2">
        <w:trPr>
          <w:trHeight w:val="300"/>
        </w:trPr>
        <w:tc>
          <w:tcPr>
            <w:tcW w:w="1417" w:type="pct"/>
            <w:tcBorders>
              <w:top w:val="nil"/>
              <w:left w:val="nil"/>
              <w:bottom w:val="nil"/>
              <w:right w:val="nil"/>
            </w:tcBorders>
            <w:shd w:val="clear" w:color="auto" w:fill="auto"/>
            <w:noWrap/>
            <w:vAlign w:val="center"/>
            <w:hideMark/>
          </w:tcPr>
          <w:p w14:paraId="65DEE4C5" w14:textId="77777777" w:rsidR="007974EC" w:rsidRPr="007974EC" w:rsidRDefault="007974EC" w:rsidP="007974EC">
            <w:pPr>
              <w:spacing w:after="0" w:line="240" w:lineRule="auto"/>
              <w:jc w:val="center"/>
              <w:rPr>
                <w:rFonts w:eastAsia="Times New Roman" w:cs="Calibri"/>
                <w:b/>
                <w:bCs/>
                <w:color w:val="000000"/>
                <w:kern w:val="0"/>
                <w:sz w:val="20"/>
                <w:szCs w:val="20"/>
              </w:rPr>
            </w:pPr>
          </w:p>
        </w:tc>
        <w:tc>
          <w:tcPr>
            <w:tcW w:w="633" w:type="pct"/>
            <w:tcBorders>
              <w:top w:val="nil"/>
              <w:left w:val="nil"/>
              <w:bottom w:val="nil"/>
              <w:right w:val="nil"/>
            </w:tcBorders>
            <w:shd w:val="clear" w:color="auto" w:fill="auto"/>
            <w:noWrap/>
            <w:vAlign w:val="center"/>
            <w:hideMark/>
          </w:tcPr>
          <w:p w14:paraId="32FB40BE"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(MW)</w:t>
            </w:r>
          </w:p>
        </w:tc>
        <w:tc>
          <w:tcPr>
            <w:tcW w:w="721" w:type="pct"/>
            <w:tcBorders>
              <w:top w:val="nil"/>
              <w:left w:val="nil"/>
              <w:bottom w:val="nil"/>
              <w:right w:val="nil"/>
            </w:tcBorders>
            <w:shd w:val="clear" w:color="auto" w:fill="auto"/>
            <w:noWrap/>
            <w:vAlign w:val="center"/>
            <w:hideMark/>
          </w:tcPr>
          <w:p w14:paraId="6BEF976E"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(MW)</w:t>
            </w:r>
          </w:p>
        </w:tc>
        <w:tc>
          <w:tcPr>
            <w:tcW w:w="633" w:type="pct"/>
            <w:tcBorders>
              <w:top w:val="nil"/>
              <w:left w:val="nil"/>
              <w:bottom w:val="nil"/>
              <w:right w:val="single" w:sz="4" w:space="0" w:color="auto"/>
            </w:tcBorders>
            <w:shd w:val="clear" w:color="auto" w:fill="auto"/>
            <w:noWrap/>
            <w:vAlign w:val="center"/>
            <w:hideMark/>
          </w:tcPr>
          <w:p w14:paraId="61915211"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(MW)</w:t>
            </w:r>
          </w:p>
        </w:tc>
        <w:tc>
          <w:tcPr>
            <w:tcW w:w="756" w:type="pct"/>
            <w:tcBorders>
              <w:top w:val="nil"/>
              <w:left w:val="single" w:sz="4" w:space="0" w:color="auto"/>
              <w:bottom w:val="nil"/>
              <w:right w:val="nil"/>
            </w:tcBorders>
            <w:shd w:val="clear" w:color="auto" w:fill="auto"/>
            <w:noWrap/>
            <w:vAlign w:val="center"/>
            <w:hideMark/>
          </w:tcPr>
          <w:p w14:paraId="1F0640CD"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(MW)</w:t>
            </w:r>
          </w:p>
        </w:tc>
        <w:tc>
          <w:tcPr>
            <w:tcW w:w="840" w:type="pct"/>
            <w:tcBorders>
              <w:top w:val="nil"/>
              <w:left w:val="nil"/>
              <w:bottom w:val="nil"/>
              <w:right w:val="nil"/>
            </w:tcBorders>
            <w:shd w:val="clear" w:color="auto" w:fill="auto"/>
            <w:noWrap/>
            <w:vAlign w:val="center"/>
            <w:hideMark/>
          </w:tcPr>
          <w:p w14:paraId="4DF0BE28"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(MW)</w:t>
            </w:r>
          </w:p>
        </w:tc>
      </w:tr>
      <w:tr w:rsidR="007974EC" w:rsidRPr="007974EC" w14:paraId="5EC5E87D" w14:textId="77777777" w:rsidTr="000501D2">
        <w:trPr>
          <w:trHeight w:val="300"/>
        </w:trPr>
        <w:tc>
          <w:tcPr>
            <w:tcW w:w="1417" w:type="pct"/>
            <w:tcBorders>
              <w:top w:val="nil"/>
              <w:left w:val="nil"/>
              <w:bottom w:val="single" w:sz="4" w:space="0" w:color="auto"/>
              <w:right w:val="nil"/>
            </w:tcBorders>
            <w:shd w:val="clear" w:color="auto" w:fill="auto"/>
            <w:noWrap/>
            <w:vAlign w:val="center"/>
            <w:hideMark/>
          </w:tcPr>
          <w:p w14:paraId="6CE17918" w14:textId="51E72401" w:rsidR="007974EC" w:rsidRPr="007974EC" w:rsidRDefault="007974EC" w:rsidP="007974EC">
            <w:pPr>
              <w:spacing w:after="0" w:line="240" w:lineRule="auto"/>
              <w:jc w:val="center"/>
              <w:rPr>
                <w:rFonts w:eastAsia="Times New Roman" w:cs="Calibri"/>
                <w:color w:val="000000"/>
                <w:kern w:val="0"/>
                <w:sz w:val="20"/>
                <w:szCs w:val="20"/>
              </w:rPr>
            </w:pPr>
          </w:p>
        </w:tc>
        <w:tc>
          <w:tcPr>
            <w:tcW w:w="633" w:type="pct"/>
            <w:tcBorders>
              <w:top w:val="nil"/>
              <w:left w:val="nil"/>
              <w:bottom w:val="single" w:sz="4" w:space="0" w:color="auto"/>
              <w:right w:val="nil"/>
            </w:tcBorders>
            <w:shd w:val="clear" w:color="auto" w:fill="auto"/>
            <w:noWrap/>
            <w:vAlign w:val="center"/>
            <w:hideMark/>
          </w:tcPr>
          <w:p w14:paraId="20EF909F"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[A]</w:t>
            </w:r>
          </w:p>
        </w:tc>
        <w:tc>
          <w:tcPr>
            <w:tcW w:w="721" w:type="pct"/>
            <w:tcBorders>
              <w:top w:val="nil"/>
              <w:left w:val="nil"/>
              <w:bottom w:val="single" w:sz="4" w:space="0" w:color="auto"/>
              <w:right w:val="nil"/>
            </w:tcBorders>
            <w:shd w:val="clear" w:color="auto" w:fill="auto"/>
            <w:noWrap/>
            <w:vAlign w:val="center"/>
            <w:hideMark/>
          </w:tcPr>
          <w:p w14:paraId="218BE3D4"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[B]</w:t>
            </w:r>
          </w:p>
        </w:tc>
        <w:tc>
          <w:tcPr>
            <w:tcW w:w="633" w:type="pct"/>
            <w:tcBorders>
              <w:top w:val="nil"/>
              <w:left w:val="nil"/>
              <w:bottom w:val="single" w:sz="4" w:space="0" w:color="auto"/>
              <w:right w:val="single" w:sz="4" w:space="0" w:color="auto"/>
            </w:tcBorders>
            <w:shd w:val="clear" w:color="auto" w:fill="auto"/>
            <w:noWrap/>
            <w:vAlign w:val="center"/>
            <w:hideMark/>
          </w:tcPr>
          <w:p w14:paraId="0EAFFB1C"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[C]</w:t>
            </w:r>
          </w:p>
        </w:tc>
        <w:tc>
          <w:tcPr>
            <w:tcW w:w="756" w:type="pct"/>
            <w:tcBorders>
              <w:top w:val="nil"/>
              <w:left w:val="single" w:sz="4" w:space="0" w:color="auto"/>
              <w:bottom w:val="single" w:sz="4" w:space="0" w:color="auto"/>
              <w:right w:val="nil"/>
            </w:tcBorders>
            <w:shd w:val="clear" w:color="auto" w:fill="auto"/>
            <w:noWrap/>
            <w:vAlign w:val="center"/>
            <w:hideMark/>
          </w:tcPr>
          <w:p w14:paraId="10411267"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[B-A]</w:t>
            </w:r>
          </w:p>
        </w:tc>
        <w:tc>
          <w:tcPr>
            <w:tcW w:w="840" w:type="pct"/>
            <w:tcBorders>
              <w:top w:val="nil"/>
              <w:left w:val="nil"/>
              <w:bottom w:val="single" w:sz="4" w:space="0" w:color="auto"/>
              <w:right w:val="nil"/>
            </w:tcBorders>
            <w:shd w:val="clear" w:color="auto" w:fill="auto"/>
            <w:noWrap/>
            <w:vAlign w:val="center"/>
            <w:hideMark/>
          </w:tcPr>
          <w:p w14:paraId="2B6BB9DC" w14:textId="77777777" w:rsidR="007974EC" w:rsidRPr="007974EC" w:rsidRDefault="007974EC" w:rsidP="007974EC">
            <w:pPr>
              <w:spacing w:after="0" w:line="240" w:lineRule="auto"/>
              <w:jc w:val="center"/>
              <w:rPr>
                <w:rFonts w:eastAsia="Times New Roman" w:cs="Calibri"/>
                <w:color w:val="000000"/>
                <w:kern w:val="0"/>
                <w:sz w:val="20"/>
                <w:szCs w:val="20"/>
              </w:rPr>
            </w:pPr>
            <w:r w:rsidRPr="007974EC">
              <w:rPr>
                <w:rFonts w:eastAsia="Times New Roman" w:cs="Calibri"/>
                <w:color w:val="000000"/>
                <w:kern w:val="0"/>
                <w:sz w:val="20"/>
                <w:szCs w:val="20"/>
              </w:rPr>
              <w:t>[C-B]</w:t>
            </w:r>
          </w:p>
        </w:tc>
      </w:tr>
      <w:tr w:rsidR="007974EC" w:rsidRPr="007974EC" w14:paraId="64080377" w14:textId="77777777" w:rsidTr="000501D2">
        <w:trPr>
          <w:trHeight w:val="300"/>
        </w:trPr>
        <w:tc>
          <w:tcPr>
            <w:tcW w:w="1417" w:type="pct"/>
            <w:tcBorders>
              <w:top w:val="nil"/>
              <w:left w:val="nil"/>
              <w:bottom w:val="nil"/>
              <w:right w:val="nil"/>
            </w:tcBorders>
            <w:shd w:val="clear" w:color="auto" w:fill="auto"/>
            <w:noWrap/>
            <w:vAlign w:val="center"/>
            <w:hideMark/>
          </w:tcPr>
          <w:p w14:paraId="6974ECC2" w14:textId="77777777" w:rsidR="007974EC" w:rsidRPr="007974EC" w:rsidRDefault="007974EC" w:rsidP="007974EC">
            <w:pPr>
              <w:spacing w:after="0" w:line="240" w:lineRule="auto"/>
              <w:rPr>
                <w:rFonts w:eastAsia="Times New Roman" w:cs="Calibri"/>
                <w:b/>
                <w:bCs/>
                <w:color w:val="000000"/>
                <w:kern w:val="0"/>
                <w:sz w:val="20"/>
                <w:szCs w:val="20"/>
              </w:rPr>
            </w:pPr>
            <w:r w:rsidRPr="007974EC">
              <w:rPr>
                <w:rFonts w:eastAsia="Times New Roman" w:cs="Calibri"/>
                <w:b/>
                <w:bCs/>
                <w:color w:val="000000"/>
                <w:kern w:val="0"/>
                <w:sz w:val="20"/>
                <w:szCs w:val="20"/>
              </w:rPr>
              <w:t>Modelled Year</w:t>
            </w:r>
          </w:p>
        </w:tc>
        <w:tc>
          <w:tcPr>
            <w:tcW w:w="633" w:type="pct"/>
            <w:tcBorders>
              <w:top w:val="nil"/>
              <w:left w:val="nil"/>
              <w:bottom w:val="nil"/>
              <w:right w:val="nil"/>
            </w:tcBorders>
            <w:shd w:val="clear" w:color="auto" w:fill="auto"/>
            <w:noWrap/>
            <w:vAlign w:val="center"/>
            <w:hideMark/>
          </w:tcPr>
          <w:p w14:paraId="45ABB727"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2022</w:t>
            </w:r>
          </w:p>
        </w:tc>
        <w:tc>
          <w:tcPr>
            <w:tcW w:w="721" w:type="pct"/>
            <w:tcBorders>
              <w:top w:val="nil"/>
              <w:left w:val="nil"/>
              <w:bottom w:val="nil"/>
              <w:right w:val="nil"/>
            </w:tcBorders>
            <w:shd w:val="clear" w:color="auto" w:fill="auto"/>
            <w:noWrap/>
            <w:vAlign w:val="center"/>
            <w:hideMark/>
          </w:tcPr>
          <w:p w14:paraId="679E237D" w14:textId="77777777" w:rsidR="007974EC" w:rsidRPr="007974EC" w:rsidRDefault="007974EC" w:rsidP="007974EC">
            <w:pPr>
              <w:spacing w:after="0" w:line="240" w:lineRule="auto"/>
              <w:jc w:val="right"/>
              <w:rPr>
                <w:rFonts w:eastAsia="Times New Roman" w:cs="Calibri"/>
                <w:b/>
                <w:bCs/>
                <w:color w:val="000000"/>
                <w:kern w:val="0"/>
                <w:sz w:val="20"/>
                <w:szCs w:val="20"/>
              </w:rPr>
            </w:pPr>
          </w:p>
        </w:tc>
        <w:tc>
          <w:tcPr>
            <w:tcW w:w="633" w:type="pct"/>
            <w:tcBorders>
              <w:top w:val="nil"/>
              <w:left w:val="nil"/>
              <w:bottom w:val="nil"/>
              <w:right w:val="single" w:sz="4" w:space="0" w:color="auto"/>
            </w:tcBorders>
            <w:shd w:val="clear" w:color="auto" w:fill="auto"/>
            <w:noWrap/>
            <w:vAlign w:val="center"/>
            <w:hideMark/>
          </w:tcPr>
          <w:p w14:paraId="38C467D3"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2024</w:t>
            </w:r>
          </w:p>
        </w:tc>
        <w:tc>
          <w:tcPr>
            <w:tcW w:w="756" w:type="pct"/>
            <w:tcBorders>
              <w:top w:val="nil"/>
              <w:left w:val="single" w:sz="4" w:space="0" w:color="auto"/>
              <w:bottom w:val="nil"/>
              <w:right w:val="nil"/>
            </w:tcBorders>
            <w:shd w:val="clear" w:color="auto" w:fill="auto"/>
            <w:noWrap/>
            <w:vAlign w:val="center"/>
            <w:hideMark/>
          </w:tcPr>
          <w:p w14:paraId="61CFD554" w14:textId="77777777" w:rsidR="007974EC" w:rsidRPr="007974EC" w:rsidRDefault="007974EC" w:rsidP="007974EC">
            <w:pPr>
              <w:spacing w:after="0" w:line="240" w:lineRule="auto"/>
              <w:jc w:val="right"/>
              <w:rPr>
                <w:rFonts w:eastAsia="Times New Roman" w:cs="Calibri"/>
                <w:b/>
                <w:bCs/>
                <w:color w:val="000000"/>
                <w:kern w:val="0"/>
                <w:sz w:val="20"/>
                <w:szCs w:val="20"/>
              </w:rPr>
            </w:pPr>
          </w:p>
        </w:tc>
        <w:tc>
          <w:tcPr>
            <w:tcW w:w="840" w:type="pct"/>
            <w:tcBorders>
              <w:top w:val="nil"/>
              <w:left w:val="nil"/>
              <w:bottom w:val="nil"/>
              <w:right w:val="nil"/>
            </w:tcBorders>
            <w:shd w:val="clear" w:color="auto" w:fill="auto"/>
            <w:noWrap/>
            <w:vAlign w:val="center"/>
            <w:hideMark/>
          </w:tcPr>
          <w:p w14:paraId="7D37E2E2" w14:textId="77777777" w:rsidR="007974EC" w:rsidRPr="007974EC" w:rsidRDefault="007974EC" w:rsidP="007974EC">
            <w:pPr>
              <w:spacing w:after="0" w:line="240" w:lineRule="auto"/>
              <w:jc w:val="right"/>
              <w:rPr>
                <w:rFonts w:eastAsia="Times New Roman" w:cs="Calibri"/>
                <w:kern w:val="0"/>
                <w:sz w:val="20"/>
                <w:szCs w:val="20"/>
              </w:rPr>
            </w:pPr>
          </w:p>
        </w:tc>
      </w:tr>
      <w:tr w:rsidR="007974EC" w:rsidRPr="007974EC" w14:paraId="59574358" w14:textId="77777777" w:rsidTr="000501D2">
        <w:trPr>
          <w:trHeight w:val="300"/>
        </w:trPr>
        <w:tc>
          <w:tcPr>
            <w:tcW w:w="1417" w:type="pct"/>
            <w:tcBorders>
              <w:top w:val="nil"/>
              <w:left w:val="nil"/>
              <w:bottom w:val="single" w:sz="4" w:space="0" w:color="auto"/>
              <w:right w:val="nil"/>
            </w:tcBorders>
            <w:shd w:val="clear" w:color="auto" w:fill="auto"/>
            <w:noWrap/>
            <w:vAlign w:val="center"/>
            <w:hideMark/>
          </w:tcPr>
          <w:p w14:paraId="2279E6BE" w14:textId="77777777" w:rsidR="007974EC" w:rsidRPr="007974EC" w:rsidRDefault="007974EC" w:rsidP="007974EC">
            <w:pPr>
              <w:spacing w:after="0" w:line="240" w:lineRule="auto"/>
              <w:rPr>
                <w:rFonts w:eastAsia="Times New Roman" w:cs="Calibri"/>
                <w:b/>
                <w:bCs/>
                <w:color w:val="000000"/>
                <w:kern w:val="0"/>
                <w:sz w:val="20"/>
                <w:szCs w:val="20"/>
              </w:rPr>
            </w:pPr>
            <w:r w:rsidRPr="007974EC">
              <w:rPr>
                <w:rFonts w:eastAsia="Times New Roman" w:cs="Calibri"/>
                <w:b/>
                <w:bCs/>
                <w:color w:val="000000"/>
                <w:kern w:val="0"/>
                <w:sz w:val="20"/>
                <w:szCs w:val="20"/>
              </w:rPr>
              <w:t>Accounting Methodology Year</w:t>
            </w:r>
          </w:p>
        </w:tc>
        <w:tc>
          <w:tcPr>
            <w:tcW w:w="633" w:type="pct"/>
            <w:tcBorders>
              <w:top w:val="nil"/>
              <w:left w:val="nil"/>
              <w:bottom w:val="single" w:sz="4" w:space="0" w:color="auto"/>
              <w:right w:val="nil"/>
            </w:tcBorders>
            <w:shd w:val="clear" w:color="auto" w:fill="auto"/>
            <w:noWrap/>
            <w:vAlign w:val="center"/>
            <w:hideMark/>
          </w:tcPr>
          <w:p w14:paraId="3995B9D3"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2018</w:t>
            </w:r>
          </w:p>
        </w:tc>
        <w:tc>
          <w:tcPr>
            <w:tcW w:w="721" w:type="pct"/>
            <w:tcBorders>
              <w:top w:val="nil"/>
              <w:left w:val="nil"/>
              <w:bottom w:val="single" w:sz="4" w:space="0" w:color="auto"/>
              <w:right w:val="nil"/>
            </w:tcBorders>
            <w:shd w:val="clear" w:color="auto" w:fill="auto"/>
            <w:noWrap/>
            <w:vAlign w:val="center"/>
            <w:hideMark/>
          </w:tcPr>
          <w:p w14:paraId="4006B356" w14:textId="2B5D2B6F" w:rsidR="007974EC" w:rsidRPr="007974EC" w:rsidRDefault="007974EC" w:rsidP="007974EC">
            <w:pPr>
              <w:spacing w:after="0" w:line="240" w:lineRule="auto"/>
              <w:jc w:val="right"/>
              <w:rPr>
                <w:rFonts w:eastAsia="Times New Roman" w:cs="Calibri"/>
                <w:b/>
                <w:bCs/>
                <w:color w:val="000000"/>
                <w:kern w:val="0"/>
                <w:sz w:val="20"/>
                <w:szCs w:val="20"/>
              </w:rPr>
            </w:pPr>
          </w:p>
        </w:tc>
        <w:tc>
          <w:tcPr>
            <w:tcW w:w="633" w:type="pct"/>
            <w:tcBorders>
              <w:top w:val="nil"/>
              <w:left w:val="nil"/>
              <w:bottom w:val="single" w:sz="4" w:space="0" w:color="auto"/>
              <w:right w:val="single" w:sz="4" w:space="0" w:color="auto"/>
            </w:tcBorders>
            <w:shd w:val="clear" w:color="auto" w:fill="auto"/>
            <w:noWrap/>
            <w:vAlign w:val="center"/>
            <w:hideMark/>
          </w:tcPr>
          <w:p w14:paraId="5C1AC25B"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2020</w:t>
            </w:r>
          </w:p>
        </w:tc>
        <w:tc>
          <w:tcPr>
            <w:tcW w:w="756" w:type="pct"/>
            <w:tcBorders>
              <w:top w:val="nil"/>
              <w:left w:val="single" w:sz="4" w:space="0" w:color="auto"/>
              <w:bottom w:val="single" w:sz="4" w:space="0" w:color="auto"/>
              <w:right w:val="nil"/>
            </w:tcBorders>
            <w:shd w:val="clear" w:color="auto" w:fill="auto"/>
            <w:noWrap/>
            <w:vAlign w:val="center"/>
            <w:hideMark/>
          </w:tcPr>
          <w:p w14:paraId="099F0E47" w14:textId="3057F879" w:rsidR="007974EC" w:rsidRPr="007974EC" w:rsidRDefault="007974EC" w:rsidP="007974EC">
            <w:pPr>
              <w:spacing w:after="0" w:line="240" w:lineRule="auto"/>
              <w:jc w:val="right"/>
              <w:rPr>
                <w:rFonts w:eastAsia="Times New Roman" w:cs="Calibri"/>
                <w:b/>
                <w:bCs/>
                <w:color w:val="000000"/>
                <w:kern w:val="0"/>
                <w:sz w:val="20"/>
                <w:szCs w:val="20"/>
              </w:rPr>
            </w:pPr>
          </w:p>
        </w:tc>
        <w:tc>
          <w:tcPr>
            <w:tcW w:w="840" w:type="pct"/>
            <w:tcBorders>
              <w:top w:val="nil"/>
              <w:left w:val="nil"/>
              <w:bottom w:val="single" w:sz="4" w:space="0" w:color="auto"/>
              <w:right w:val="nil"/>
            </w:tcBorders>
            <w:shd w:val="clear" w:color="auto" w:fill="auto"/>
            <w:noWrap/>
            <w:vAlign w:val="center"/>
            <w:hideMark/>
          </w:tcPr>
          <w:p w14:paraId="35F37EE1" w14:textId="39E407CF" w:rsidR="007974EC" w:rsidRPr="007974EC" w:rsidRDefault="007974EC" w:rsidP="007974EC">
            <w:pPr>
              <w:spacing w:after="0" w:line="240" w:lineRule="auto"/>
              <w:jc w:val="right"/>
              <w:rPr>
                <w:rFonts w:eastAsia="Times New Roman" w:cs="Calibri"/>
                <w:b/>
                <w:bCs/>
                <w:color w:val="000000"/>
                <w:kern w:val="0"/>
                <w:sz w:val="20"/>
                <w:szCs w:val="20"/>
              </w:rPr>
            </w:pPr>
          </w:p>
        </w:tc>
      </w:tr>
      <w:tr w:rsidR="007974EC" w:rsidRPr="007974EC" w14:paraId="63DF1133" w14:textId="77777777" w:rsidTr="000501D2">
        <w:trPr>
          <w:trHeight w:val="300"/>
        </w:trPr>
        <w:tc>
          <w:tcPr>
            <w:tcW w:w="1417" w:type="pct"/>
            <w:tcBorders>
              <w:top w:val="nil"/>
              <w:left w:val="nil"/>
              <w:bottom w:val="nil"/>
              <w:right w:val="nil"/>
            </w:tcBorders>
            <w:shd w:val="clear" w:color="auto" w:fill="D9D9D9" w:themeFill="background1" w:themeFillShade="D9"/>
            <w:noWrap/>
            <w:vAlign w:val="center"/>
            <w:hideMark/>
          </w:tcPr>
          <w:p w14:paraId="03BF7D5C" w14:textId="77777777" w:rsidR="007974EC" w:rsidRPr="007974EC" w:rsidRDefault="007974EC" w:rsidP="007974EC">
            <w:pPr>
              <w:spacing w:after="0" w:line="240" w:lineRule="auto"/>
              <w:rPr>
                <w:rFonts w:eastAsia="Times New Roman" w:cs="Calibri"/>
                <w:b/>
                <w:bCs/>
                <w:color w:val="000000"/>
                <w:kern w:val="0"/>
                <w:sz w:val="20"/>
                <w:szCs w:val="20"/>
              </w:rPr>
            </w:pPr>
            <w:r w:rsidRPr="007974EC">
              <w:rPr>
                <w:rFonts w:eastAsia="Times New Roman" w:cs="Calibri"/>
                <w:b/>
                <w:bCs/>
                <w:color w:val="000000"/>
                <w:kern w:val="0"/>
                <w:sz w:val="20"/>
                <w:szCs w:val="20"/>
              </w:rPr>
              <w:t>Peak Load</w:t>
            </w:r>
          </w:p>
        </w:tc>
        <w:tc>
          <w:tcPr>
            <w:tcW w:w="633" w:type="pct"/>
            <w:tcBorders>
              <w:top w:val="nil"/>
              <w:left w:val="nil"/>
              <w:bottom w:val="nil"/>
              <w:right w:val="nil"/>
            </w:tcBorders>
            <w:shd w:val="clear" w:color="auto" w:fill="D9D9D9" w:themeFill="background1" w:themeFillShade="D9"/>
            <w:noWrap/>
            <w:vAlign w:val="center"/>
            <w:hideMark/>
          </w:tcPr>
          <w:p w14:paraId="6438E599" w14:textId="744E0545"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79</w:t>
            </w:r>
            <w:r>
              <w:rPr>
                <w:rFonts w:eastAsia="Times New Roman" w:cs="Calibri"/>
                <w:b/>
                <w:bCs/>
                <w:color w:val="000000"/>
                <w:kern w:val="0"/>
                <w:sz w:val="20"/>
                <w:szCs w:val="20"/>
              </w:rPr>
              <w:t>,</w:t>
            </w:r>
            <w:r w:rsidRPr="007974EC">
              <w:rPr>
                <w:rFonts w:eastAsia="Times New Roman" w:cs="Calibri"/>
                <w:b/>
                <w:bCs/>
                <w:color w:val="000000"/>
                <w:kern w:val="0"/>
                <w:sz w:val="20"/>
                <w:szCs w:val="20"/>
              </w:rPr>
              <w:t>027</w:t>
            </w:r>
          </w:p>
        </w:tc>
        <w:tc>
          <w:tcPr>
            <w:tcW w:w="721" w:type="pct"/>
            <w:tcBorders>
              <w:top w:val="nil"/>
              <w:left w:val="nil"/>
              <w:bottom w:val="nil"/>
              <w:right w:val="nil"/>
            </w:tcBorders>
            <w:shd w:val="clear" w:color="auto" w:fill="D9D9D9" w:themeFill="background1" w:themeFillShade="D9"/>
            <w:noWrap/>
            <w:vAlign w:val="center"/>
            <w:hideMark/>
          </w:tcPr>
          <w:p w14:paraId="75CCFABE" w14:textId="2A109494"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79</w:t>
            </w:r>
            <w:r>
              <w:rPr>
                <w:rFonts w:eastAsia="Times New Roman" w:cs="Calibri"/>
                <w:b/>
                <w:bCs/>
                <w:color w:val="000000"/>
                <w:kern w:val="0"/>
                <w:sz w:val="20"/>
                <w:szCs w:val="20"/>
              </w:rPr>
              <w:t>,</w:t>
            </w:r>
            <w:r w:rsidRPr="007974EC">
              <w:rPr>
                <w:rFonts w:eastAsia="Times New Roman" w:cs="Calibri"/>
                <w:b/>
                <w:bCs/>
                <w:color w:val="000000"/>
                <w:kern w:val="0"/>
                <w:sz w:val="20"/>
                <w:szCs w:val="20"/>
              </w:rPr>
              <w:t>027</w:t>
            </w:r>
          </w:p>
        </w:tc>
        <w:tc>
          <w:tcPr>
            <w:tcW w:w="633" w:type="pct"/>
            <w:tcBorders>
              <w:top w:val="nil"/>
              <w:left w:val="nil"/>
              <w:bottom w:val="nil"/>
              <w:right w:val="single" w:sz="4" w:space="0" w:color="auto"/>
            </w:tcBorders>
            <w:shd w:val="clear" w:color="auto" w:fill="D9D9D9" w:themeFill="background1" w:themeFillShade="D9"/>
            <w:noWrap/>
            <w:vAlign w:val="center"/>
            <w:hideMark/>
          </w:tcPr>
          <w:p w14:paraId="53BC34E5" w14:textId="21650350"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82</w:t>
            </w:r>
            <w:r>
              <w:rPr>
                <w:rFonts w:eastAsia="Times New Roman" w:cs="Calibri"/>
                <w:b/>
                <w:bCs/>
                <w:color w:val="000000"/>
                <w:kern w:val="0"/>
                <w:sz w:val="20"/>
                <w:szCs w:val="20"/>
              </w:rPr>
              <w:t>,</w:t>
            </w:r>
            <w:r w:rsidRPr="007974EC">
              <w:rPr>
                <w:rFonts w:eastAsia="Times New Roman" w:cs="Calibri"/>
                <w:b/>
                <w:bCs/>
                <w:color w:val="000000"/>
                <w:kern w:val="0"/>
                <w:sz w:val="20"/>
                <w:szCs w:val="20"/>
              </w:rPr>
              <w:t>982</w:t>
            </w:r>
          </w:p>
        </w:tc>
        <w:tc>
          <w:tcPr>
            <w:tcW w:w="756" w:type="pct"/>
            <w:tcBorders>
              <w:top w:val="nil"/>
              <w:left w:val="single" w:sz="4" w:space="0" w:color="auto"/>
              <w:bottom w:val="nil"/>
              <w:right w:val="nil"/>
            </w:tcBorders>
            <w:shd w:val="clear" w:color="auto" w:fill="D9D9D9" w:themeFill="background1" w:themeFillShade="D9"/>
            <w:noWrap/>
            <w:vAlign w:val="center"/>
            <w:hideMark/>
          </w:tcPr>
          <w:p w14:paraId="7646285A"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0</w:t>
            </w:r>
          </w:p>
        </w:tc>
        <w:tc>
          <w:tcPr>
            <w:tcW w:w="840" w:type="pct"/>
            <w:tcBorders>
              <w:top w:val="nil"/>
              <w:left w:val="nil"/>
              <w:bottom w:val="nil"/>
              <w:right w:val="nil"/>
            </w:tcBorders>
            <w:shd w:val="clear" w:color="auto" w:fill="D9D9D9" w:themeFill="background1" w:themeFillShade="D9"/>
            <w:noWrap/>
            <w:vAlign w:val="center"/>
            <w:hideMark/>
          </w:tcPr>
          <w:p w14:paraId="7C870BDD" w14:textId="462D891B"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3</w:t>
            </w:r>
            <w:r>
              <w:rPr>
                <w:rFonts w:eastAsia="Times New Roman" w:cs="Calibri"/>
                <w:b/>
                <w:bCs/>
                <w:color w:val="000000"/>
                <w:kern w:val="0"/>
                <w:sz w:val="20"/>
                <w:szCs w:val="20"/>
              </w:rPr>
              <w:t>,</w:t>
            </w:r>
            <w:r w:rsidRPr="007974EC">
              <w:rPr>
                <w:rFonts w:eastAsia="Times New Roman" w:cs="Calibri"/>
                <w:b/>
                <w:bCs/>
                <w:color w:val="000000"/>
                <w:kern w:val="0"/>
                <w:sz w:val="20"/>
                <w:szCs w:val="20"/>
              </w:rPr>
              <w:t>955</w:t>
            </w:r>
          </w:p>
        </w:tc>
      </w:tr>
      <w:tr w:rsidR="007974EC" w:rsidRPr="007974EC" w14:paraId="1B22D32A" w14:textId="77777777" w:rsidTr="000501D2">
        <w:trPr>
          <w:trHeight w:val="300"/>
        </w:trPr>
        <w:tc>
          <w:tcPr>
            <w:tcW w:w="1417" w:type="pct"/>
            <w:tcBorders>
              <w:top w:val="nil"/>
              <w:left w:val="nil"/>
              <w:bottom w:val="nil"/>
              <w:right w:val="nil"/>
            </w:tcBorders>
            <w:shd w:val="clear" w:color="auto" w:fill="D9D9D9" w:themeFill="background1" w:themeFillShade="D9"/>
            <w:noWrap/>
            <w:vAlign w:val="center"/>
            <w:hideMark/>
          </w:tcPr>
          <w:p w14:paraId="7FA3AB5D" w14:textId="77777777" w:rsidR="007974EC" w:rsidRPr="007974EC" w:rsidRDefault="007974EC" w:rsidP="007974EC">
            <w:pPr>
              <w:spacing w:after="0" w:line="240" w:lineRule="auto"/>
              <w:rPr>
                <w:rFonts w:eastAsia="Times New Roman" w:cs="Calibri"/>
                <w:b/>
                <w:bCs/>
                <w:color w:val="000000"/>
                <w:kern w:val="0"/>
                <w:sz w:val="20"/>
                <w:szCs w:val="20"/>
              </w:rPr>
            </w:pPr>
            <w:r w:rsidRPr="007974EC">
              <w:rPr>
                <w:rFonts w:eastAsia="Times New Roman" w:cs="Calibri"/>
                <w:b/>
                <w:bCs/>
                <w:color w:val="000000"/>
                <w:kern w:val="0"/>
                <w:sz w:val="20"/>
                <w:szCs w:val="20"/>
              </w:rPr>
              <w:t>Load Reduction</w:t>
            </w:r>
          </w:p>
        </w:tc>
        <w:tc>
          <w:tcPr>
            <w:tcW w:w="633" w:type="pct"/>
            <w:tcBorders>
              <w:top w:val="nil"/>
              <w:left w:val="nil"/>
              <w:bottom w:val="nil"/>
              <w:right w:val="nil"/>
            </w:tcBorders>
            <w:shd w:val="clear" w:color="auto" w:fill="D9D9D9" w:themeFill="background1" w:themeFillShade="D9"/>
            <w:noWrap/>
            <w:vAlign w:val="center"/>
            <w:hideMark/>
          </w:tcPr>
          <w:p w14:paraId="44F206D2" w14:textId="315D019B"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w:t>
            </w:r>
            <w:r>
              <w:rPr>
                <w:rFonts w:eastAsia="Times New Roman" w:cs="Calibri"/>
                <w:b/>
                <w:bCs/>
                <w:color w:val="000000"/>
                <w:kern w:val="0"/>
                <w:sz w:val="20"/>
                <w:szCs w:val="20"/>
              </w:rPr>
              <w:t>,</w:t>
            </w:r>
            <w:r w:rsidRPr="007974EC">
              <w:rPr>
                <w:rFonts w:eastAsia="Times New Roman" w:cs="Calibri"/>
                <w:b/>
                <w:bCs/>
                <w:color w:val="000000"/>
                <w:kern w:val="0"/>
                <w:sz w:val="20"/>
                <w:szCs w:val="20"/>
              </w:rPr>
              <w:t>173</w:t>
            </w:r>
          </w:p>
        </w:tc>
        <w:tc>
          <w:tcPr>
            <w:tcW w:w="721" w:type="pct"/>
            <w:tcBorders>
              <w:top w:val="nil"/>
              <w:left w:val="nil"/>
              <w:bottom w:val="nil"/>
              <w:right w:val="nil"/>
            </w:tcBorders>
            <w:shd w:val="clear" w:color="auto" w:fill="D9D9D9" w:themeFill="background1" w:themeFillShade="D9"/>
            <w:noWrap/>
            <w:vAlign w:val="center"/>
            <w:hideMark/>
          </w:tcPr>
          <w:p w14:paraId="13FC7FD5" w14:textId="38AAE108"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w:t>
            </w:r>
            <w:r>
              <w:rPr>
                <w:rFonts w:eastAsia="Times New Roman" w:cs="Calibri"/>
                <w:b/>
                <w:bCs/>
                <w:color w:val="000000"/>
                <w:kern w:val="0"/>
                <w:sz w:val="20"/>
                <w:szCs w:val="20"/>
              </w:rPr>
              <w:t>,</w:t>
            </w:r>
            <w:r w:rsidRPr="007974EC">
              <w:rPr>
                <w:rFonts w:eastAsia="Times New Roman" w:cs="Calibri"/>
                <w:b/>
                <w:bCs/>
                <w:color w:val="000000"/>
                <w:kern w:val="0"/>
                <w:sz w:val="20"/>
                <w:szCs w:val="20"/>
              </w:rPr>
              <w:t>173</w:t>
            </w:r>
          </w:p>
        </w:tc>
        <w:tc>
          <w:tcPr>
            <w:tcW w:w="633" w:type="pct"/>
            <w:tcBorders>
              <w:top w:val="nil"/>
              <w:left w:val="nil"/>
              <w:bottom w:val="nil"/>
              <w:right w:val="single" w:sz="4" w:space="0" w:color="auto"/>
            </w:tcBorders>
            <w:shd w:val="clear" w:color="auto" w:fill="D9D9D9" w:themeFill="background1" w:themeFillShade="D9"/>
            <w:noWrap/>
            <w:vAlign w:val="center"/>
            <w:hideMark/>
          </w:tcPr>
          <w:p w14:paraId="58C0C42D" w14:textId="00C2CC5C"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w:t>
            </w:r>
            <w:r>
              <w:rPr>
                <w:rFonts w:eastAsia="Times New Roman" w:cs="Calibri"/>
                <w:b/>
                <w:bCs/>
                <w:color w:val="000000"/>
                <w:kern w:val="0"/>
                <w:sz w:val="20"/>
                <w:szCs w:val="20"/>
              </w:rPr>
              <w:t>,</w:t>
            </w:r>
            <w:r w:rsidRPr="007974EC">
              <w:rPr>
                <w:rFonts w:eastAsia="Times New Roman" w:cs="Calibri"/>
                <w:b/>
                <w:bCs/>
                <w:color w:val="000000"/>
                <w:kern w:val="0"/>
                <w:sz w:val="20"/>
                <w:szCs w:val="20"/>
              </w:rPr>
              <w:t>202</w:t>
            </w:r>
          </w:p>
        </w:tc>
        <w:tc>
          <w:tcPr>
            <w:tcW w:w="756" w:type="pct"/>
            <w:tcBorders>
              <w:top w:val="nil"/>
              <w:left w:val="single" w:sz="4" w:space="0" w:color="auto"/>
              <w:bottom w:val="nil"/>
              <w:right w:val="nil"/>
            </w:tcBorders>
            <w:shd w:val="clear" w:color="auto" w:fill="D9D9D9" w:themeFill="background1" w:themeFillShade="D9"/>
            <w:noWrap/>
            <w:vAlign w:val="center"/>
            <w:hideMark/>
          </w:tcPr>
          <w:p w14:paraId="7632DC38"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0</w:t>
            </w:r>
          </w:p>
        </w:tc>
        <w:tc>
          <w:tcPr>
            <w:tcW w:w="840" w:type="pct"/>
            <w:tcBorders>
              <w:top w:val="nil"/>
              <w:left w:val="nil"/>
              <w:bottom w:val="nil"/>
              <w:right w:val="nil"/>
            </w:tcBorders>
            <w:shd w:val="clear" w:color="auto" w:fill="D9D9D9" w:themeFill="background1" w:themeFillShade="D9"/>
            <w:noWrap/>
            <w:vAlign w:val="center"/>
            <w:hideMark/>
          </w:tcPr>
          <w:p w14:paraId="18374370"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29</w:t>
            </w:r>
          </w:p>
        </w:tc>
      </w:tr>
      <w:tr w:rsidR="007974EC" w:rsidRPr="007974EC" w14:paraId="21F575DA" w14:textId="77777777" w:rsidTr="000501D2">
        <w:trPr>
          <w:trHeight w:val="300"/>
        </w:trPr>
        <w:tc>
          <w:tcPr>
            <w:tcW w:w="1417" w:type="pct"/>
            <w:tcBorders>
              <w:top w:val="nil"/>
              <w:left w:val="nil"/>
              <w:bottom w:val="nil"/>
              <w:right w:val="nil"/>
            </w:tcBorders>
            <w:shd w:val="clear" w:color="auto" w:fill="auto"/>
            <w:noWrap/>
            <w:vAlign w:val="center"/>
            <w:hideMark/>
          </w:tcPr>
          <w:p w14:paraId="220BC3EF" w14:textId="03F1781E"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LRs serving RRS</w:t>
            </w:r>
          </w:p>
        </w:tc>
        <w:tc>
          <w:tcPr>
            <w:tcW w:w="633" w:type="pct"/>
            <w:tcBorders>
              <w:top w:val="nil"/>
              <w:left w:val="nil"/>
              <w:bottom w:val="nil"/>
              <w:right w:val="nil"/>
            </w:tcBorders>
            <w:shd w:val="clear" w:color="auto" w:fill="auto"/>
            <w:noWrap/>
            <w:vAlign w:val="center"/>
            <w:hideMark/>
          </w:tcPr>
          <w:p w14:paraId="38685ADA" w14:textId="7587E5FD"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1</w:t>
            </w:r>
            <w:r>
              <w:rPr>
                <w:rFonts w:eastAsia="Times New Roman" w:cs="Calibri"/>
                <w:color w:val="000000"/>
                <w:kern w:val="0"/>
                <w:sz w:val="20"/>
                <w:szCs w:val="20"/>
              </w:rPr>
              <w:t>,</w:t>
            </w:r>
            <w:r w:rsidRPr="007974EC">
              <w:rPr>
                <w:rFonts w:eastAsia="Times New Roman" w:cs="Calibri"/>
                <w:color w:val="000000"/>
                <w:kern w:val="0"/>
                <w:sz w:val="20"/>
                <w:szCs w:val="20"/>
              </w:rPr>
              <w:t>119</w:t>
            </w:r>
          </w:p>
        </w:tc>
        <w:tc>
          <w:tcPr>
            <w:tcW w:w="721" w:type="pct"/>
            <w:tcBorders>
              <w:top w:val="nil"/>
              <w:left w:val="nil"/>
              <w:bottom w:val="nil"/>
              <w:right w:val="nil"/>
            </w:tcBorders>
            <w:shd w:val="clear" w:color="auto" w:fill="auto"/>
            <w:noWrap/>
            <w:vAlign w:val="center"/>
            <w:hideMark/>
          </w:tcPr>
          <w:p w14:paraId="16722B6C" w14:textId="68F4EBB4"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1</w:t>
            </w:r>
            <w:r>
              <w:rPr>
                <w:rFonts w:eastAsia="Times New Roman" w:cs="Calibri"/>
                <w:b/>
                <w:bCs/>
                <w:color w:val="000000"/>
                <w:kern w:val="0"/>
                <w:sz w:val="20"/>
                <w:szCs w:val="20"/>
              </w:rPr>
              <w:t>,</w:t>
            </w:r>
            <w:r w:rsidRPr="007974EC">
              <w:rPr>
                <w:rFonts w:eastAsia="Times New Roman" w:cs="Calibri"/>
                <w:b/>
                <w:bCs/>
                <w:color w:val="000000"/>
                <w:kern w:val="0"/>
                <w:sz w:val="20"/>
                <w:szCs w:val="20"/>
              </w:rPr>
              <w:t>119</w:t>
            </w:r>
          </w:p>
        </w:tc>
        <w:tc>
          <w:tcPr>
            <w:tcW w:w="633" w:type="pct"/>
            <w:tcBorders>
              <w:top w:val="nil"/>
              <w:left w:val="nil"/>
              <w:bottom w:val="nil"/>
              <w:right w:val="single" w:sz="4" w:space="0" w:color="auto"/>
            </w:tcBorders>
            <w:shd w:val="clear" w:color="auto" w:fill="auto"/>
            <w:noWrap/>
            <w:vAlign w:val="center"/>
            <w:hideMark/>
          </w:tcPr>
          <w:p w14:paraId="34F899FD" w14:textId="7047F20E"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1</w:t>
            </w:r>
            <w:r>
              <w:rPr>
                <w:rFonts w:eastAsia="Times New Roman" w:cs="Calibri"/>
                <w:color w:val="000000"/>
                <w:kern w:val="0"/>
                <w:sz w:val="20"/>
                <w:szCs w:val="20"/>
              </w:rPr>
              <w:t>,</w:t>
            </w:r>
            <w:r w:rsidRPr="007974EC">
              <w:rPr>
                <w:rFonts w:eastAsia="Times New Roman" w:cs="Calibri"/>
                <w:color w:val="000000"/>
                <w:kern w:val="0"/>
                <w:sz w:val="20"/>
                <w:szCs w:val="20"/>
              </w:rPr>
              <w:t>172</w:t>
            </w:r>
          </w:p>
        </w:tc>
        <w:tc>
          <w:tcPr>
            <w:tcW w:w="756" w:type="pct"/>
            <w:tcBorders>
              <w:top w:val="nil"/>
              <w:left w:val="single" w:sz="4" w:space="0" w:color="auto"/>
              <w:bottom w:val="nil"/>
              <w:right w:val="nil"/>
            </w:tcBorders>
            <w:shd w:val="clear" w:color="auto" w:fill="auto"/>
            <w:noWrap/>
            <w:vAlign w:val="center"/>
            <w:hideMark/>
          </w:tcPr>
          <w:p w14:paraId="40384AE3"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840" w:type="pct"/>
            <w:tcBorders>
              <w:top w:val="nil"/>
              <w:left w:val="nil"/>
              <w:bottom w:val="nil"/>
              <w:right w:val="nil"/>
            </w:tcBorders>
            <w:shd w:val="clear" w:color="auto" w:fill="auto"/>
            <w:noWrap/>
            <w:vAlign w:val="center"/>
            <w:hideMark/>
          </w:tcPr>
          <w:p w14:paraId="4A9DC759"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53</w:t>
            </w:r>
          </w:p>
        </w:tc>
      </w:tr>
      <w:tr w:rsidR="007974EC" w:rsidRPr="007974EC" w14:paraId="34BCE67A" w14:textId="77777777" w:rsidTr="000501D2">
        <w:trPr>
          <w:trHeight w:val="300"/>
        </w:trPr>
        <w:tc>
          <w:tcPr>
            <w:tcW w:w="1417" w:type="pct"/>
            <w:tcBorders>
              <w:top w:val="nil"/>
              <w:left w:val="nil"/>
              <w:bottom w:val="nil"/>
              <w:right w:val="nil"/>
            </w:tcBorders>
            <w:shd w:val="clear" w:color="auto" w:fill="auto"/>
            <w:noWrap/>
            <w:vAlign w:val="center"/>
            <w:hideMark/>
          </w:tcPr>
          <w:p w14:paraId="60B701D6" w14:textId="772E7812"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10-Minute ERS</w:t>
            </w:r>
          </w:p>
        </w:tc>
        <w:tc>
          <w:tcPr>
            <w:tcW w:w="633" w:type="pct"/>
            <w:tcBorders>
              <w:top w:val="nil"/>
              <w:left w:val="nil"/>
              <w:bottom w:val="nil"/>
              <w:right w:val="nil"/>
            </w:tcBorders>
            <w:shd w:val="clear" w:color="auto" w:fill="auto"/>
            <w:noWrap/>
            <w:vAlign w:val="center"/>
            <w:hideMark/>
          </w:tcPr>
          <w:p w14:paraId="67CE602E"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140</w:t>
            </w:r>
          </w:p>
        </w:tc>
        <w:tc>
          <w:tcPr>
            <w:tcW w:w="721" w:type="pct"/>
            <w:tcBorders>
              <w:top w:val="nil"/>
              <w:left w:val="nil"/>
              <w:bottom w:val="nil"/>
              <w:right w:val="nil"/>
            </w:tcBorders>
            <w:shd w:val="clear" w:color="auto" w:fill="auto"/>
            <w:noWrap/>
            <w:vAlign w:val="center"/>
            <w:hideMark/>
          </w:tcPr>
          <w:p w14:paraId="734CC50F"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140</w:t>
            </w:r>
          </w:p>
        </w:tc>
        <w:tc>
          <w:tcPr>
            <w:tcW w:w="633" w:type="pct"/>
            <w:tcBorders>
              <w:top w:val="nil"/>
              <w:left w:val="nil"/>
              <w:bottom w:val="nil"/>
              <w:right w:val="single" w:sz="4" w:space="0" w:color="auto"/>
            </w:tcBorders>
            <w:shd w:val="clear" w:color="auto" w:fill="auto"/>
            <w:noWrap/>
            <w:vAlign w:val="center"/>
            <w:hideMark/>
          </w:tcPr>
          <w:p w14:paraId="6330D66B"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76</w:t>
            </w:r>
          </w:p>
        </w:tc>
        <w:tc>
          <w:tcPr>
            <w:tcW w:w="756" w:type="pct"/>
            <w:tcBorders>
              <w:top w:val="nil"/>
              <w:left w:val="single" w:sz="4" w:space="0" w:color="auto"/>
              <w:bottom w:val="nil"/>
              <w:right w:val="nil"/>
            </w:tcBorders>
            <w:shd w:val="clear" w:color="auto" w:fill="auto"/>
            <w:noWrap/>
            <w:vAlign w:val="center"/>
            <w:hideMark/>
          </w:tcPr>
          <w:p w14:paraId="639EBE61"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840" w:type="pct"/>
            <w:tcBorders>
              <w:top w:val="nil"/>
              <w:left w:val="nil"/>
              <w:bottom w:val="nil"/>
              <w:right w:val="nil"/>
            </w:tcBorders>
            <w:shd w:val="clear" w:color="auto" w:fill="auto"/>
            <w:noWrap/>
            <w:vAlign w:val="center"/>
            <w:hideMark/>
          </w:tcPr>
          <w:p w14:paraId="5BFA8493"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-64</w:t>
            </w:r>
          </w:p>
        </w:tc>
      </w:tr>
      <w:tr w:rsidR="007974EC" w:rsidRPr="007974EC" w14:paraId="705129CE" w14:textId="77777777" w:rsidTr="000501D2">
        <w:trPr>
          <w:trHeight w:val="300"/>
        </w:trPr>
        <w:tc>
          <w:tcPr>
            <w:tcW w:w="1417" w:type="pct"/>
            <w:tcBorders>
              <w:top w:val="nil"/>
              <w:left w:val="nil"/>
              <w:bottom w:val="nil"/>
              <w:right w:val="nil"/>
            </w:tcBorders>
            <w:shd w:val="clear" w:color="auto" w:fill="auto"/>
            <w:noWrap/>
            <w:vAlign w:val="center"/>
            <w:hideMark/>
          </w:tcPr>
          <w:p w14:paraId="4DE29F73" w14:textId="67AA2E03"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30-Minute ERS</w:t>
            </w:r>
          </w:p>
        </w:tc>
        <w:tc>
          <w:tcPr>
            <w:tcW w:w="633" w:type="pct"/>
            <w:tcBorders>
              <w:top w:val="nil"/>
              <w:left w:val="nil"/>
              <w:bottom w:val="nil"/>
              <w:right w:val="nil"/>
            </w:tcBorders>
            <w:shd w:val="clear" w:color="auto" w:fill="auto"/>
            <w:noWrap/>
            <w:vAlign w:val="center"/>
            <w:hideMark/>
          </w:tcPr>
          <w:p w14:paraId="0A0BE369"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632</w:t>
            </w:r>
          </w:p>
        </w:tc>
        <w:tc>
          <w:tcPr>
            <w:tcW w:w="721" w:type="pct"/>
            <w:tcBorders>
              <w:top w:val="nil"/>
              <w:left w:val="nil"/>
              <w:bottom w:val="nil"/>
              <w:right w:val="nil"/>
            </w:tcBorders>
            <w:shd w:val="clear" w:color="auto" w:fill="auto"/>
            <w:noWrap/>
            <w:vAlign w:val="center"/>
            <w:hideMark/>
          </w:tcPr>
          <w:p w14:paraId="051FE474"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632</w:t>
            </w:r>
          </w:p>
        </w:tc>
        <w:tc>
          <w:tcPr>
            <w:tcW w:w="633" w:type="pct"/>
            <w:tcBorders>
              <w:top w:val="nil"/>
              <w:left w:val="nil"/>
              <w:bottom w:val="nil"/>
              <w:right w:val="single" w:sz="4" w:space="0" w:color="auto"/>
            </w:tcBorders>
            <w:shd w:val="clear" w:color="auto" w:fill="auto"/>
            <w:noWrap/>
            <w:vAlign w:val="center"/>
            <w:hideMark/>
          </w:tcPr>
          <w:p w14:paraId="338BD72F"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692</w:t>
            </w:r>
          </w:p>
        </w:tc>
        <w:tc>
          <w:tcPr>
            <w:tcW w:w="756" w:type="pct"/>
            <w:tcBorders>
              <w:top w:val="nil"/>
              <w:left w:val="single" w:sz="4" w:space="0" w:color="auto"/>
              <w:bottom w:val="nil"/>
              <w:right w:val="nil"/>
            </w:tcBorders>
            <w:shd w:val="clear" w:color="auto" w:fill="auto"/>
            <w:noWrap/>
            <w:vAlign w:val="center"/>
            <w:hideMark/>
          </w:tcPr>
          <w:p w14:paraId="16CB03E3"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840" w:type="pct"/>
            <w:tcBorders>
              <w:top w:val="nil"/>
              <w:left w:val="nil"/>
              <w:bottom w:val="nil"/>
              <w:right w:val="nil"/>
            </w:tcBorders>
            <w:shd w:val="clear" w:color="auto" w:fill="auto"/>
            <w:noWrap/>
            <w:vAlign w:val="center"/>
            <w:hideMark/>
          </w:tcPr>
          <w:p w14:paraId="0560DED4"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60</w:t>
            </w:r>
          </w:p>
        </w:tc>
      </w:tr>
      <w:tr w:rsidR="007974EC" w:rsidRPr="007974EC" w14:paraId="1B46A969" w14:textId="77777777" w:rsidTr="000501D2">
        <w:trPr>
          <w:trHeight w:val="300"/>
        </w:trPr>
        <w:tc>
          <w:tcPr>
            <w:tcW w:w="1417" w:type="pct"/>
            <w:tcBorders>
              <w:top w:val="nil"/>
              <w:left w:val="nil"/>
              <w:bottom w:val="nil"/>
              <w:right w:val="nil"/>
            </w:tcBorders>
            <w:shd w:val="clear" w:color="auto" w:fill="auto"/>
            <w:noWrap/>
            <w:vAlign w:val="center"/>
            <w:hideMark/>
          </w:tcPr>
          <w:p w14:paraId="74BDA5EA" w14:textId="6DACD493"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TDSP Curtailment Programs</w:t>
            </w:r>
          </w:p>
        </w:tc>
        <w:tc>
          <w:tcPr>
            <w:tcW w:w="633" w:type="pct"/>
            <w:tcBorders>
              <w:top w:val="nil"/>
              <w:left w:val="nil"/>
              <w:bottom w:val="nil"/>
              <w:right w:val="nil"/>
            </w:tcBorders>
            <w:shd w:val="clear" w:color="auto" w:fill="auto"/>
            <w:noWrap/>
            <w:vAlign w:val="center"/>
            <w:hideMark/>
          </w:tcPr>
          <w:p w14:paraId="2A92F95F"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282</w:t>
            </w:r>
          </w:p>
        </w:tc>
        <w:tc>
          <w:tcPr>
            <w:tcW w:w="721" w:type="pct"/>
            <w:tcBorders>
              <w:top w:val="nil"/>
              <w:left w:val="nil"/>
              <w:bottom w:val="nil"/>
              <w:right w:val="nil"/>
            </w:tcBorders>
            <w:shd w:val="clear" w:color="auto" w:fill="auto"/>
            <w:noWrap/>
            <w:vAlign w:val="center"/>
            <w:hideMark/>
          </w:tcPr>
          <w:p w14:paraId="6375729F"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282</w:t>
            </w:r>
          </w:p>
        </w:tc>
        <w:tc>
          <w:tcPr>
            <w:tcW w:w="633" w:type="pct"/>
            <w:tcBorders>
              <w:top w:val="nil"/>
              <w:left w:val="nil"/>
              <w:bottom w:val="nil"/>
              <w:right w:val="single" w:sz="4" w:space="0" w:color="auto"/>
            </w:tcBorders>
            <w:shd w:val="clear" w:color="auto" w:fill="auto"/>
            <w:noWrap/>
            <w:vAlign w:val="center"/>
            <w:hideMark/>
          </w:tcPr>
          <w:p w14:paraId="2BBB380C"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262</w:t>
            </w:r>
          </w:p>
        </w:tc>
        <w:tc>
          <w:tcPr>
            <w:tcW w:w="756" w:type="pct"/>
            <w:tcBorders>
              <w:top w:val="nil"/>
              <w:left w:val="single" w:sz="4" w:space="0" w:color="auto"/>
              <w:bottom w:val="nil"/>
              <w:right w:val="nil"/>
            </w:tcBorders>
            <w:shd w:val="clear" w:color="auto" w:fill="auto"/>
            <w:noWrap/>
            <w:vAlign w:val="center"/>
            <w:hideMark/>
          </w:tcPr>
          <w:p w14:paraId="4861E89E"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840" w:type="pct"/>
            <w:tcBorders>
              <w:top w:val="nil"/>
              <w:left w:val="nil"/>
              <w:bottom w:val="nil"/>
              <w:right w:val="nil"/>
            </w:tcBorders>
            <w:shd w:val="clear" w:color="auto" w:fill="auto"/>
            <w:noWrap/>
            <w:vAlign w:val="center"/>
            <w:hideMark/>
          </w:tcPr>
          <w:p w14:paraId="6F25E171"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-20</w:t>
            </w:r>
          </w:p>
        </w:tc>
      </w:tr>
      <w:tr w:rsidR="007974EC" w:rsidRPr="007974EC" w14:paraId="3EC161D7" w14:textId="77777777" w:rsidTr="000501D2">
        <w:trPr>
          <w:trHeight w:val="300"/>
        </w:trPr>
        <w:tc>
          <w:tcPr>
            <w:tcW w:w="1417" w:type="pct"/>
            <w:tcBorders>
              <w:top w:val="nil"/>
              <w:left w:val="nil"/>
              <w:bottom w:val="nil"/>
              <w:right w:val="nil"/>
            </w:tcBorders>
            <w:shd w:val="clear" w:color="auto" w:fill="D9D9D9" w:themeFill="background1" w:themeFillShade="D9"/>
            <w:noWrap/>
            <w:vAlign w:val="center"/>
            <w:hideMark/>
          </w:tcPr>
          <w:p w14:paraId="00DDD047" w14:textId="77777777" w:rsidR="007974EC" w:rsidRPr="007974EC" w:rsidRDefault="007974EC" w:rsidP="007974EC">
            <w:pPr>
              <w:spacing w:after="0" w:line="240" w:lineRule="auto"/>
              <w:rPr>
                <w:rFonts w:eastAsia="Times New Roman" w:cs="Calibri"/>
                <w:b/>
                <w:bCs/>
                <w:color w:val="000000"/>
                <w:kern w:val="0"/>
                <w:sz w:val="20"/>
                <w:szCs w:val="20"/>
              </w:rPr>
            </w:pPr>
            <w:r w:rsidRPr="007974EC">
              <w:rPr>
                <w:rFonts w:eastAsia="Times New Roman" w:cs="Calibri"/>
                <w:b/>
                <w:bCs/>
                <w:color w:val="000000"/>
                <w:kern w:val="0"/>
                <w:sz w:val="20"/>
                <w:szCs w:val="20"/>
              </w:rPr>
              <w:t>Supply</w:t>
            </w:r>
          </w:p>
        </w:tc>
        <w:tc>
          <w:tcPr>
            <w:tcW w:w="633" w:type="pct"/>
            <w:tcBorders>
              <w:top w:val="nil"/>
              <w:left w:val="nil"/>
              <w:bottom w:val="nil"/>
              <w:right w:val="nil"/>
            </w:tcBorders>
            <w:shd w:val="clear" w:color="auto" w:fill="D9D9D9" w:themeFill="background1" w:themeFillShade="D9"/>
            <w:noWrap/>
            <w:vAlign w:val="center"/>
            <w:hideMark/>
          </w:tcPr>
          <w:p w14:paraId="588BF0EF" w14:textId="6C1422EC"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85</w:t>
            </w:r>
            <w:r>
              <w:rPr>
                <w:rFonts w:eastAsia="Times New Roman" w:cs="Calibri"/>
                <w:b/>
                <w:bCs/>
                <w:color w:val="000000"/>
                <w:kern w:val="0"/>
                <w:sz w:val="20"/>
                <w:szCs w:val="20"/>
              </w:rPr>
              <w:t>,</w:t>
            </w:r>
            <w:r w:rsidRPr="007974EC">
              <w:rPr>
                <w:rFonts w:eastAsia="Times New Roman" w:cs="Calibri"/>
                <w:b/>
                <w:bCs/>
                <w:color w:val="000000"/>
                <w:kern w:val="0"/>
                <w:sz w:val="20"/>
                <w:szCs w:val="20"/>
              </w:rPr>
              <w:t>919</w:t>
            </w:r>
          </w:p>
        </w:tc>
        <w:tc>
          <w:tcPr>
            <w:tcW w:w="721" w:type="pct"/>
            <w:tcBorders>
              <w:top w:val="nil"/>
              <w:left w:val="nil"/>
              <w:bottom w:val="nil"/>
              <w:right w:val="nil"/>
            </w:tcBorders>
            <w:shd w:val="clear" w:color="auto" w:fill="D9D9D9" w:themeFill="background1" w:themeFillShade="D9"/>
            <w:noWrap/>
            <w:vAlign w:val="center"/>
            <w:hideMark/>
          </w:tcPr>
          <w:p w14:paraId="0BA6E30F" w14:textId="19BA3D75"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86</w:t>
            </w:r>
            <w:r>
              <w:rPr>
                <w:rFonts w:eastAsia="Times New Roman" w:cs="Calibri"/>
                <w:b/>
                <w:bCs/>
                <w:color w:val="000000"/>
                <w:kern w:val="0"/>
                <w:sz w:val="20"/>
                <w:szCs w:val="20"/>
              </w:rPr>
              <w:t>,</w:t>
            </w:r>
            <w:r w:rsidRPr="007974EC">
              <w:rPr>
                <w:rFonts w:eastAsia="Times New Roman" w:cs="Calibri"/>
                <w:b/>
                <w:bCs/>
                <w:color w:val="000000"/>
                <w:kern w:val="0"/>
                <w:sz w:val="20"/>
                <w:szCs w:val="20"/>
              </w:rPr>
              <w:t>813</w:t>
            </w:r>
          </w:p>
        </w:tc>
        <w:tc>
          <w:tcPr>
            <w:tcW w:w="633" w:type="pct"/>
            <w:tcBorders>
              <w:top w:val="nil"/>
              <w:left w:val="nil"/>
              <w:bottom w:val="nil"/>
              <w:right w:val="single" w:sz="4" w:space="0" w:color="auto"/>
            </w:tcBorders>
            <w:shd w:val="clear" w:color="auto" w:fill="D9D9D9" w:themeFill="background1" w:themeFillShade="D9"/>
            <w:noWrap/>
            <w:vAlign w:val="center"/>
            <w:hideMark/>
          </w:tcPr>
          <w:p w14:paraId="1C617A69" w14:textId="46FDE132"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93</w:t>
            </w:r>
            <w:r>
              <w:rPr>
                <w:rFonts w:eastAsia="Times New Roman" w:cs="Calibri"/>
                <w:b/>
                <w:bCs/>
                <w:color w:val="000000"/>
                <w:kern w:val="0"/>
                <w:sz w:val="20"/>
                <w:szCs w:val="20"/>
              </w:rPr>
              <w:t>,</w:t>
            </w:r>
            <w:r w:rsidRPr="007974EC">
              <w:rPr>
                <w:rFonts w:eastAsia="Times New Roman" w:cs="Calibri"/>
                <w:b/>
                <w:bCs/>
                <w:color w:val="000000"/>
                <w:kern w:val="0"/>
                <w:sz w:val="20"/>
                <w:szCs w:val="20"/>
              </w:rPr>
              <w:t>979</w:t>
            </w:r>
          </w:p>
        </w:tc>
        <w:tc>
          <w:tcPr>
            <w:tcW w:w="756" w:type="pct"/>
            <w:tcBorders>
              <w:top w:val="nil"/>
              <w:left w:val="single" w:sz="4" w:space="0" w:color="auto"/>
              <w:bottom w:val="nil"/>
              <w:right w:val="nil"/>
            </w:tcBorders>
            <w:shd w:val="clear" w:color="auto" w:fill="D9D9D9" w:themeFill="background1" w:themeFillShade="D9"/>
            <w:noWrap/>
            <w:vAlign w:val="center"/>
            <w:hideMark/>
          </w:tcPr>
          <w:p w14:paraId="62A1DE51" w14:textId="77777777"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894</w:t>
            </w:r>
          </w:p>
        </w:tc>
        <w:tc>
          <w:tcPr>
            <w:tcW w:w="840" w:type="pct"/>
            <w:tcBorders>
              <w:top w:val="nil"/>
              <w:left w:val="nil"/>
              <w:bottom w:val="nil"/>
              <w:right w:val="nil"/>
            </w:tcBorders>
            <w:shd w:val="clear" w:color="auto" w:fill="D9D9D9" w:themeFill="background1" w:themeFillShade="D9"/>
            <w:noWrap/>
            <w:vAlign w:val="center"/>
            <w:hideMark/>
          </w:tcPr>
          <w:p w14:paraId="76DAB0E6" w14:textId="1CFBF141"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7</w:t>
            </w:r>
            <w:r>
              <w:rPr>
                <w:rFonts w:eastAsia="Times New Roman" w:cs="Calibri"/>
                <w:b/>
                <w:bCs/>
                <w:color w:val="000000"/>
                <w:kern w:val="0"/>
                <w:sz w:val="20"/>
                <w:szCs w:val="20"/>
              </w:rPr>
              <w:t>,</w:t>
            </w:r>
            <w:r w:rsidRPr="007974EC">
              <w:rPr>
                <w:rFonts w:eastAsia="Times New Roman" w:cs="Calibri"/>
                <w:b/>
                <w:bCs/>
                <w:color w:val="000000"/>
                <w:kern w:val="0"/>
                <w:sz w:val="20"/>
                <w:szCs w:val="20"/>
              </w:rPr>
              <w:t>166</w:t>
            </w:r>
          </w:p>
        </w:tc>
      </w:tr>
      <w:tr w:rsidR="007974EC" w:rsidRPr="007974EC" w14:paraId="77FC318B" w14:textId="77777777" w:rsidTr="000501D2">
        <w:trPr>
          <w:trHeight w:val="300"/>
        </w:trPr>
        <w:tc>
          <w:tcPr>
            <w:tcW w:w="1417" w:type="pct"/>
            <w:tcBorders>
              <w:top w:val="nil"/>
              <w:left w:val="nil"/>
              <w:bottom w:val="nil"/>
              <w:right w:val="nil"/>
            </w:tcBorders>
            <w:shd w:val="clear" w:color="auto" w:fill="auto"/>
            <w:noWrap/>
            <w:vAlign w:val="center"/>
            <w:hideMark/>
          </w:tcPr>
          <w:p w14:paraId="1BD3395E" w14:textId="7E6778A7"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Conventional Generation</w:t>
            </w:r>
          </w:p>
        </w:tc>
        <w:tc>
          <w:tcPr>
            <w:tcW w:w="633" w:type="pct"/>
            <w:tcBorders>
              <w:top w:val="nil"/>
              <w:left w:val="nil"/>
              <w:bottom w:val="nil"/>
              <w:right w:val="nil"/>
            </w:tcBorders>
            <w:shd w:val="clear" w:color="auto" w:fill="auto"/>
            <w:noWrap/>
            <w:vAlign w:val="center"/>
            <w:hideMark/>
          </w:tcPr>
          <w:p w14:paraId="114C90D6" w14:textId="266757C0"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72</w:t>
            </w:r>
            <w:r>
              <w:rPr>
                <w:rFonts w:eastAsia="Times New Roman" w:cs="Calibri"/>
                <w:color w:val="000000"/>
                <w:kern w:val="0"/>
                <w:sz w:val="20"/>
                <w:szCs w:val="20"/>
              </w:rPr>
              <w:t>,</w:t>
            </w:r>
            <w:r w:rsidRPr="007974EC">
              <w:rPr>
                <w:rFonts w:eastAsia="Times New Roman" w:cs="Calibri"/>
                <w:color w:val="000000"/>
                <w:kern w:val="0"/>
                <w:sz w:val="20"/>
                <w:szCs w:val="20"/>
              </w:rPr>
              <w:t>441</w:t>
            </w:r>
          </w:p>
        </w:tc>
        <w:tc>
          <w:tcPr>
            <w:tcW w:w="721" w:type="pct"/>
            <w:tcBorders>
              <w:top w:val="nil"/>
              <w:left w:val="nil"/>
              <w:bottom w:val="nil"/>
              <w:right w:val="nil"/>
            </w:tcBorders>
            <w:shd w:val="clear" w:color="auto" w:fill="auto"/>
            <w:noWrap/>
            <w:vAlign w:val="center"/>
            <w:hideMark/>
          </w:tcPr>
          <w:p w14:paraId="415D125F" w14:textId="1C438E69"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72</w:t>
            </w:r>
            <w:r>
              <w:rPr>
                <w:rFonts w:eastAsia="Times New Roman" w:cs="Calibri"/>
                <w:color w:val="000000"/>
                <w:kern w:val="0"/>
                <w:sz w:val="20"/>
                <w:szCs w:val="20"/>
              </w:rPr>
              <w:t>,</w:t>
            </w:r>
            <w:r w:rsidRPr="007974EC">
              <w:rPr>
                <w:rFonts w:eastAsia="Times New Roman" w:cs="Calibri"/>
                <w:color w:val="000000"/>
                <w:kern w:val="0"/>
                <w:sz w:val="20"/>
                <w:szCs w:val="20"/>
              </w:rPr>
              <w:t>441</w:t>
            </w:r>
          </w:p>
        </w:tc>
        <w:tc>
          <w:tcPr>
            <w:tcW w:w="633" w:type="pct"/>
            <w:tcBorders>
              <w:top w:val="nil"/>
              <w:left w:val="nil"/>
              <w:bottom w:val="nil"/>
              <w:right w:val="single" w:sz="4" w:space="0" w:color="auto"/>
            </w:tcBorders>
            <w:shd w:val="clear" w:color="auto" w:fill="auto"/>
            <w:noWrap/>
            <w:vAlign w:val="center"/>
            <w:hideMark/>
          </w:tcPr>
          <w:p w14:paraId="2A969BEE" w14:textId="15D575B6"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68</w:t>
            </w:r>
            <w:r>
              <w:rPr>
                <w:rFonts w:eastAsia="Times New Roman" w:cs="Calibri"/>
                <w:color w:val="000000"/>
                <w:kern w:val="0"/>
                <w:sz w:val="20"/>
                <w:szCs w:val="20"/>
              </w:rPr>
              <w:t>,</w:t>
            </w:r>
            <w:r w:rsidRPr="007974EC">
              <w:rPr>
                <w:rFonts w:eastAsia="Times New Roman" w:cs="Calibri"/>
                <w:color w:val="000000"/>
                <w:kern w:val="0"/>
                <w:sz w:val="20"/>
                <w:szCs w:val="20"/>
              </w:rPr>
              <w:t>395</w:t>
            </w:r>
          </w:p>
        </w:tc>
        <w:tc>
          <w:tcPr>
            <w:tcW w:w="756" w:type="pct"/>
            <w:tcBorders>
              <w:top w:val="nil"/>
              <w:left w:val="single" w:sz="4" w:space="0" w:color="auto"/>
              <w:bottom w:val="nil"/>
              <w:right w:val="nil"/>
            </w:tcBorders>
            <w:shd w:val="clear" w:color="auto" w:fill="auto"/>
            <w:noWrap/>
            <w:vAlign w:val="center"/>
            <w:hideMark/>
          </w:tcPr>
          <w:p w14:paraId="6EE8D5FF"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840" w:type="pct"/>
            <w:tcBorders>
              <w:top w:val="nil"/>
              <w:left w:val="nil"/>
              <w:bottom w:val="nil"/>
              <w:right w:val="nil"/>
            </w:tcBorders>
            <w:shd w:val="clear" w:color="auto" w:fill="auto"/>
            <w:noWrap/>
            <w:vAlign w:val="center"/>
            <w:hideMark/>
          </w:tcPr>
          <w:p w14:paraId="75667DFC" w14:textId="3B24B773"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-4</w:t>
            </w:r>
            <w:r>
              <w:rPr>
                <w:rFonts w:eastAsia="Times New Roman" w:cs="Calibri"/>
                <w:color w:val="000000"/>
                <w:kern w:val="0"/>
                <w:sz w:val="20"/>
                <w:szCs w:val="20"/>
              </w:rPr>
              <w:t>,</w:t>
            </w:r>
            <w:r w:rsidRPr="007974EC">
              <w:rPr>
                <w:rFonts w:eastAsia="Times New Roman" w:cs="Calibri"/>
                <w:color w:val="000000"/>
                <w:kern w:val="0"/>
                <w:sz w:val="20"/>
                <w:szCs w:val="20"/>
              </w:rPr>
              <w:t>046</w:t>
            </w:r>
          </w:p>
        </w:tc>
      </w:tr>
      <w:tr w:rsidR="007974EC" w:rsidRPr="007974EC" w14:paraId="316DF7C7" w14:textId="77777777" w:rsidTr="000501D2">
        <w:trPr>
          <w:trHeight w:val="300"/>
        </w:trPr>
        <w:tc>
          <w:tcPr>
            <w:tcW w:w="1417" w:type="pct"/>
            <w:tcBorders>
              <w:top w:val="nil"/>
              <w:left w:val="nil"/>
              <w:bottom w:val="nil"/>
              <w:right w:val="nil"/>
            </w:tcBorders>
            <w:shd w:val="clear" w:color="auto" w:fill="auto"/>
            <w:noWrap/>
            <w:vAlign w:val="center"/>
            <w:hideMark/>
          </w:tcPr>
          <w:p w14:paraId="21058B39" w14:textId="1FAF4639"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Hydro</w:t>
            </w:r>
          </w:p>
        </w:tc>
        <w:tc>
          <w:tcPr>
            <w:tcW w:w="633" w:type="pct"/>
            <w:tcBorders>
              <w:top w:val="nil"/>
              <w:left w:val="nil"/>
              <w:bottom w:val="nil"/>
              <w:right w:val="nil"/>
            </w:tcBorders>
            <w:shd w:val="clear" w:color="auto" w:fill="auto"/>
            <w:noWrap/>
            <w:vAlign w:val="center"/>
            <w:hideMark/>
          </w:tcPr>
          <w:p w14:paraId="6CBAC892"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467</w:t>
            </w:r>
          </w:p>
        </w:tc>
        <w:tc>
          <w:tcPr>
            <w:tcW w:w="721" w:type="pct"/>
            <w:tcBorders>
              <w:top w:val="nil"/>
              <w:left w:val="nil"/>
              <w:bottom w:val="nil"/>
              <w:right w:val="nil"/>
            </w:tcBorders>
            <w:shd w:val="clear" w:color="auto" w:fill="auto"/>
            <w:noWrap/>
            <w:vAlign w:val="center"/>
            <w:hideMark/>
          </w:tcPr>
          <w:p w14:paraId="54AD7216"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467</w:t>
            </w:r>
          </w:p>
        </w:tc>
        <w:tc>
          <w:tcPr>
            <w:tcW w:w="633" w:type="pct"/>
            <w:tcBorders>
              <w:top w:val="nil"/>
              <w:left w:val="nil"/>
              <w:bottom w:val="nil"/>
              <w:right w:val="single" w:sz="4" w:space="0" w:color="auto"/>
            </w:tcBorders>
            <w:shd w:val="clear" w:color="auto" w:fill="auto"/>
            <w:noWrap/>
            <w:vAlign w:val="center"/>
            <w:hideMark/>
          </w:tcPr>
          <w:p w14:paraId="1CFEA94F"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474</w:t>
            </w:r>
          </w:p>
        </w:tc>
        <w:tc>
          <w:tcPr>
            <w:tcW w:w="756" w:type="pct"/>
            <w:tcBorders>
              <w:top w:val="nil"/>
              <w:left w:val="single" w:sz="4" w:space="0" w:color="auto"/>
              <w:bottom w:val="nil"/>
              <w:right w:val="nil"/>
            </w:tcBorders>
            <w:shd w:val="clear" w:color="auto" w:fill="auto"/>
            <w:noWrap/>
            <w:vAlign w:val="center"/>
            <w:hideMark/>
          </w:tcPr>
          <w:p w14:paraId="70B20414"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840" w:type="pct"/>
            <w:tcBorders>
              <w:top w:val="nil"/>
              <w:left w:val="nil"/>
              <w:bottom w:val="nil"/>
              <w:right w:val="nil"/>
            </w:tcBorders>
            <w:shd w:val="clear" w:color="auto" w:fill="auto"/>
            <w:noWrap/>
            <w:vAlign w:val="center"/>
            <w:hideMark/>
          </w:tcPr>
          <w:p w14:paraId="78535EEF"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7</w:t>
            </w:r>
          </w:p>
        </w:tc>
      </w:tr>
      <w:tr w:rsidR="007974EC" w:rsidRPr="007974EC" w14:paraId="63621B5D" w14:textId="77777777" w:rsidTr="000501D2">
        <w:trPr>
          <w:trHeight w:val="300"/>
        </w:trPr>
        <w:tc>
          <w:tcPr>
            <w:tcW w:w="1417" w:type="pct"/>
            <w:tcBorders>
              <w:top w:val="nil"/>
              <w:left w:val="nil"/>
              <w:bottom w:val="nil"/>
              <w:right w:val="nil"/>
            </w:tcBorders>
            <w:shd w:val="clear" w:color="auto" w:fill="auto"/>
            <w:noWrap/>
            <w:vAlign w:val="center"/>
            <w:hideMark/>
          </w:tcPr>
          <w:p w14:paraId="62C757FF" w14:textId="2591EC9B"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Wind</w:t>
            </w:r>
          </w:p>
        </w:tc>
        <w:tc>
          <w:tcPr>
            <w:tcW w:w="633" w:type="pct"/>
            <w:tcBorders>
              <w:top w:val="nil"/>
              <w:left w:val="nil"/>
              <w:bottom w:val="nil"/>
              <w:right w:val="nil"/>
            </w:tcBorders>
            <w:shd w:val="clear" w:color="auto" w:fill="auto"/>
            <w:noWrap/>
            <w:vAlign w:val="center"/>
            <w:hideMark/>
          </w:tcPr>
          <w:p w14:paraId="1487AF26" w14:textId="10962942"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6</w:t>
            </w:r>
            <w:r>
              <w:rPr>
                <w:rFonts w:eastAsia="Times New Roman" w:cs="Calibri"/>
                <w:color w:val="000000"/>
                <w:kern w:val="0"/>
                <w:sz w:val="20"/>
                <w:szCs w:val="20"/>
              </w:rPr>
              <w:t>,</w:t>
            </w:r>
            <w:r w:rsidRPr="007974EC">
              <w:rPr>
                <w:rFonts w:eastAsia="Times New Roman" w:cs="Calibri"/>
                <w:color w:val="000000"/>
                <w:kern w:val="0"/>
                <w:sz w:val="20"/>
                <w:szCs w:val="20"/>
              </w:rPr>
              <w:t>331</w:t>
            </w:r>
          </w:p>
        </w:tc>
        <w:tc>
          <w:tcPr>
            <w:tcW w:w="721" w:type="pct"/>
            <w:tcBorders>
              <w:top w:val="nil"/>
              <w:left w:val="nil"/>
              <w:bottom w:val="nil"/>
              <w:right w:val="nil"/>
            </w:tcBorders>
            <w:shd w:val="clear" w:color="auto" w:fill="auto"/>
            <w:noWrap/>
            <w:vAlign w:val="center"/>
            <w:hideMark/>
          </w:tcPr>
          <w:p w14:paraId="345712A8" w14:textId="5EE19DC8"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7</w:t>
            </w:r>
            <w:r>
              <w:rPr>
                <w:rFonts w:eastAsia="Times New Roman" w:cs="Calibri"/>
                <w:color w:val="000000"/>
                <w:kern w:val="0"/>
                <w:sz w:val="20"/>
                <w:szCs w:val="20"/>
              </w:rPr>
              <w:t>,</w:t>
            </w:r>
            <w:r w:rsidRPr="007974EC">
              <w:rPr>
                <w:rFonts w:eastAsia="Times New Roman" w:cs="Calibri"/>
                <w:color w:val="000000"/>
                <w:kern w:val="0"/>
                <w:sz w:val="20"/>
                <w:szCs w:val="20"/>
              </w:rPr>
              <w:t>052</w:t>
            </w:r>
          </w:p>
        </w:tc>
        <w:tc>
          <w:tcPr>
            <w:tcW w:w="633" w:type="pct"/>
            <w:tcBorders>
              <w:top w:val="nil"/>
              <w:left w:val="nil"/>
              <w:bottom w:val="nil"/>
              <w:right w:val="single" w:sz="4" w:space="0" w:color="auto"/>
            </w:tcBorders>
            <w:shd w:val="clear" w:color="auto" w:fill="auto"/>
            <w:noWrap/>
            <w:vAlign w:val="center"/>
            <w:hideMark/>
          </w:tcPr>
          <w:p w14:paraId="0B73864F" w14:textId="4F77EFF3"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9</w:t>
            </w:r>
            <w:r>
              <w:rPr>
                <w:rFonts w:eastAsia="Times New Roman" w:cs="Calibri"/>
                <w:color w:val="000000"/>
                <w:kern w:val="0"/>
                <w:sz w:val="20"/>
                <w:szCs w:val="20"/>
              </w:rPr>
              <w:t>,</w:t>
            </w:r>
            <w:r w:rsidRPr="007974EC">
              <w:rPr>
                <w:rFonts w:eastAsia="Times New Roman" w:cs="Calibri"/>
                <w:color w:val="000000"/>
                <w:kern w:val="0"/>
                <w:sz w:val="20"/>
                <w:szCs w:val="20"/>
              </w:rPr>
              <w:t>137</w:t>
            </w:r>
          </w:p>
        </w:tc>
        <w:tc>
          <w:tcPr>
            <w:tcW w:w="756" w:type="pct"/>
            <w:tcBorders>
              <w:top w:val="nil"/>
              <w:left w:val="single" w:sz="4" w:space="0" w:color="auto"/>
              <w:bottom w:val="nil"/>
              <w:right w:val="nil"/>
            </w:tcBorders>
            <w:shd w:val="clear" w:color="auto" w:fill="auto"/>
            <w:noWrap/>
            <w:vAlign w:val="center"/>
            <w:hideMark/>
          </w:tcPr>
          <w:p w14:paraId="69F43EEB"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721</w:t>
            </w:r>
          </w:p>
        </w:tc>
        <w:tc>
          <w:tcPr>
            <w:tcW w:w="840" w:type="pct"/>
            <w:tcBorders>
              <w:top w:val="nil"/>
              <w:left w:val="nil"/>
              <w:bottom w:val="nil"/>
              <w:right w:val="nil"/>
            </w:tcBorders>
            <w:shd w:val="clear" w:color="auto" w:fill="auto"/>
            <w:noWrap/>
            <w:vAlign w:val="center"/>
            <w:hideMark/>
          </w:tcPr>
          <w:p w14:paraId="5A1E9C61" w14:textId="2B61C6FB"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w:t>
            </w:r>
            <w:r>
              <w:rPr>
                <w:rFonts w:eastAsia="Times New Roman" w:cs="Calibri"/>
                <w:color w:val="000000"/>
                <w:kern w:val="0"/>
                <w:sz w:val="20"/>
                <w:szCs w:val="20"/>
              </w:rPr>
              <w:t>,</w:t>
            </w:r>
            <w:r w:rsidRPr="007974EC">
              <w:rPr>
                <w:rFonts w:eastAsia="Times New Roman" w:cs="Calibri"/>
                <w:color w:val="000000"/>
                <w:kern w:val="0"/>
                <w:sz w:val="20"/>
                <w:szCs w:val="20"/>
              </w:rPr>
              <w:t>085</w:t>
            </w:r>
          </w:p>
        </w:tc>
      </w:tr>
      <w:tr w:rsidR="007974EC" w:rsidRPr="007974EC" w14:paraId="17AD5D70" w14:textId="77777777" w:rsidTr="000501D2">
        <w:trPr>
          <w:trHeight w:val="300"/>
        </w:trPr>
        <w:tc>
          <w:tcPr>
            <w:tcW w:w="1417" w:type="pct"/>
            <w:tcBorders>
              <w:top w:val="nil"/>
              <w:left w:val="nil"/>
              <w:bottom w:val="nil"/>
              <w:right w:val="nil"/>
            </w:tcBorders>
            <w:shd w:val="clear" w:color="auto" w:fill="auto"/>
            <w:noWrap/>
            <w:vAlign w:val="center"/>
            <w:hideMark/>
          </w:tcPr>
          <w:p w14:paraId="45C0AEBA" w14:textId="5657A624"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Solar</w:t>
            </w:r>
          </w:p>
        </w:tc>
        <w:tc>
          <w:tcPr>
            <w:tcW w:w="633" w:type="pct"/>
            <w:tcBorders>
              <w:top w:val="nil"/>
              <w:left w:val="nil"/>
              <w:bottom w:val="nil"/>
              <w:right w:val="nil"/>
            </w:tcBorders>
            <w:shd w:val="clear" w:color="auto" w:fill="auto"/>
            <w:noWrap/>
            <w:vAlign w:val="center"/>
            <w:hideMark/>
          </w:tcPr>
          <w:p w14:paraId="0BFBFDA6" w14:textId="495CC1E4"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w:t>
            </w:r>
            <w:r>
              <w:rPr>
                <w:rFonts w:eastAsia="Times New Roman" w:cs="Calibri"/>
                <w:color w:val="000000"/>
                <w:kern w:val="0"/>
                <w:sz w:val="20"/>
                <w:szCs w:val="20"/>
              </w:rPr>
              <w:t>,</w:t>
            </w:r>
            <w:r w:rsidRPr="007974EC">
              <w:rPr>
                <w:rFonts w:eastAsia="Times New Roman" w:cs="Calibri"/>
                <w:color w:val="000000"/>
                <w:kern w:val="0"/>
                <w:sz w:val="20"/>
                <w:szCs w:val="20"/>
              </w:rPr>
              <w:t>708</w:t>
            </w:r>
          </w:p>
        </w:tc>
        <w:tc>
          <w:tcPr>
            <w:tcW w:w="721" w:type="pct"/>
            <w:tcBorders>
              <w:top w:val="nil"/>
              <w:left w:val="nil"/>
              <w:bottom w:val="nil"/>
              <w:right w:val="nil"/>
            </w:tcBorders>
            <w:shd w:val="clear" w:color="auto" w:fill="auto"/>
            <w:noWrap/>
            <w:vAlign w:val="center"/>
            <w:hideMark/>
          </w:tcPr>
          <w:p w14:paraId="5D3E883E" w14:textId="085328B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w:t>
            </w:r>
            <w:r>
              <w:rPr>
                <w:rFonts w:eastAsia="Times New Roman" w:cs="Calibri"/>
                <w:color w:val="000000"/>
                <w:kern w:val="0"/>
                <w:sz w:val="20"/>
                <w:szCs w:val="20"/>
              </w:rPr>
              <w:t>,</w:t>
            </w:r>
            <w:r w:rsidRPr="007974EC">
              <w:rPr>
                <w:rFonts w:eastAsia="Times New Roman" w:cs="Calibri"/>
                <w:color w:val="000000"/>
                <w:kern w:val="0"/>
                <w:sz w:val="20"/>
                <w:szCs w:val="20"/>
              </w:rPr>
              <w:t>744</w:t>
            </w:r>
          </w:p>
        </w:tc>
        <w:tc>
          <w:tcPr>
            <w:tcW w:w="633" w:type="pct"/>
            <w:tcBorders>
              <w:top w:val="nil"/>
              <w:left w:val="nil"/>
              <w:bottom w:val="nil"/>
              <w:right w:val="single" w:sz="4" w:space="0" w:color="auto"/>
            </w:tcBorders>
            <w:shd w:val="clear" w:color="auto" w:fill="auto"/>
            <w:noWrap/>
            <w:vAlign w:val="center"/>
            <w:hideMark/>
          </w:tcPr>
          <w:p w14:paraId="42FDA28B" w14:textId="5FFC1AD4"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12</w:t>
            </w:r>
            <w:r>
              <w:rPr>
                <w:rFonts w:eastAsia="Times New Roman" w:cs="Calibri"/>
                <w:color w:val="000000"/>
                <w:kern w:val="0"/>
                <w:sz w:val="20"/>
                <w:szCs w:val="20"/>
              </w:rPr>
              <w:t>,</w:t>
            </w:r>
            <w:r w:rsidRPr="007974EC">
              <w:rPr>
                <w:rFonts w:eastAsia="Times New Roman" w:cs="Calibri"/>
                <w:color w:val="000000"/>
                <w:kern w:val="0"/>
                <w:sz w:val="20"/>
                <w:szCs w:val="20"/>
              </w:rPr>
              <w:t>161</w:t>
            </w:r>
          </w:p>
        </w:tc>
        <w:tc>
          <w:tcPr>
            <w:tcW w:w="756" w:type="pct"/>
            <w:tcBorders>
              <w:top w:val="nil"/>
              <w:left w:val="single" w:sz="4" w:space="0" w:color="auto"/>
              <w:bottom w:val="nil"/>
              <w:right w:val="nil"/>
            </w:tcBorders>
            <w:shd w:val="clear" w:color="auto" w:fill="auto"/>
            <w:noWrap/>
            <w:vAlign w:val="center"/>
            <w:hideMark/>
          </w:tcPr>
          <w:p w14:paraId="1751772E"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36</w:t>
            </w:r>
          </w:p>
        </w:tc>
        <w:tc>
          <w:tcPr>
            <w:tcW w:w="840" w:type="pct"/>
            <w:tcBorders>
              <w:top w:val="nil"/>
              <w:left w:val="nil"/>
              <w:bottom w:val="nil"/>
              <w:right w:val="nil"/>
            </w:tcBorders>
            <w:shd w:val="clear" w:color="auto" w:fill="auto"/>
            <w:noWrap/>
            <w:vAlign w:val="center"/>
            <w:hideMark/>
          </w:tcPr>
          <w:p w14:paraId="2B55DA88" w14:textId="7EBF71FA"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9</w:t>
            </w:r>
            <w:r>
              <w:rPr>
                <w:rFonts w:eastAsia="Times New Roman" w:cs="Calibri"/>
                <w:color w:val="000000"/>
                <w:kern w:val="0"/>
                <w:sz w:val="20"/>
                <w:szCs w:val="20"/>
              </w:rPr>
              <w:t>,</w:t>
            </w:r>
            <w:r w:rsidRPr="007974EC">
              <w:rPr>
                <w:rFonts w:eastAsia="Times New Roman" w:cs="Calibri"/>
                <w:color w:val="000000"/>
                <w:kern w:val="0"/>
                <w:sz w:val="20"/>
                <w:szCs w:val="20"/>
              </w:rPr>
              <w:t>417</w:t>
            </w:r>
          </w:p>
        </w:tc>
      </w:tr>
      <w:tr w:rsidR="007974EC" w:rsidRPr="007974EC" w14:paraId="35B99C69" w14:textId="77777777" w:rsidTr="000501D2">
        <w:trPr>
          <w:trHeight w:val="300"/>
        </w:trPr>
        <w:tc>
          <w:tcPr>
            <w:tcW w:w="1417" w:type="pct"/>
            <w:tcBorders>
              <w:top w:val="nil"/>
              <w:left w:val="nil"/>
              <w:bottom w:val="nil"/>
              <w:right w:val="nil"/>
            </w:tcBorders>
            <w:shd w:val="clear" w:color="auto" w:fill="auto"/>
            <w:noWrap/>
            <w:vAlign w:val="center"/>
            <w:hideMark/>
          </w:tcPr>
          <w:p w14:paraId="70E656D8" w14:textId="504F1FB1"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Storage</w:t>
            </w:r>
          </w:p>
        </w:tc>
        <w:tc>
          <w:tcPr>
            <w:tcW w:w="633" w:type="pct"/>
            <w:tcBorders>
              <w:top w:val="nil"/>
              <w:left w:val="nil"/>
              <w:bottom w:val="nil"/>
              <w:right w:val="nil"/>
            </w:tcBorders>
            <w:shd w:val="clear" w:color="auto" w:fill="auto"/>
            <w:noWrap/>
            <w:vAlign w:val="center"/>
            <w:hideMark/>
          </w:tcPr>
          <w:p w14:paraId="4F9E8F68" w14:textId="2C543524"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324</w:t>
            </w:r>
            <w:r w:rsidR="00CF6B67">
              <w:rPr>
                <w:rFonts w:eastAsia="Times New Roman" w:cs="Calibri"/>
                <w:color w:val="000000"/>
                <w:kern w:val="0"/>
                <w:sz w:val="20"/>
                <w:szCs w:val="20"/>
              </w:rPr>
              <w:t>*</w:t>
            </w:r>
          </w:p>
        </w:tc>
        <w:tc>
          <w:tcPr>
            <w:tcW w:w="721" w:type="pct"/>
            <w:tcBorders>
              <w:top w:val="nil"/>
              <w:left w:val="nil"/>
              <w:bottom w:val="nil"/>
              <w:right w:val="nil"/>
            </w:tcBorders>
            <w:shd w:val="clear" w:color="auto" w:fill="auto"/>
            <w:noWrap/>
            <w:vAlign w:val="center"/>
            <w:hideMark/>
          </w:tcPr>
          <w:p w14:paraId="10F07B33"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633" w:type="pct"/>
            <w:tcBorders>
              <w:top w:val="nil"/>
              <w:left w:val="nil"/>
              <w:bottom w:val="nil"/>
              <w:right w:val="single" w:sz="4" w:space="0" w:color="auto"/>
            </w:tcBorders>
            <w:shd w:val="clear" w:color="auto" w:fill="auto"/>
            <w:noWrap/>
            <w:vAlign w:val="center"/>
            <w:hideMark/>
          </w:tcPr>
          <w:p w14:paraId="74B31503" w14:textId="35875E80"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r w:rsidR="00CF6B67">
              <w:rPr>
                <w:rFonts w:eastAsia="Times New Roman" w:cs="Calibri"/>
                <w:color w:val="000000"/>
                <w:kern w:val="0"/>
                <w:sz w:val="20"/>
                <w:szCs w:val="20"/>
              </w:rPr>
              <w:t>*</w:t>
            </w:r>
          </w:p>
        </w:tc>
        <w:tc>
          <w:tcPr>
            <w:tcW w:w="756" w:type="pct"/>
            <w:tcBorders>
              <w:top w:val="nil"/>
              <w:left w:val="single" w:sz="4" w:space="0" w:color="auto"/>
              <w:bottom w:val="nil"/>
              <w:right w:val="nil"/>
            </w:tcBorders>
            <w:shd w:val="clear" w:color="auto" w:fill="auto"/>
            <w:noWrap/>
            <w:vAlign w:val="center"/>
            <w:hideMark/>
          </w:tcPr>
          <w:p w14:paraId="153A0ADB"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-324</w:t>
            </w:r>
          </w:p>
        </w:tc>
        <w:tc>
          <w:tcPr>
            <w:tcW w:w="840" w:type="pct"/>
            <w:tcBorders>
              <w:top w:val="nil"/>
              <w:left w:val="nil"/>
              <w:bottom w:val="nil"/>
              <w:right w:val="nil"/>
            </w:tcBorders>
            <w:shd w:val="clear" w:color="auto" w:fill="auto"/>
            <w:noWrap/>
            <w:vAlign w:val="center"/>
            <w:hideMark/>
          </w:tcPr>
          <w:p w14:paraId="6EBF2349"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r>
      <w:tr w:rsidR="007974EC" w:rsidRPr="007974EC" w14:paraId="4430E710" w14:textId="77777777" w:rsidTr="000501D2">
        <w:trPr>
          <w:trHeight w:val="300"/>
        </w:trPr>
        <w:tc>
          <w:tcPr>
            <w:tcW w:w="1417" w:type="pct"/>
            <w:tcBorders>
              <w:top w:val="nil"/>
              <w:left w:val="nil"/>
              <w:bottom w:val="nil"/>
              <w:right w:val="nil"/>
            </w:tcBorders>
            <w:shd w:val="clear" w:color="auto" w:fill="auto"/>
            <w:noWrap/>
            <w:vAlign w:val="center"/>
            <w:hideMark/>
          </w:tcPr>
          <w:p w14:paraId="2CB22969" w14:textId="1ED93B6A"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PUNs</w:t>
            </w:r>
          </w:p>
        </w:tc>
        <w:tc>
          <w:tcPr>
            <w:tcW w:w="633" w:type="pct"/>
            <w:tcBorders>
              <w:top w:val="nil"/>
              <w:left w:val="nil"/>
              <w:bottom w:val="nil"/>
              <w:right w:val="nil"/>
            </w:tcBorders>
            <w:shd w:val="clear" w:color="auto" w:fill="auto"/>
            <w:noWrap/>
            <w:vAlign w:val="center"/>
            <w:hideMark/>
          </w:tcPr>
          <w:p w14:paraId="49EB5CA3" w14:textId="1623064A"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3</w:t>
            </w:r>
            <w:r>
              <w:rPr>
                <w:rFonts w:eastAsia="Times New Roman" w:cs="Calibri"/>
                <w:color w:val="000000"/>
                <w:kern w:val="0"/>
                <w:sz w:val="20"/>
                <w:szCs w:val="20"/>
              </w:rPr>
              <w:t>,</w:t>
            </w:r>
            <w:r w:rsidRPr="007974EC">
              <w:rPr>
                <w:rFonts w:eastAsia="Times New Roman" w:cs="Calibri"/>
                <w:color w:val="000000"/>
                <w:kern w:val="0"/>
                <w:sz w:val="20"/>
                <w:szCs w:val="20"/>
              </w:rPr>
              <w:t>259</w:t>
            </w:r>
          </w:p>
        </w:tc>
        <w:tc>
          <w:tcPr>
            <w:tcW w:w="721" w:type="pct"/>
            <w:tcBorders>
              <w:top w:val="nil"/>
              <w:left w:val="nil"/>
              <w:bottom w:val="nil"/>
              <w:right w:val="nil"/>
            </w:tcBorders>
            <w:shd w:val="clear" w:color="auto" w:fill="auto"/>
            <w:noWrap/>
            <w:vAlign w:val="center"/>
            <w:hideMark/>
          </w:tcPr>
          <w:p w14:paraId="654DBB98" w14:textId="568963BC"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3</w:t>
            </w:r>
            <w:r>
              <w:rPr>
                <w:rFonts w:eastAsia="Times New Roman" w:cs="Calibri"/>
                <w:color w:val="000000"/>
                <w:kern w:val="0"/>
                <w:sz w:val="20"/>
                <w:szCs w:val="20"/>
              </w:rPr>
              <w:t>,</w:t>
            </w:r>
            <w:r w:rsidRPr="007974EC">
              <w:rPr>
                <w:rFonts w:eastAsia="Times New Roman" w:cs="Calibri"/>
                <w:color w:val="000000"/>
                <w:kern w:val="0"/>
                <w:sz w:val="20"/>
                <w:szCs w:val="20"/>
              </w:rPr>
              <w:t>259</w:t>
            </w:r>
          </w:p>
        </w:tc>
        <w:tc>
          <w:tcPr>
            <w:tcW w:w="633" w:type="pct"/>
            <w:tcBorders>
              <w:top w:val="nil"/>
              <w:left w:val="nil"/>
              <w:bottom w:val="nil"/>
              <w:right w:val="single" w:sz="4" w:space="0" w:color="auto"/>
            </w:tcBorders>
            <w:shd w:val="clear" w:color="auto" w:fill="auto"/>
            <w:noWrap/>
            <w:vAlign w:val="center"/>
            <w:hideMark/>
          </w:tcPr>
          <w:p w14:paraId="7222A303" w14:textId="70D9DA0E"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w:t>
            </w:r>
            <w:r>
              <w:rPr>
                <w:rFonts w:eastAsia="Times New Roman" w:cs="Calibri"/>
                <w:color w:val="000000"/>
                <w:kern w:val="0"/>
                <w:sz w:val="20"/>
                <w:szCs w:val="20"/>
              </w:rPr>
              <w:t>,</w:t>
            </w:r>
            <w:r w:rsidRPr="007974EC">
              <w:rPr>
                <w:rFonts w:eastAsia="Times New Roman" w:cs="Calibri"/>
                <w:color w:val="000000"/>
                <w:kern w:val="0"/>
                <w:sz w:val="20"/>
                <w:szCs w:val="20"/>
              </w:rPr>
              <w:t>962</w:t>
            </w:r>
          </w:p>
        </w:tc>
        <w:tc>
          <w:tcPr>
            <w:tcW w:w="756" w:type="pct"/>
            <w:tcBorders>
              <w:top w:val="nil"/>
              <w:left w:val="single" w:sz="4" w:space="0" w:color="auto"/>
              <w:bottom w:val="nil"/>
              <w:right w:val="nil"/>
            </w:tcBorders>
            <w:shd w:val="clear" w:color="auto" w:fill="auto"/>
            <w:noWrap/>
            <w:vAlign w:val="center"/>
            <w:hideMark/>
          </w:tcPr>
          <w:p w14:paraId="35D4A067"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c>
          <w:tcPr>
            <w:tcW w:w="840" w:type="pct"/>
            <w:tcBorders>
              <w:top w:val="nil"/>
              <w:left w:val="nil"/>
              <w:bottom w:val="nil"/>
              <w:right w:val="nil"/>
            </w:tcBorders>
            <w:shd w:val="clear" w:color="auto" w:fill="auto"/>
            <w:noWrap/>
            <w:vAlign w:val="center"/>
            <w:hideMark/>
          </w:tcPr>
          <w:p w14:paraId="391A6211"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-297</w:t>
            </w:r>
          </w:p>
        </w:tc>
      </w:tr>
      <w:tr w:rsidR="007974EC" w:rsidRPr="007974EC" w14:paraId="13927A58" w14:textId="77777777" w:rsidTr="000501D2">
        <w:trPr>
          <w:trHeight w:val="300"/>
        </w:trPr>
        <w:tc>
          <w:tcPr>
            <w:tcW w:w="1417" w:type="pct"/>
            <w:tcBorders>
              <w:top w:val="nil"/>
              <w:left w:val="nil"/>
              <w:bottom w:val="nil"/>
              <w:right w:val="nil"/>
            </w:tcBorders>
            <w:shd w:val="clear" w:color="auto" w:fill="auto"/>
            <w:noWrap/>
            <w:vAlign w:val="center"/>
            <w:hideMark/>
          </w:tcPr>
          <w:p w14:paraId="231D3631" w14:textId="3DF73AF9" w:rsidR="007974EC" w:rsidRPr="007974EC" w:rsidRDefault="007974EC" w:rsidP="007974EC">
            <w:pPr>
              <w:spacing w:after="0" w:line="240" w:lineRule="auto"/>
              <w:rPr>
                <w:rFonts w:eastAsia="Times New Roman" w:cs="Calibri"/>
                <w:color w:val="000000"/>
                <w:kern w:val="0"/>
                <w:sz w:val="20"/>
                <w:szCs w:val="20"/>
              </w:rPr>
            </w:pPr>
            <w:r>
              <w:rPr>
                <w:rFonts w:eastAsia="Times New Roman" w:cs="Calibri"/>
                <w:color w:val="000000"/>
                <w:kern w:val="0"/>
                <w:sz w:val="20"/>
                <w:szCs w:val="20"/>
              </w:rPr>
              <w:t xml:space="preserve">     </w:t>
            </w:r>
            <w:r w:rsidRPr="007974EC">
              <w:rPr>
                <w:rFonts w:eastAsia="Times New Roman" w:cs="Calibri"/>
                <w:color w:val="000000"/>
                <w:kern w:val="0"/>
                <w:sz w:val="20"/>
                <w:szCs w:val="20"/>
              </w:rPr>
              <w:t>Capacity of DC Ties</w:t>
            </w:r>
          </w:p>
        </w:tc>
        <w:tc>
          <w:tcPr>
            <w:tcW w:w="633" w:type="pct"/>
            <w:tcBorders>
              <w:top w:val="nil"/>
              <w:left w:val="nil"/>
              <w:bottom w:val="nil"/>
              <w:right w:val="nil"/>
            </w:tcBorders>
            <w:shd w:val="clear" w:color="auto" w:fill="auto"/>
            <w:noWrap/>
            <w:vAlign w:val="center"/>
            <w:hideMark/>
          </w:tcPr>
          <w:p w14:paraId="32B4C66D"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389</w:t>
            </w:r>
          </w:p>
        </w:tc>
        <w:tc>
          <w:tcPr>
            <w:tcW w:w="721" w:type="pct"/>
            <w:tcBorders>
              <w:top w:val="nil"/>
              <w:left w:val="nil"/>
              <w:bottom w:val="nil"/>
              <w:right w:val="nil"/>
            </w:tcBorders>
            <w:shd w:val="clear" w:color="auto" w:fill="auto"/>
            <w:noWrap/>
            <w:vAlign w:val="center"/>
            <w:hideMark/>
          </w:tcPr>
          <w:p w14:paraId="5C2D0828"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850</w:t>
            </w:r>
          </w:p>
        </w:tc>
        <w:tc>
          <w:tcPr>
            <w:tcW w:w="633" w:type="pct"/>
            <w:tcBorders>
              <w:top w:val="nil"/>
              <w:left w:val="nil"/>
              <w:bottom w:val="nil"/>
              <w:right w:val="single" w:sz="4" w:space="0" w:color="auto"/>
            </w:tcBorders>
            <w:shd w:val="clear" w:color="auto" w:fill="auto"/>
            <w:noWrap/>
            <w:vAlign w:val="center"/>
            <w:hideMark/>
          </w:tcPr>
          <w:p w14:paraId="469EC816"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850</w:t>
            </w:r>
          </w:p>
        </w:tc>
        <w:tc>
          <w:tcPr>
            <w:tcW w:w="756" w:type="pct"/>
            <w:tcBorders>
              <w:top w:val="nil"/>
              <w:left w:val="single" w:sz="4" w:space="0" w:color="auto"/>
              <w:bottom w:val="nil"/>
              <w:right w:val="nil"/>
            </w:tcBorders>
            <w:shd w:val="clear" w:color="auto" w:fill="auto"/>
            <w:noWrap/>
            <w:vAlign w:val="center"/>
            <w:hideMark/>
          </w:tcPr>
          <w:p w14:paraId="546EE0DD"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461</w:t>
            </w:r>
          </w:p>
        </w:tc>
        <w:tc>
          <w:tcPr>
            <w:tcW w:w="840" w:type="pct"/>
            <w:tcBorders>
              <w:top w:val="nil"/>
              <w:left w:val="nil"/>
              <w:bottom w:val="nil"/>
              <w:right w:val="nil"/>
            </w:tcBorders>
            <w:shd w:val="clear" w:color="auto" w:fill="auto"/>
            <w:noWrap/>
            <w:vAlign w:val="center"/>
            <w:hideMark/>
          </w:tcPr>
          <w:p w14:paraId="3CB55534" w14:textId="77777777" w:rsidR="007974EC" w:rsidRPr="007974EC" w:rsidRDefault="007974EC" w:rsidP="007974EC">
            <w:pPr>
              <w:spacing w:after="0" w:line="240" w:lineRule="auto"/>
              <w:jc w:val="right"/>
              <w:rPr>
                <w:rFonts w:eastAsia="Times New Roman" w:cs="Calibri"/>
                <w:color w:val="000000"/>
                <w:kern w:val="0"/>
                <w:sz w:val="20"/>
                <w:szCs w:val="20"/>
              </w:rPr>
            </w:pPr>
            <w:r w:rsidRPr="007974EC">
              <w:rPr>
                <w:rFonts w:eastAsia="Times New Roman" w:cs="Calibri"/>
                <w:color w:val="000000"/>
                <w:kern w:val="0"/>
                <w:sz w:val="20"/>
                <w:szCs w:val="20"/>
              </w:rPr>
              <w:t>0</w:t>
            </w:r>
          </w:p>
        </w:tc>
      </w:tr>
      <w:tr w:rsidR="007974EC" w:rsidRPr="007974EC" w14:paraId="720C05CD" w14:textId="77777777" w:rsidTr="000501D2">
        <w:trPr>
          <w:trHeight w:val="300"/>
        </w:trPr>
        <w:tc>
          <w:tcPr>
            <w:tcW w:w="1417" w:type="pct"/>
            <w:tcBorders>
              <w:top w:val="single" w:sz="4" w:space="0" w:color="auto"/>
              <w:left w:val="nil"/>
              <w:bottom w:val="single" w:sz="4" w:space="0" w:color="auto"/>
              <w:right w:val="nil"/>
            </w:tcBorders>
            <w:shd w:val="clear" w:color="auto" w:fill="auto"/>
            <w:noWrap/>
            <w:vAlign w:val="center"/>
            <w:hideMark/>
          </w:tcPr>
          <w:p w14:paraId="756C3C43" w14:textId="77777777" w:rsidR="007974EC" w:rsidRPr="007974EC" w:rsidRDefault="007974EC" w:rsidP="007974EC">
            <w:pPr>
              <w:spacing w:after="0" w:line="240" w:lineRule="auto"/>
              <w:rPr>
                <w:rFonts w:eastAsia="Times New Roman" w:cs="Calibri"/>
                <w:b/>
                <w:bCs/>
                <w:color w:val="000000"/>
                <w:kern w:val="0"/>
                <w:sz w:val="20"/>
                <w:szCs w:val="20"/>
              </w:rPr>
            </w:pPr>
            <w:r w:rsidRPr="007974EC">
              <w:rPr>
                <w:rFonts w:eastAsia="Times New Roman" w:cs="Calibri"/>
                <w:b/>
                <w:bCs/>
                <w:color w:val="000000"/>
                <w:kern w:val="0"/>
                <w:sz w:val="20"/>
                <w:szCs w:val="20"/>
              </w:rPr>
              <w:t>Reserve Margin</w:t>
            </w:r>
          </w:p>
        </w:tc>
        <w:tc>
          <w:tcPr>
            <w:tcW w:w="633" w:type="pct"/>
            <w:tcBorders>
              <w:top w:val="single" w:sz="4" w:space="0" w:color="auto"/>
              <w:left w:val="nil"/>
              <w:bottom w:val="single" w:sz="4" w:space="0" w:color="auto"/>
              <w:right w:val="nil"/>
            </w:tcBorders>
            <w:shd w:val="clear" w:color="auto" w:fill="auto"/>
            <w:noWrap/>
            <w:vAlign w:val="center"/>
            <w:hideMark/>
          </w:tcPr>
          <w:p w14:paraId="5450BC51" w14:textId="47A43D09"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11.8</w:t>
            </w:r>
            <w:r>
              <w:rPr>
                <w:rFonts w:eastAsia="Times New Roman" w:cs="Calibri"/>
                <w:b/>
                <w:bCs/>
                <w:color w:val="000000"/>
                <w:kern w:val="0"/>
                <w:sz w:val="20"/>
                <w:szCs w:val="20"/>
              </w:rPr>
              <w:t>0%</w:t>
            </w:r>
          </w:p>
        </w:tc>
        <w:tc>
          <w:tcPr>
            <w:tcW w:w="721" w:type="pct"/>
            <w:tcBorders>
              <w:top w:val="single" w:sz="4" w:space="0" w:color="auto"/>
              <w:left w:val="nil"/>
              <w:bottom w:val="single" w:sz="4" w:space="0" w:color="auto"/>
              <w:right w:val="nil"/>
            </w:tcBorders>
            <w:shd w:val="clear" w:color="auto" w:fill="auto"/>
            <w:noWrap/>
            <w:vAlign w:val="center"/>
            <w:hideMark/>
          </w:tcPr>
          <w:p w14:paraId="38555182" w14:textId="2B6DCDC0"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12.96</w:t>
            </w:r>
            <w:r>
              <w:rPr>
                <w:rFonts w:eastAsia="Times New Roman" w:cs="Calibri"/>
                <w:b/>
                <w:bCs/>
                <w:color w:val="000000"/>
                <w:kern w:val="0"/>
                <w:sz w:val="20"/>
                <w:szCs w:val="20"/>
              </w:rPr>
              <w:t>%</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3C24B926" w14:textId="1159BFEF"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16.34</w:t>
            </w:r>
            <w:r>
              <w:rPr>
                <w:rFonts w:eastAsia="Times New Roman" w:cs="Calibri"/>
                <w:b/>
                <w:bCs/>
                <w:color w:val="000000"/>
                <w:kern w:val="0"/>
                <w:sz w:val="20"/>
                <w:szCs w:val="20"/>
              </w:rPr>
              <w:t>%</w:t>
            </w:r>
          </w:p>
        </w:tc>
        <w:tc>
          <w:tcPr>
            <w:tcW w:w="756" w:type="pct"/>
            <w:tcBorders>
              <w:top w:val="single" w:sz="4" w:space="0" w:color="auto"/>
              <w:left w:val="single" w:sz="4" w:space="0" w:color="auto"/>
              <w:bottom w:val="single" w:sz="4" w:space="0" w:color="auto"/>
              <w:right w:val="nil"/>
            </w:tcBorders>
            <w:shd w:val="clear" w:color="auto" w:fill="auto"/>
            <w:noWrap/>
            <w:vAlign w:val="center"/>
            <w:hideMark/>
          </w:tcPr>
          <w:p w14:paraId="67DFC73C" w14:textId="41E96C64"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1.16</w:t>
            </w:r>
            <w:r>
              <w:rPr>
                <w:rFonts w:eastAsia="Times New Roman" w:cs="Calibri"/>
                <w:b/>
                <w:bCs/>
                <w:color w:val="000000"/>
                <w:kern w:val="0"/>
                <w:sz w:val="20"/>
                <w:szCs w:val="20"/>
              </w:rPr>
              <w:t>%</w:t>
            </w:r>
          </w:p>
        </w:tc>
        <w:tc>
          <w:tcPr>
            <w:tcW w:w="840" w:type="pct"/>
            <w:tcBorders>
              <w:top w:val="single" w:sz="4" w:space="0" w:color="auto"/>
              <w:left w:val="nil"/>
              <w:bottom w:val="single" w:sz="4" w:space="0" w:color="auto"/>
              <w:right w:val="nil"/>
            </w:tcBorders>
            <w:shd w:val="clear" w:color="auto" w:fill="auto"/>
            <w:noWrap/>
            <w:vAlign w:val="center"/>
            <w:hideMark/>
          </w:tcPr>
          <w:p w14:paraId="0EEB403C" w14:textId="5F38882F" w:rsidR="007974EC" w:rsidRPr="007974EC" w:rsidRDefault="007974EC" w:rsidP="007974EC">
            <w:pPr>
              <w:spacing w:after="0" w:line="240" w:lineRule="auto"/>
              <w:jc w:val="right"/>
              <w:rPr>
                <w:rFonts w:eastAsia="Times New Roman" w:cs="Calibri"/>
                <w:b/>
                <w:bCs/>
                <w:color w:val="000000"/>
                <w:kern w:val="0"/>
                <w:sz w:val="20"/>
                <w:szCs w:val="20"/>
              </w:rPr>
            </w:pPr>
            <w:r w:rsidRPr="007974EC">
              <w:rPr>
                <w:rFonts w:eastAsia="Times New Roman" w:cs="Calibri"/>
                <w:b/>
                <w:bCs/>
                <w:color w:val="000000"/>
                <w:kern w:val="0"/>
                <w:sz w:val="20"/>
                <w:szCs w:val="20"/>
              </w:rPr>
              <w:t>3.38</w:t>
            </w:r>
            <w:r>
              <w:rPr>
                <w:rFonts w:eastAsia="Times New Roman" w:cs="Calibri"/>
                <w:b/>
                <w:bCs/>
                <w:color w:val="000000"/>
                <w:kern w:val="0"/>
                <w:sz w:val="20"/>
                <w:szCs w:val="20"/>
              </w:rPr>
              <w:t>%</w:t>
            </w:r>
          </w:p>
        </w:tc>
      </w:tr>
    </w:tbl>
    <w:p w14:paraId="4F510026" w14:textId="1A8A6FCF" w:rsidR="00CF6B67" w:rsidRDefault="000501D2" w:rsidP="002A2715">
      <w:pPr>
        <w:spacing w:after="0"/>
        <w:rPr>
          <w:rFonts w:cs="Calibri"/>
          <w:i/>
          <w:sz w:val="16"/>
        </w:rPr>
      </w:pPr>
      <w:r w:rsidRPr="00E025BC">
        <w:rPr>
          <w:rFonts w:cs="Calibri"/>
          <w:i/>
          <w:sz w:val="16"/>
        </w:rPr>
        <w:t xml:space="preserve">Notes: </w:t>
      </w:r>
      <w:r w:rsidR="00CF6B67">
        <w:rPr>
          <w:rFonts w:cs="Calibri"/>
          <w:i/>
          <w:sz w:val="16"/>
        </w:rPr>
        <w:t>*The 324 MW of storage capacity represents a CAES unit. Batteries were also given 0% capacity credit in the 2018 study.</w:t>
      </w:r>
    </w:p>
    <w:p w14:paraId="027BBD89" w14:textId="03C9FA77" w:rsidR="007974EC" w:rsidRPr="00724DF6" w:rsidRDefault="00CF6B67" w:rsidP="002A2715">
      <w:pPr>
        <w:spacing w:after="0"/>
        <w:ind w:left="630" w:hanging="180"/>
        <w:rPr>
          <w:i/>
          <w:iCs/>
        </w:rPr>
      </w:pPr>
      <w:r>
        <w:rPr>
          <w:rFonts w:cs="Calibri"/>
          <w:i/>
          <w:sz w:val="16"/>
        </w:rPr>
        <w:t>*</w:t>
      </w:r>
      <w:r w:rsidR="000501D2">
        <w:rPr>
          <w:rFonts w:cs="Calibri"/>
          <w:i/>
          <w:sz w:val="16"/>
        </w:rPr>
        <w:t>*</w:t>
      </w:r>
      <w:r w:rsidR="000501D2">
        <w:rPr>
          <w:rFonts w:cs="Calibri"/>
          <w:sz w:val="16"/>
        </w:rPr>
        <w:t>1,103 MW of nameplate capacity of storage is included in the 2020 study but given a 0% capacity credit in the reserve margin</w:t>
      </w:r>
      <w:r w:rsidR="00A877E2">
        <w:rPr>
          <w:rFonts w:cs="Calibri"/>
          <w:sz w:val="16"/>
        </w:rPr>
        <w:t xml:space="preserve">   </w:t>
      </w:r>
      <w:r w:rsidR="000501D2">
        <w:rPr>
          <w:rFonts w:cs="Calibri"/>
          <w:sz w:val="16"/>
        </w:rPr>
        <w:t>calculation.</w:t>
      </w:r>
    </w:p>
    <w:p w14:paraId="07B53515" w14:textId="1678D486" w:rsidR="004B58AD" w:rsidRPr="00165615" w:rsidRDefault="004B58AD" w:rsidP="004B58AD">
      <w:pPr>
        <w:pStyle w:val="BGNormal125"/>
        <w:rPr>
          <w:rFonts w:ascii="Calibri" w:hAnsi="Calibri" w:cs="Calibri"/>
          <w:color w:val="C00000"/>
          <w:sz w:val="22"/>
          <w:szCs w:val="22"/>
        </w:rPr>
      </w:pPr>
      <w:r w:rsidRPr="007932A0">
        <w:rPr>
          <w:rFonts w:ascii="Calibri" w:hAnsi="Calibri" w:cs="Calibri"/>
          <w:color w:val="auto"/>
          <w:sz w:val="22"/>
          <w:szCs w:val="22"/>
        </w:rPr>
        <w:t>The base 202</w:t>
      </w:r>
      <w:r w:rsidR="007932A0" w:rsidRPr="007932A0">
        <w:rPr>
          <w:rFonts w:ascii="Calibri" w:hAnsi="Calibri" w:cs="Calibri"/>
          <w:color w:val="auto"/>
          <w:sz w:val="22"/>
          <w:szCs w:val="22"/>
        </w:rPr>
        <w:t>4</w:t>
      </w:r>
      <w:r w:rsidRPr="007932A0">
        <w:rPr>
          <w:rFonts w:ascii="Calibri" w:hAnsi="Calibri" w:cs="Calibri"/>
          <w:color w:val="auto"/>
          <w:sz w:val="22"/>
          <w:szCs w:val="22"/>
        </w:rPr>
        <w:t xml:space="preserve"> supply fleet, as summarized in column C of </w:t>
      </w:r>
      <w:r w:rsidRPr="007932A0">
        <w:rPr>
          <w:rFonts w:ascii="Calibri" w:hAnsi="Calibri" w:cs="Calibri"/>
          <w:color w:val="auto"/>
          <w:sz w:val="22"/>
          <w:szCs w:val="22"/>
        </w:rPr>
        <w:fldChar w:fldCharType="begin"/>
      </w:r>
      <w:r w:rsidRPr="007932A0">
        <w:rPr>
          <w:rFonts w:ascii="Calibri" w:hAnsi="Calibri" w:cs="Calibri"/>
          <w:color w:val="auto"/>
          <w:sz w:val="22"/>
          <w:szCs w:val="22"/>
        </w:rPr>
        <w:instrText xml:space="preserve"> REF _Ref523235568 \h  \* MERGEFORMAT </w:instrText>
      </w:r>
      <w:r w:rsidRPr="007932A0">
        <w:rPr>
          <w:rFonts w:ascii="Calibri" w:hAnsi="Calibri" w:cs="Calibri"/>
          <w:color w:val="auto"/>
          <w:sz w:val="22"/>
          <w:szCs w:val="22"/>
        </w:rPr>
      </w:r>
      <w:r w:rsidRPr="007932A0">
        <w:rPr>
          <w:rFonts w:ascii="Calibri" w:hAnsi="Calibri" w:cs="Calibri"/>
          <w:color w:val="auto"/>
          <w:sz w:val="22"/>
          <w:szCs w:val="22"/>
        </w:rPr>
        <w:fldChar w:fldCharType="separate"/>
      </w:r>
      <w:r w:rsidRPr="007932A0">
        <w:rPr>
          <w:rFonts w:ascii="Calibri" w:hAnsi="Calibri" w:cs="Calibri"/>
          <w:color w:val="auto"/>
          <w:sz w:val="22"/>
          <w:szCs w:val="22"/>
        </w:rPr>
        <w:t xml:space="preserve">Table </w:t>
      </w:r>
      <w:r w:rsidRPr="007932A0">
        <w:rPr>
          <w:rFonts w:ascii="Calibri" w:hAnsi="Calibri" w:cs="Calibri"/>
          <w:noProof/>
          <w:color w:val="auto"/>
          <w:sz w:val="22"/>
          <w:szCs w:val="22"/>
        </w:rPr>
        <w:t>1</w:t>
      </w:r>
      <w:r w:rsidRPr="007932A0">
        <w:rPr>
          <w:rFonts w:ascii="Calibri" w:hAnsi="Calibri" w:cs="Calibri"/>
          <w:color w:val="auto"/>
          <w:sz w:val="22"/>
          <w:szCs w:val="22"/>
        </w:rPr>
        <w:fldChar w:fldCharType="end"/>
      </w:r>
      <w:r w:rsidRPr="007932A0">
        <w:rPr>
          <w:rFonts w:ascii="Calibri" w:hAnsi="Calibri" w:cs="Calibri"/>
          <w:color w:val="auto"/>
          <w:sz w:val="22"/>
          <w:szCs w:val="22"/>
        </w:rPr>
        <w:t xml:space="preserve"> is consistent with the 20</w:t>
      </w:r>
      <w:r w:rsidR="007932A0" w:rsidRPr="007932A0">
        <w:rPr>
          <w:rFonts w:ascii="Calibri" w:hAnsi="Calibri" w:cs="Calibri"/>
          <w:color w:val="auto"/>
          <w:sz w:val="22"/>
          <w:szCs w:val="22"/>
        </w:rPr>
        <w:t>20</w:t>
      </w:r>
      <w:r w:rsidRPr="007932A0">
        <w:rPr>
          <w:rFonts w:ascii="Calibri" w:hAnsi="Calibri" w:cs="Calibri"/>
          <w:color w:val="auto"/>
          <w:sz w:val="22"/>
          <w:szCs w:val="22"/>
        </w:rPr>
        <w:t xml:space="preserve"> North American Electric Reliability Corporation (NERC) Long-Term Reliability Assessment (LTRA) report.</w:t>
      </w:r>
      <w:r w:rsidRPr="007932A0">
        <w:rPr>
          <w:rStyle w:val="FootnoteReference"/>
          <w:rFonts w:ascii="Calibri" w:hAnsi="Calibri" w:cs="Calibri"/>
          <w:color w:val="auto"/>
          <w:sz w:val="22"/>
          <w:szCs w:val="22"/>
        </w:rPr>
        <w:footnoteReference w:id="16"/>
      </w:r>
      <w:r w:rsidRPr="007932A0">
        <w:rPr>
          <w:rFonts w:ascii="Calibri" w:hAnsi="Calibri" w:cs="Calibri"/>
          <w:color w:val="auto"/>
          <w:sz w:val="22"/>
          <w:szCs w:val="22"/>
        </w:rPr>
        <w:t xml:space="preserve">  The fleet summary developed </w:t>
      </w:r>
      <w:r w:rsidRPr="000501D2">
        <w:rPr>
          <w:rFonts w:ascii="Calibri" w:hAnsi="Calibri" w:cs="Calibri"/>
          <w:color w:val="auto"/>
          <w:sz w:val="22"/>
          <w:szCs w:val="22"/>
        </w:rPr>
        <w:t xml:space="preserve">by ERCOT staff for the NERC LTRA was the most recent data available when this study was developed.  </w:t>
      </w:r>
      <w:r w:rsidRPr="00724DF6">
        <w:rPr>
          <w:rFonts w:ascii="Calibri" w:hAnsi="Calibri" w:cs="Calibri"/>
          <w:color w:val="auto"/>
          <w:sz w:val="22"/>
          <w:szCs w:val="22"/>
        </w:rPr>
        <w:t>When compared to the 20</w:t>
      </w:r>
      <w:r w:rsidR="007932A0" w:rsidRPr="00724DF6">
        <w:rPr>
          <w:rFonts w:ascii="Calibri" w:hAnsi="Calibri" w:cs="Calibri"/>
          <w:color w:val="auto"/>
          <w:sz w:val="22"/>
          <w:szCs w:val="22"/>
        </w:rPr>
        <w:t>20</w:t>
      </w:r>
      <w:r w:rsidRPr="00724DF6">
        <w:rPr>
          <w:rFonts w:ascii="Calibri" w:hAnsi="Calibri" w:cs="Calibri"/>
          <w:color w:val="auto"/>
          <w:sz w:val="22"/>
          <w:szCs w:val="22"/>
        </w:rPr>
        <w:t xml:space="preserve"> CDR values for 202</w:t>
      </w:r>
      <w:r w:rsidR="007932A0" w:rsidRPr="00724DF6">
        <w:rPr>
          <w:rFonts w:ascii="Calibri" w:hAnsi="Calibri" w:cs="Calibri"/>
          <w:color w:val="auto"/>
          <w:sz w:val="22"/>
          <w:szCs w:val="22"/>
        </w:rPr>
        <w:t>4</w:t>
      </w:r>
      <w:r w:rsidRPr="00724DF6">
        <w:rPr>
          <w:rFonts w:ascii="Calibri" w:hAnsi="Calibri" w:cs="Calibri"/>
          <w:color w:val="auto"/>
          <w:sz w:val="22"/>
          <w:szCs w:val="22"/>
        </w:rPr>
        <w:t xml:space="preserve">, the supply fleet </w:t>
      </w:r>
      <w:r w:rsidR="000501D2" w:rsidRPr="00724DF6">
        <w:rPr>
          <w:rFonts w:ascii="Calibri" w:hAnsi="Calibri" w:cs="Calibri"/>
          <w:color w:val="auto"/>
          <w:sz w:val="22"/>
          <w:szCs w:val="22"/>
        </w:rPr>
        <w:t xml:space="preserve">fluctuates by </w:t>
      </w:r>
      <w:r w:rsidRPr="00724DF6">
        <w:rPr>
          <w:rFonts w:ascii="Calibri" w:hAnsi="Calibri" w:cs="Calibri"/>
          <w:color w:val="auto"/>
          <w:sz w:val="22"/>
          <w:szCs w:val="22"/>
        </w:rPr>
        <w:t xml:space="preserve">a relatively modest </w:t>
      </w:r>
      <w:r w:rsidR="000501D2" w:rsidRPr="00724DF6">
        <w:rPr>
          <w:rFonts w:ascii="Calibri" w:hAnsi="Calibri" w:cs="Calibri"/>
          <w:color w:val="auto"/>
          <w:sz w:val="22"/>
          <w:szCs w:val="22"/>
        </w:rPr>
        <w:t>129 MW of thermal capacity, 115</w:t>
      </w:r>
      <w:r w:rsidRPr="00724DF6">
        <w:rPr>
          <w:rFonts w:ascii="Calibri" w:hAnsi="Calibri" w:cs="Calibri"/>
          <w:color w:val="auto"/>
          <w:sz w:val="22"/>
          <w:szCs w:val="22"/>
        </w:rPr>
        <w:t xml:space="preserve"> MW of wind</w:t>
      </w:r>
      <w:r w:rsidR="000501D2" w:rsidRPr="00724DF6">
        <w:rPr>
          <w:rFonts w:ascii="Calibri" w:hAnsi="Calibri" w:cs="Calibri"/>
          <w:color w:val="auto"/>
          <w:sz w:val="22"/>
          <w:szCs w:val="22"/>
        </w:rPr>
        <w:t>,</w:t>
      </w:r>
      <w:r w:rsidRPr="00724DF6">
        <w:rPr>
          <w:rFonts w:ascii="Calibri" w:hAnsi="Calibri" w:cs="Calibri"/>
          <w:color w:val="auto"/>
          <w:sz w:val="22"/>
          <w:szCs w:val="22"/>
        </w:rPr>
        <w:t xml:space="preserve"> and </w:t>
      </w:r>
      <w:r w:rsidR="000501D2" w:rsidRPr="00724DF6">
        <w:rPr>
          <w:rFonts w:ascii="Calibri" w:hAnsi="Calibri" w:cs="Calibri"/>
          <w:color w:val="auto"/>
          <w:sz w:val="22"/>
          <w:szCs w:val="22"/>
        </w:rPr>
        <w:t xml:space="preserve">620 </w:t>
      </w:r>
      <w:r w:rsidRPr="00724DF6">
        <w:rPr>
          <w:rFonts w:ascii="Calibri" w:hAnsi="Calibri" w:cs="Calibri"/>
          <w:color w:val="auto"/>
          <w:sz w:val="22"/>
          <w:szCs w:val="22"/>
        </w:rPr>
        <w:t xml:space="preserve">MW </w:t>
      </w:r>
      <w:r w:rsidR="000501D2" w:rsidRPr="00724DF6">
        <w:rPr>
          <w:rFonts w:ascii="Calibri" w:hAnsi="Calibri" w:cs="Calibri"/>
          <w:color w:val="auto"/>
          <w:sz w:val="22"/>
          <w:szCs w:val="22"/>
        </w:rPr>
        <w:t xml:space="preserve">less </w:t>
      </w:r>
      <w:r w:rsidRPr="00724DF6">
        <w:rPr>
          <w:rFonts w:ascii="Calibri" w:hAnsi="Calibri" w:cs="Calibri"/>
          <w:color w:val="auto"/>
          <w:sz w:val="22"/>
          <w:szCs w:val="22"/>
        </w:rPr>
        <w:t>of solar installed capacity</w:t>
      </w:r>
      <w:r w:rsidR="00DA6C77">
        <w:rPr>
          <w:rFonts w:ascii="Calibri" w:hAnsi="Calibri" w:cs="Calibri"/>
          <w:color w:val="auto"/>
          <w:sz w:val="22"/>
          <w:szCs w:val="22"/>
        </w:rPr>
        <w:t xml:space="preserve"> (reflecting reported delays in planned solar projects by developers)</w:t>
      </w:r>
      <w:r w:rsidRPr="00724DF6">
        <w:rPr>
          <w:rFonts w:ascii="Calibri" w:hAnsi="Calibri" w:cs="Calibri"/>
          <w:color w:val="auto"/>
          <w:sz w:val="22"/>
          <w:szCs w:val="22"/>
        </w:rPr>
        <w:t xml:space="preserve">.  </w:t>
      </w:r>
      <w:r w:rsidRPr="000501D2">
        <w:rPr>
          <w:rFonts w:ascii="Calibri" w:hAnsi="Calibri" w:cs="Calibri"/>
          <w:color w:val="auto"/>
          <w:sz w:val="22"/>
          <w:szCs w:val="22"/>
        </w:rPr>
        <w:t xml:space="preserve">The composition </w:t>
      </w:r>
      <w:r w:rsidRPr="00E025BC">
        <w:rPr>
          <w:rFonts w:ascii="Calibri" w:hAnsi="Calibri" w:cs="Calibri"/>
          <w:color w:val="auto"/>
          <w:sz w:val="22"/>
          <w:szCs w:val="22"/>
        </w:rPr>
        <w:t>of installed capacity in the 20</w:t>
      </w:r>
      <w:r w:rsidR="007932A0" w:rsidRPr="00E025BC">
        <w:rPr>
          <w:rFonts w:ascii="Calibri" w:hAnsi="Calibri" w:cs="Calibri"/>
          <w:color w:val="auto"/>
          <w:sz w:val="22"/>
          <w:szCs w:val="22"/>
        </w:rPr>
        <w:t>20</w:t>
      </w:r>
      <w:r w:rsidRPr="00E025BC">
        <w:rPr>
          <w:rFonts w:ascii="Calibri" w:hAnsi="Calibri" w:cs="Calibri"/>
          <w:color w:val="auto"/>
          <w:sz w:val="22"/>
          <w:szCs w:val="22"/>
        </w:rPr>
        <w:t xml:space="preserve"> LTRA is summarized in </w:t>
      </w:r>
      <w:r w:rsidRPr="00E025BC">
        <w:rPr>
          <w:rFonts w:ascii="Calibri" w:hAnsi="Calibri" w:cs="Calibri"/>
          <w:color w:val="auto"/>
          <w:sz w:val="22"/>
          <w:szCs w:val="22"/>
        </w:rPr>
        <w:fldChar w:fldCharType="begin"/>
      </w:r>
      <w:r w:rsidRPr="00E025BC">
        <w:rPr>
          <w:rFonts w:ascii="Calibri" w:hAnsi="Calibri" w:cs="Calibri"/>
          <w:color w:val="auto"/>
          <w:sz w:val="22"/>
          <w:szCs w:val="22"/>
        </w:rPr>
        <w:instrText xml:space="preserve"> REF _Ref523378916 \h </w:instrText>
      </w:r>
      <w:r w:rsidR="00165615" w:rsidRPr="00E025BC">
        <w:rPr>
          <w:rFonts w:ascii="Calibri" w:hAnsi="Calibri" w:cs="Calibri"/>
          <w:color w:val="auto"/>
          <w:sz w:val="22"/>
          <w:szCs w:val="22"/>
        </w:rPr>
        <w:instrText xml:space="preserve"> \* MERGEFORMAT </w:instrText>
      </w:r>
      <w:r w:rsidRPr="00E025BC">
        <w:rPr>
          <w:rFonts w:ascii="Calibri" w:hAnsi="Calibri" w:cs="Calibri"/>
          <w:color w:val="auto"/>
          <w:sz w:val="22"/>
          <w:szCs w:val="22"/>
        </w:rPr>
      </w:r>
      <w:r w:rsidRPr="00E025BC">
        <w:rPr>
          <w:rFonts w:ascii="Calibri" w:hAnsi="Calibri" w:cs="Calibri"/>
          <w:color w:val="auto"/>
          <w:sz w:val="22"/>
          <w:szCs w:val="22"/>
        </w:rPr>
        <w:fldChar w:fldCharType="separate"/>
      </w:r>
      <w:r w:rsidRPr="00E025BC">
        <w:rPr>
          <w:rFonts w:ascii="Calibri" w:hAnsi="Calibri" w:cs="Calibri"/>
          <w:color w:val="auto"/>
          <w:sz w:val="22"/>
          <w:szCs w:val="22"/>
        </w:rPr>
        <w:t xml:space="preserve">Figure </w:t>
      </w:r>
      <w:r w:rsidRPr="00E025BC">
        <w:rPr>
          <w:rFonts w:ascii="Calibri" w:hAnsi="Calibri" w:cs="Calibri"/>
          <w:noProof/>
          <w:color w:val="auto"/>
          <w:sz w:val="22"/>
          <w:szCs w:val="22"/>
        </w:rPr>
        <w:t>2</w:t>
      </w:r>
      <w:r w:rsidRPr="00E025BC">
        <w:rPr>
          <w:rFonts w:ascii="Calibri" w:hAnsi="Calibri" w:cs="Calibri"/>
          <w:color w:val="auto"/>
          <w:sz w:val="22"/>
          <w:szCs w:val="22"/>
        </w:rPr>
        <w:fldChar w:fldCharType="end"/>
      </w:r>
      <w:r w:rsidRPr="00E025BC">
        <w:rPr>
          <w:rFonts w:ascii="Calibri" w:hAnsi="Calibri" w:cs="Calibri"/>
          <w:color w:val="auto"/>
          <w:sz w:val="22"/>
          <w:szCs w:val="22"/>
        </w:rPr>
        <w:t>.</w:t>
      </w:r>
    </w:p>
    <w:p w14:paraId="4DC223FF" w14:textId="7BF0A4D3" w:rsidR="004B58AD" w:rsidRPr="00E025BC" w:rsidRDefault="004B58AD" w:rsidP="003A1D09">
      <w:pPr>
        <w:pStyle w:val="Caption"/>
        <w:spacing w:after="0"/>
        <w:jc w:val="center"/>
        <w:rPr>
          <w:rFonts w:cs="Calibri"/>
          <w:b/>
          <w:bCs/>
          <w:i w:val="0"/>
          <w:iCs w:val="0"/>
          <w:color w:val="auto"/>
          <w:sz w:val="22"/>
          <w:szCs w:val="22"/>
        </w:rPr>
      </w:pPr>
      <w:bookmarkStart w:id="41" w:name="_Ref523378916"/>
      <w:r w:rsidRPr="00E025BC">
        <w:rPr>
          <w:rFonts w:cs="Calibri"/>
          <w:b/>
          <w:bCs/>
          <w:i w:val="0"/>
          <w:iCs w:val="0"/>
          <w:color w:val="auto"/>
          <w:sz w:val="22"/>
          <w:szCs w:val="22"/>
        </w:rPr>
        <w:t xml:space="preserve">Figure </w:t>
      </w:r>
      <w:r w:rsidRPr="00E025BC">
        <w:rPr>
          <w:rFonts w:cs="Calibri"/>
          <w:b/>
          <w:bCs/>
          <w:i w:val="0"/>
          <w:iCs w:val="0"/>
          <w:noProof/>
          <w:color w:val="auto"/>
          <w:sz w:val="22"/>
          <w:szCs w:val="22"/>
        </w:rPr>
        <w:fldChar w:fldCharType="begin"/>
      </w:r>
      <w:r w:rsidRPr="00E025BC">
        <w:rPr>
          <w:rFonts w:cs="Calibri"/>
          <w:b/>
          <w:bCs/>
          <w:i w:val="0"/>
          <w:iCs w:val="0"/>
          <w:noProof/>
          <w:color w:val="auto"/>
          <w:sz w:val="22"/>
          <w:szCs w:val="22"/>
        </w:rPr>
        <w:instrText xml:space="preserve"> SEQ Figure \* ARABIC </w:instrText>
      </w:r>
      <w:r w:rsidRPr="00E025BC">
        <w:rPr>
          <w:rFonts w:cs="Calibri"/>
          <w:b/>
          <w:bCs/>
          <w:i w:val="0"/>
          <w:iCs w:val="0"/>
          <w:noProof/>
          <w:color w:val="auto"/>
          <w:sz w:val="22"/>
          <w:szCs w:val="22"/>
        </w:rPr>
        <w:fldChar w:fldCharType="separate"/>
      </w:r>
      <w:r w:rsidR="003F6A8E">
        <w:rPr>
          <w:rFonts w:cs="Calibri"/>
          <w:b/>
          <w:bCs/>
          <w:i w:val="0"/>
          <w:iCs w:val="0"/>
          <w:noProof/>
          <w:color w:val="auto"/>
          <w:sz w:val="22"/>
          <w:szCs w:val="22"/>
        </w:rPr>
        <w:t>2</w:t>
      </w:r>
      <w:r w:rsidRPr="00E025BC">
        <w:rPr>
          <w:rFonts w:cs="Calibri"/>
          <w:b/>
          <w:bCs/>
          <w:i w:val="0"/>
          <w:iCs w:val="0"/>
          <w:noProof/>
          <w:color w:val="auto"/>
          <w:sz w:val="22"/>
          <w:szCs w:val="22"/>
        </w:rPr>
        <w:fldChar w:fldCharType="end"/>
      </w:r>
      <w:bookmarkEnd w:id="41"/>
      <w:r w:rsidR="00165615" w:rsidRPr="00E025BC">
        <w:rPr>
          <w:rFonts w:cs="Calibri"/>
          <w:b/>
          <w:bCs/>
          <w:i w:val="0"/>
          <w:iCs w:val="0"/>
          <w:noProof/>
          <w:color w:val="auto"/>
          <w:sz w:val="22"/>
          <w:szCs w:val="22"/>
        </w:rPr>
        <w:t xml:space="preserve">. </w:t>
      </w:r>
      <w:r w:rsidRPr="00E025BC">
        <w:rPr>
          <w:rFonts w:cs="Calibri"/>
          <w:b/>
          <w:bCs/>
          <w:i w:val="0"/>
          <w:iCs w:val="0"/>
          <w:color w:val="auto"/>
          <w:sz w:val="22"/>
          <w:szCs w:val="22"/>
        </w:rPr>
        <w:t>Installed Capacity by Resource Type</w:t>
      </w:r>
    </w:p>
    <w:p w14:paraId="2BEBBE69" w14:textId="6EFDC75A" w:rsidR="004B58AD" w:rsidRPr="00165615" w:rsidRDefault="004B58AD" w:rsidP="004B58AD">
      <w:pPr>
        <w:pStyle w:val="BGInsertGraphic"/>
        <w:rPr>
          <w:color w:val="C00000"/>
        </w:rPr>
      </w:pPr>
      <w:r w:rsidRPr="00165615">
        <w:rPr>
          <w:color w:val="C00000"/>
        </w:rPr>
        <w:t xml:space="preserve"> </w:t>
      </w:r>
      <w:r w:rsidR="00E6061F">
        <w:rPr>
          <w:noProof/>
          <w:color w:val="C00000"/>
        </w:rPr>
        <w:drawing>
          <wp:inline distT="0" distB="0" distL="0" distR="0" wp14:anchorId="527E56EF" wp14:editId="5209F346">
            <wp:extent cx="4402580" cy="2924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9611" cy="2955413"/>
                    </a:xfrm>
                    <a:prstGeom prst="rect">
                      <a:avLst/>
                    </a:prstGeom>
                    <a:noFill/>
                  </pic:spPr>
                </pic:pic>
              </a:graphicData>
            </a:graphic>
          </wp:inline>
        </w:drawing>
      </w:r>
    </w:p>
    <w:p w14:paraId="0DF494A5" w14:textId="31921598" w:rsidR="004B58AD" w:rsidRPr="00E025BC" w:rsidRDefault="004B58AD" w:rsidP="004B58AD">
      <w:pPr>
        <w:pStyle w:val="BGNotesFiguresTables"/>
        <w:rPr>
          <w:rFonts w:cs="Calibri"/>
          <w:color w:val="auto"/>
        </w:rPr>
      </w:pPr>
      <w:r w:rsidRPr="00E025BC">
        <w:rPr>
          <w:rFonts w:cs="Calibri"/>
          <w:i/>
          <w:color w:val="auto"/>
        </w:rPr>
        <w:t xml:space="preserve">Sources and Notes: </w:t>
      </w:r>
      <w:r w:rsidRPr="00E025BC">
        <w:rPr>
          <w:rFonts w:cs="Calibri"/>
          <w:color w:val="auto"/>
        </w:rPr>
        <w:t>Most recent LTRA data supplied by ERCOT staff and ERCOT, 20</w:t>
      </w:r>
      <w:r w:rsidR="003519D3" w:rsidRPr="00E025BC">
        <w:rPr>
          <w:rFonts w:cs="Calibri"/>
          <w:color w:val="auto"/>
        </w:rPr>
        <w:t>20a</w:t>
      </w:r>
      <w:r w:rsidRPr="00E025BC">
        <w:rPr>
          <w:rFonts w:cs="Calibri"/>
          <w:color w:val="auto"/>
        </w:rPr>
        <w:t>.The LTRA data was comparable to the capacities provided in the May 20</w:t>
      </w:r>
      <w:r w:rsidR="003519D3" w:rsidRPr="00E025BC">
        <w:rPr>
          <w:rFonts w:cs="Calibri"/>
          <w:color w:val="auto"/>
        </w:rPr>
        <w:t>20</w:t>
      </w:r>
      <w:r w:rsidRPr="00E025BC">
        <w:rPr>
          <w:rFonts w:cs="Calibri"/>
          <w:color w:val="auto"/>
        </w:rPr>
        <w:t xml:space="preserve"> CDR.</w:t>
      </w:r>
    </w:p>
    <w:p w14:paraId="7AF730E4" w14:textId="62C69786" w:rsidR="004B58AD" w:rsidRDefault="004B58AD" w:rsidP="003A1D09">
      <w:pPr>
        <w:pStyle w:val="BGNormal125"/>
        <w:spacing w:after="240"/>
        <w:rPr>
          <w:rFonts w:ascii="Calibri" w:hAnsi="Calibri" w:cs="Calibri"/>
          <w:color w:val="auto"/>
          <w:sz w:val="22"/>
          <w:szCs w:val="22"/>
        </w:rPr>
      </w:pPr>
      <w:r w:rsidRPr="00E025BC">
        <w:rPr>
          <w:rFonts w:ascii="Calibri" w:hAnsi="Calibri" w:cs="Calibri"/>
          <w:color w:val="auto"/>
          <w:sz w:val="22"/>
          <w:szCs w:val="22"/>
        </w:rPr>
        <w:t>We conduct</w:t>
      </w:r>
      <w:r w:rsidR="001D663B">
        <w:rPr>
          <w:rFonts w:ascii="Calibri" w:hAnsi="Calibri" w:cs="Calibri"/>
          <w:color w:val="auto"/>
          <w:sz w:val="22"/>
          <w:szCs w:val="22"/>
        </w:rPr>
        <w:t>ed</w:t>
      </w:r>
      <w:r w:rsidRPr="00E025BC">
        <w:rPr>
          <w:rFonts w:ascii="Calibri" w:hAnsi="Calibri" w:cs="Calibri"/>
          <w:color w:val="auto"/>
          <w:sz w:val="22"/>
          <w:szCs w:val="22"/>
        </w:rPr>
        <w:t xml:space="preserve"> simulations over a wide range of reserve margins by adding or removing capacity from this supply fleet. To</w:t>
      </w:r>
      <w:r w:rsidRPr="00E025BC" w:rsidDel="004D0B30">
        <w:rPr>
          <w:rFonts w:ascii="Calibri" w:hAnsi="Calibri" w:cs="Calibri"/>
          <w:color w:val="auto"/>
          <w:sz w:val="22"/>
          <w:szCs w:val="22"/>
        </w:rPr>
        <w:t xml:space="preserve"> </w:t>
      </w:r>
      <w:r w:rsidRPr="00E025BC">
        <w:rPr>
          <w:rFonts w:ascii="Calibri" w:hAnsi="Calibri" w:cs="Calibri"/>
          <w:color w:val="auto"/>
          <w:sz w:val="22"/>
          <w:szCs w:val="22"/>
        </w:rPr>
        <w:t>analyze higher reserve margins, we add</w:t>
      </w:r>
      <w:r w:rsidR="00E025BC" w:rsidRPr="00E025BC">
        <w:rPr>
          <w:rFonts w:ascii="Calibri" w:hAnsi="Calibri" w:cs="Calibri"/>
          <w:color w:val="auto"/>
          <w:sz w:val="22"/>
          <w:szCs w:val="22"/>
        </w:rPr>
        <w:t xml:space="preserve"> </w:t>
      </w:r>
      <w:r w:rsidRPr="00E025BC">
        <w:rPr>
          <w:rFonts w:ascii="Calibri" w:hAnsi="Calibri" w:cs="Calibri"/>
          <w:color w:val="auto"/>
          <w:sz w:val="22"/>
          <w:szCs w:val="22"/>
        </w:rPr>
        <w:t xml:space="preserve">gas CT capacity, </w:t>
      </w:r>
      <w:r w:rsidRPr="00AB530C">
        <w:rPr>
          <w:rFonts w:ascii="Calibri" w:hAnsi="Calibri" w:cs="Calibri"/>
          <w:color w:val="auto"/>
          <w:sz w:val="22"/>
          <w:szCs w:val="22"/>
        </w:rPr>
        <w:t xml:space="preserve">assuming the characteristics shown in </w:t>
      </w:r>
      <w:r w:rsidRPr="00AB530C">
        <w:rPr>
          <w:rFonts w:ascii="Calibri" w:hAnsi="Calibri" w:cs="Calibri"/>
          <w:color w:val="auto"/>
          <w:sz w:val="22"/>
          <w:szCs w:val="22"/>
        </w:rPr>
        <w:fldChar w:fldCharType="begin"/>
      </w:r>
      <w:r w:rsidRPr="00AB530C">
        <w:rPr>
          <w:rFonts w:ascii="Calibri" w:hAnsi="Calibri" w:cs="Calibri"/>
          <w:color w:val="auto"/>
          <w:sz w:val="22"/>
          <w:szCs w:val="22"/>
        </w:rPr>
        <w:instrText xml:space="preserve"> REF _Ref526237915 \h </w:instrText>
      </w:r>
      <w:r w:rsidR="00165615" w:rsidRPr="00AB530C">
        <w:rPr>
          <w:rFonts w:ascii="Calibri" w:hAnsi="Calibri" w:cs="Calibri"/>
          <w:color w:val="auto"/>
          <w:sz w:val="22"/>
          <w:szCs w:val="22"/>
        </w:rPr>
        <w:instrText xml:space="preserve"> \* MERGEFORMAT </w:instrText>
      </w:r>
      <w:r w:rsidRPr="00AB530C">
        <w:rPr>
          <w:rFonts w:ascii="Calibri" w:hAnsi="Calibri" w:cs="Calibri"/>
          <w:color w:val="auto"/>
          <w:sz w:val="22"/>
          <w:szCs w:val="22"/>
        </w:rPr>
      </w:r>
      <w:r w:rsidRPr="00AB530C">
        <w:rPr>
          <w:rFonts w:ascii="Calibri" w:hAnsi="Calibri" w:cs="Calibri"/>
          <w:color w:val="auto"/>
          <w:sz w:val="22"/>
          <w:szCs w:val="22"/>
        </w:rPr>
        <w:fldChar w:fldCharType="separate"/>
      </w:r>
      <w:r w:rsidRPr="00AB530C">
        <w:rPr>
          <w:rFonts w:ascii="Calibri" w:hAnsi="Calibri" w:cs="Calibri"/>
          <w:color w:val="auto"/>
          <w:sz w:val="22"/>
          <w:szCs w:val="22"/>
        </w:rPr>
        <w:t xml:space="preserve">Table </w:t>
      </w:r>
      <w:r w:rsidRPr="00AB530C">
        <w:rPr>
          <w:rFonts w:ascii="Calibri" w:hAnsi="Calibri" w:cs="Calibri"/>
          <w:noProof/>
          <w:color w:val="auto"/>
          <w:sz w:val="22"/>
          <w:szCs w:val="22"/>
        </w:rPr>
        <w:t>2</w:t>
      </w:r>
      <w:r w:rsidRPr="00AB530C">
        <w:rPr>
          <w:rFonts w:ascii="Calibri" w:hAnsi="Calibri" w:cs="Calibri"/>
          <w:color w:val="auto"/>
          <w:sz w:val="22"/>
          <w:szCs w:val="22"/>
        </w:rPr>
        <w:fldChar w:fldCharType="end"/>
      </w:r>
      <w:r w:rsidRPr="00AB530C">
        <w:rPr>
          <w:rFonts w:ascii="Calibri" w:hAnsi="Calibri" w:cs="Calibri"/>
          <w:color w:val="auto"/>
          <w:sz w:val="22"/>
          <w:szCs w:val="22"/>
        </w:rPr>
        <w:t xml:space="preserve"> below that were derived from a recent study Brattle conducted. To analyze lower reserve margins, we </w:t>
      </w:r>
      <w:r w:rsidR="00093E73" w:rsidRPr="00AB530C">
        <w:rPr>
          <w:rFonts w:ascii="Calibri" w:hAnsi="Calibri" w:cs="Calibri"/>
          <w:color w:val="auto"/>
          <w:sz w:val="22"/>
          <w:szCs w:val="22"/>
        </w:rPr>
        <w:t>selectively retired coal units</w:t>
      </w:r>
      <w:r w:rsidR="00AB530C" w:rsidRPr="00AB530C">
        <w:rPr>
          <w:rFonts w:ascii="Calibri" w:hAnsi="Calibri" w:cs="Calibri"/>
          <w:color w:val="auto"/>
          <w:sz w:val="22"/>
          <w:szCs w:val="22"/>
        </w:rPr>
        <w:t xml:space="preserve"> and excluded planned thermal units</w:t>
      </w:r>
      <w:r w:rsidRPr="00AB530C">
        <w:rPr>
          <w:rFonts w:ascii="Calibri" w:hAnsi="Calibri" w:cs="Calibri"/>
          <w:color w:val="auto"/>
          <w:sz w:val="22"/>
          <w:szCs w:val="22"/>
        </w:rPr>
        <w:t>.</w:t>
      </w:r>
      <w:r w:rsidRPr="00AB530C">
        <w:rPr>
          <w:rStyle w:val="FootnoteReference"/>
          <w:rFonts w:ascii="Calibri" w:hAnsi="Calibri" w:cs="Calibri"/>
          <w:color w:val="auto"/>
          <w:sz w:val="22"/>
          <w:szCs w:val="22"/>
        </w:rPr>
        <w:footnoteReference w:id="17"/>
      </w:r>
      <w:r w:rsidRPr="00AB530C">
        <w:rPr>
          <w:rFonts w:ascii="Calibri" w:hAnsi="Calibri" w:cs="Calibri"/>
          <w:color w:val="auto"/>
          <w:sz w:val="22"/>
          <w:szCs w:val="22"/>
        </w:rPr>
        <w:t xml:space="preserve">  </w:t>
      </w:r>
      <w:r w:rsidRPr="00E025BC">
        <w:rPr>
          <w:rFonts w:ascii="Calibri" w:hAnsi="Calibri" w:cs="Calibri"/>
          <w:color w:val="auto"/>
          <w:sz w:val="22"/>
          <w:szCs w:val="22"/>
        </w:rPr>
        <w:t xml:space="preserve">We assume the CONE for the new </w:t>
      </w:r>
      <w:r w:rsidR="00093E73">
        <w:rPr>
          <w:rFonts w:ascii="Calibri" w:hAnsi="Calibri" w:cs="Calibri"/>
          <w:color w:val="auto"/>
          <w:sz w:val="22"/>
          <w:szCs w:val="22"/>
        </w:rPr>
        <w:t xml:space="preserve">CT </w:t>
      </w:r>
      <w:r w:rsidRPr="00E025BC">
        <w:rPr>
          <w:rFonts w:ascii="Calibri" w:hAnsi="Calibri" w:cs="Calibri"/>
          <w:color w:val="auto"/>
          <w:sz w:val="22"/>
          <w:szCs w:val="22"/>
        </w:rPr>
        <w:t>units are $</w:t>
      </w:r>
      <w:r w:rsidR="00DC62D0">
        <w:rPr>
          <w:rFonts w:ascii="Calibri" w:hAnsi="Calibri" w:cs="Calibri"/>
          <w:color w:val="auto"/>
          <w:sz w:val="22"/>
          <w:szCs w:val="22"/>
        </w:rPr>
        <w:t>93</w:t>
      </w:r>
      <w:r w:rsidRPr="00E025BC">
        <w:rPr>
          <w:rFonts w:ascii="Calibri" w:hAnsi="Calibri" w:cs="Calibri"/>
          <w:color w:val="auto"/>
          <w:sz w:val="22"/>
          <w:szCs w:val="22"/>
        </w:rPr>
        <w:t>,</w:t>
      </w:r>
      <w:r w:rsidR="00DC62D0">
        <w:rPr>
          <w:rFonts w:ascii="Calibri" w:hAnsi="Calibri" w:cs="Calibri"/>
          <w:color w:val="auto"/>
          <w:sz w:val="22"/>
          <w:szCs w:val="22"/>
        </w:rPr>
        <w:t>5</w:t>
      </w:r>
      <w:r w:rsidRPr="00E025BC">
        <w:rPr>
          <w:rFonts w:ascii="Calibri" w:hAnsi="Calibri" w:cs="Calibri"/>
          <w:color w:val="auto"/>
          <w:sz w:val="22"/>
          <w:szCs w:val="22"/>
        </w:rPr>
        <w:t>00/MW-year.</w:t>
      </w:r>
      <w:r w:rsidRPr="00E025BC">
        <w:rPr>
          <w:rStyle w:val="FootnoteReference"/>
          <w:rFonts w:ascii="Calibri" w:hAnsi="Calibri" w:cs="Calibri"/>
          <w:color w:val="auto"/>
          <w:sz w:val="22"/>
          <w:szCs w:val="22"/>
        </w:rPr>
        <w:footnoteReference w:id="18"/>
      </w:r>
    </w:p>
    <w:p w14:paraId="77AFDA60" w14:textId="3CC070B1" w:rsidR="003A1D09" w:rsidRDefault="003A1D09" w:rsidP="003A1D09">
      <w:pPr>
        <w:pStyle w:val="BGNormal125"/>
        <w:spacing w:after="240"/>
        <w:rPr>
          <w:rFonts w:ascii="Calibri" w:hAnsi="Calibri" w:cs="Calibri"/>
          <w:color w:val="auto"/>
          <w:sz w:val="22"/>
          <w:szCs w:val="22"/>
        </w:rPr>
      </w:pPr>
    </w:p>
    <w:p w14:paraId="3DB00B58" w14:textId="41D19F54" w:rsidR="003A1D09" w:rsidRDefault="003A1D09" w:rsidP="003A1D09">
      <w:pPr>
        <w:pStyle w:val="BGNormal125"/>
        <w:spacing w:after="240"/>
        <w:rPr>
          <w:rFonts w:ascii="Calibri" w:hAnsi="Calibri" w:cs="Calibri"/>
          <w:color w:val="auto"/>
          <w:sz w:val="22"/>
          <w:szCs w:val="22"/>
        </w:rPr>
      </w:pPr>
    </w:p>
    <w:p w14:paraId="21DA207A" w14:textId="50716148" w:rsidR="003A1D09" w:rsidRDefault="003A1D09" w:rsidP="003A1D09">
      <w:pPr>
        <w:pStyle w:val="BGNormal125"/>
        <w:spacing w:after="240"/>
        <w:rPr>
          <w:rFonts w:ascii="Calibri" w:hAnsi="Calibri" w:cs="Calibri"/>
          <w:color w:val="auto"/>
          <w:sz w:val="22"/>
          <w:szCs w:val="22"/>
        </w:rPr>
      </w:pPr>
    </w:p>
    <w:p w14:paraId="28ADD801" w14:textId="53C1403F" w:rsidR="003A1D09" w:rsidRDefault="003A1D09" w:rsidP="003A1D09">
      <w:pPr>
        <w:pStyle w:val="BGNormal125"/>
        <w:spacing w:after="240"/>
        <w:rPr>
          <w:rFonts w:ascii="Calibri" w:hAnsi="Calibri" w:cs="Calibri"/>
          <w:color w:val="auto"/>
          <w:sz w:val="22"/>
          <w:szCs w:val="22"/>
        </w:rPr>
      </w:pPr>
    </w:p>
    <w:p w14:paraId="37CAA39A" w14:textId="7FC9449F" w:rsidR="003A1D09" w:rsidRDefault="003A1D09" w:rsidP="003A1D09">
      <w:pPr>
        <w:pStyle w:val="BGNormal125"/>
        <w:spacing w:after="240"/>
        <w:rPr>
          <w:rFonts w:ascii="Calibri" w:hAnsi="Calibri" w:cs="Calibri"/>
          <w:color w:val="auto"/>
          <w:sz w:val="22"/>
          <w:szCs w:val="22"/>
        </w:rPr>
      </w:pPr>
    </w:p>
    <w:p w14:paraId="675A94ED" w14:textId="77777777" w:rsidR="003A1D09" w:rsidRPr="00165615" w:rsidRDefault="003A1D09" w:rsidP="003A1D09">
      <w:pPr>
        <w:pStyle w:val="BGNormal125"/>
        <w:spacing w:after="240"/>
        <w:rPr>
          <w:rFonts w:ascii="Calibri" w:hAnsi="Calibri" w:cs="Calibri"/>
          <w:color w:val="C00000"/>
          <w:sz w:val="22"/>
          <w:szCs w:val="22"/>
        </w:rPr>
      </w:pPr>
    </w:p>
    <w:p w14:paraId="1065C469" w14:textId="15A96A72" w:rsidR="002E5E90" w:rsidRPr="00F242EE" w:rsidRDefault="004B58AD" w:rsidP="00F242EE">
      <w:pPr>
        <w:pStyle w:val="Caption"/>
        <w:jc w:val="center"/>
        <w:rPr>
          <w:rFonts w:cs="Calibri"/>
          <w:b/>
          <w:bCs/>
          <w:i w:val="0"/>
          <w:iCs w:val="0"/>
          <w:color w:val="auto"/>
          <w:sz w:val="22"/>
          <w:szCs w:val="22"/>
        </w:rPr>
      </w:pPr>
      <w:bookmarkStart w:id="42" w:name="_Ref526237915"/>
      <w:r w:rsidRPr="00E025BC">
        <w:rPr>
          <w:rFonts w:cs="Calibri"/>
          <w:b/>
          <w:bCs/>
          <w:i w:val="0"/>
          <w:iCs w:val="0"/>
          <w:color w:val="auto"/>
          <w:sz w:val="22"/>
          <w:szCs w:val="22"/>
        </w:rPr>
        <w:t xml:space="preserve">Table </w:t>
      </w:r>
      <w:r w:rsidRPr="00E025BC">
        <w:rPr>
          <w:rFonts w:cs="Calibri"/>
          <w:b/>
          <w:bCs/>
          <w:i w:val="0"/>
          <w:iCs w:val="0"/>
          <w:noProof/>
          <w:color w:val="auto"/>
          <w:sz w:val="22"/>
          <w:szCs w:val="22"/>
        </w:rPr>
        <w:fldChar w:fldCharType="begin"/>
      </w:r>
      <w:r w:rsidRPr="00E025BC">
        <w:rPr>
          <w:rFonts w:cs="Calibri"/>
          <w:b/>
          <w:bCs/>
          <w:i w:val="0"/>
          <w:iCs w:val="0"/>
          <w:noProof/>
          <w:color w:val="auto"/>
          <w:sz w:val="22"/>
          <w:szCs w:val="22"/>
        </w:rPr>
        <w:instrText xml:space="preserve"> SEQ Table \* ARABIC </w:instrText>
      </w:r>
      <w:r w:rsidRPr="00E025BC">
        <w:rPr>
          <w:rFonts w:cs="Calibri"/>
          <w:b/>
          <w:bCs/>
          <w:i w:val="0"/>
          <w:iCs w:val="0"/>
          <w:noProof/>
          <w:color w:val="auto"/>
          <w:sz w:val="22"/>
          <w:szCs w:val="22"/>
        </w:rPr>
        <w:fldChar w:fldCharType="separate"/>
      </w:r>
      <w:r w:rsidR="003F6A8E">
        <w:rPr>
          <w:rFonts w:cs="Calibri"/>
          <w:b/>
          <w:bCs/>
          <w:i w:val="0"/>
          <w:iCs w:val="0"/>
          <w:noProof/>
          <w:color w:val="auto"/>
          <w:sz w:val="22"/>
          <w:szCs w:val="22"/>
        </w:rPr>
        <w:t>2</w:t>
      </w:r>
      <w:r w:rsidRPr="00E025BC">
        <w:rPr>
          <w:rFonts w:cs="Calibri"/>
          <w:b/>
          <w:bCs/>
          <w:i w:val="0"/>
          <w:iCs w:val="0"/>
          <w:noProof/>
          <w:color w:val="auto"/>
          <w:sz w:val="22"/>
          <w:szCs w:val="22"/>
        </w:rPr>
        <w:fldChar w:fldCharType="end"/>
      </w:r>
      <w:bookmarkEnd w:id="42"/>
      <w:r w:rsidR="00165615" w:rsidRPr="00E025BC">
        <w:rPr>
          <w:rFonts w:cs="Calibri"/>
          <w:b/>
          <w:bCs/>
          <w:i w:val="0"/>
          <w:iCs w:val="0"/>
          <w:noProof/>
          <w:color w:val="auto"/>
          <w:sz w:val="22"/>
          <w:szCs w:val="22"/>
        </w:rPr>
        <w:t xml:space="preserve">. </w:t>
      </w:r>
      <w:r w:rsidRPr="00E025BC">
        <w:rPr>
          <w:rFonts w:cs="Calibri"/>
          <w:b/>
          <w:bCs/>
          <w:i w:val="0"/>
          <w:iCs w:val="0"/>
          <w:color w:val="auto"/>
          <w:sz w:val="22"/>
          <w:szCs w:val="22"/>
        </w:rPr>
        <w:t>Reference Technology Cost and Summer Performance Characteristics</w:t>
      </w:r>
    </w:p>
    <w:tbl>
      <w:tblPr>
        <w:tblW w:w="4700" w:type="dxa"/>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940"/>
        <w:gridCol w:w="1200"/>
        <w:gridCol w:w="1560"/>
      </w:tblGrid>
      <w:tr w:rsidR="002E5E90" w:rsidRPr="00246630" w14:paraId="7578D671" w14:textId="77777777" w:rsidTr="009A50F0">
        <w:trPr>
          <w:trHeight w:val="331"/>
          <w:jc w:val="center"/>
        </w:trPr>
        <w:tc>
          <w:tcPr>
            <w:tcW w:w="194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B2CB59B" w14:textId="77777777" w:rsidR="002E5E90" w:rsidRPr="00246630" w:rsidRDefault="002E5E90" w:rsidP="009A50F0">
            <w:pPr>
              <w:spacing w:after="0" w:line="240" w:lineRule="auto"/>
              <w:jc w:val="center"/>
              <w:textAlignment w:val="center"/>
              <w:rPr>
                <w:rFonts w:ascii="Arial" w:eastAsia="Times New Roman" w:hAnsi="Arial" w:cs="Arial"/>
                <w:b/>
                <w:bCs/>
                <w:kern w:val="0"/>
                <w:sz w:val="36"/>
                <w:szCs w:val="36"/>
              </w:rPr>
            </w:pPr>
            <w:r w:rsidRPr="00246630">
              <w:rPr>
                <w:rFonts w:eastAsia="Times New Roman" w:cs="Arial"/>
                <w:b/>
                <w:bCs/>
                <w:color w:val="000000"/>
              </w:rPr>
              <w:t> Characteristic</w:t>
            </w:r>
          </w:p>
        </w:tc>
        <w:tc>
          <w:tcPr>
            <w:tcW w:w="120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D3FBD65" w14:textId="77777777" w:rsidR="002E5E90" w:rsidRPr="00246630" w:rsidRDefault="002E5E90" w:rsidP="009A50F0">
            <w:pPr>
              <w:spacing w:after="0" w:line="240" w:lineRule="auto"/>
              <w:jc w:val="center"/>
              <w:textAlignment w:val="center"/>
              <w:rPr>
                <w:rFonts w:ascii="Arial" w:eastAsia="Times New Roman" w:hAnsi="Arial" w:cs="Arial"/>
                <w:b/>
                <w:bCs/>
                <w:kern w:val="0"/>
                <w:sz w:val="36"/>
                <w:szCs w:val="36"/>
              </w:rPr>
            </w:pPr>
            <w:r w:rsidRPr="00246630">
              <w:rPr>
                <w:rFonts w:eastAsia="Times New Roman" w:cs="Arial"/>
                <w:b/>
                <w:bCs/>
                <w:color w:val="000000"/>
              </w:rPr>
              <w:t>Unit</w:t>
            </w:r>
          </w:p>
        </w:tc>
        <w:tc>
          <w:tcPr>
            <w:tcW w:w="156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4151AD79"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b/>
                <w:bCs/>
                <w:color w:val="000000"/>
              </w:rPr>
              <w:t>Simple Cycle</w:t>
            </w:r>
          </w:p>
        </w:tc>
      </w:tr>
      <w:tr w:rsidR="002E5E90" w:rsidRPr="00246630" w14:paraId="56EA9F5D" w14:textId="77777777" w:rsidTr="009A50F0">
        <w:trPr>
          <w:trHeight w:val="300"/>
          <w:jc w:val="center"/>
        </w:trPr>
        <w:tc>
          <w:tcPr>
            <w:tcW w:w="1940" w:type="dxa"/>
            <w:tcBorders>
              <w:top w:val="single" w:sz="4" w:space="0" w:color="auto"/>
            </w:tcBorders>
            <w:shd w:val="clear" w:color="auto" w:fill="auto"/>
            <w:tcMar>
              <w:top w:w="15" w:type="dxa"/>
              <w:left w:w="15" w:type="dxa"/>
              <w:bottom w:w="0" w:type="dxa"/>
              <w:right w:w="15" w:type="dxa"/>
            </w:tcMar>
            <w:vAlign w:val="center"/>
            <w:hideMark/>
          </w:tcPr>
          <w:p w14:paraId="37C7A4F0"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Plant Configuration</w:t>
            </w:r>
          </w:p>
        </w:tc>
        <w:tc>
          <w:tcPr>
            <w:tcW w:w="1200" w:type="dxa"/>
            <w:tcBorders>
              <w:top w:val="single" w:sz="4" w:space="0" w:color="auto"/>
            </w:tcBorders>
            <w:shd w:val="clear" w:color="auto" w:fill="auto"/>
            <w:tcMar>
              <w:top w:w="15" w:type="dxa"/>
              <w:left w:w="15" w:type="dxa"/>
              <w:bottom w:w="0" w:type="dxa"/>
              <w:right w:w="15" w:type="dxa"/>
            </w:tcMar>
            <w:vAlign w:val="center"/>
            <w:hideMark/>
          </w:tcPr>
          <w:p w14:paraId="010F56A5" w14:textId="77777777" w:rsidR="002E5E90" w:rsidRPr="00246630" w:rsidRDefault="002E5E90" w:rsidP="009A50F0">
            <w:pPr>
              <w:spacing w:after="0" w:line="240" w:lineRule="auto"/>
              <w:rPr>
                <w:rFonts w:ascii="Arial" w:eastAsia="Times New Roman" w:hAnsi="Arial" w:cs="Arial"/>
                <w:kern w:val="0"/>
                <w:sz w:val="36"/>
                <w:szCs w:val="36"/>
              </w:rPr>
            </w:pPr>
          </w:p>
        </w:tc>
        <w:tc>
          <w:tcPr>
            <w:tcW w:w="1560" w:type="dxa"/>
            <w:tcBorders>
              <w:top w:val="single" w:sz="4" w:space="0" w:color="auto"/>
            </w:tcBorders>
            <w:shd w:val="clear" w:color="auto" w:fill="auto"/>
            <w:tcMar>
              <w:top w:w="15" w:type="dxa"/>
              <w:left w:w="15" w:type="dxa"/>
              <w:bottom w:w="0" w:type="dxa"/>
              <w:right w:w="15" w:type="dxa"/>
            </w:tcMar>
            <w:vAlign w:val="center"/>
            <w:hideMark/>
          </w:tcPr>
          <w:p w14:paraId="447BA80C" w14:textId="77777777" w:rsidR="002E5E90" w:rsidRPr="00246630" w:rsidRDefault="002E5E90" w:rsidP="009A50F0">
            <w:pPr>
              <w:spacing w:after="0" w:line="240" w:lineRule="auto"/>
              <w:rPr>
                <w:rFonts w:ascii="Times New Roman" w:eastAsia="Times New Roman" w:hAnsi="Times New Roman" w:cs="Times New Roman"/>
                <w:kern w:val="0"/>
                <w:sz w:val="20"/>
                <w:szCs w:val="20"/>
              </w:rPr>
            </w:pPr>
          </w:p>
        </w:tc>
      </w:tr>
      <w:tr w:rsidR="002E5E90" w:rsidRPr="00246630" w14:paraId="02187E4B"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01F09146"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Turbine</w:t>
            </w:r>
          </w:p>
        </w:tc>
        <w:tc>
          <w:tcPr>
            <w:tcW w:w="1200" w:type="dxa"/>
            <w:shd w:val="clear" w:color="auto" w:fill="D9D9D9" w:themeFill="background1" w:themeFillShade="D9"/>
            <w:tcMar>
              <w:top w:w="15" w:type="dxa"/>
              <w:left w:w="15" w:type="dxa"/>
              <w:bottom w:w="0" w:type="dxa"/>
              <w:right w:w="15" w:type="dxa"/>
            </w:tcMar>
            <w:vAlign w:val="center"/>
            <w:hideMark/>
          </w:tcPr>
          <w:p w14:paraId="0501DFC8" w14:textId="77777777" w:rsidR="002E5E90" w:rsidRPr="00246630" w:rsidRDefault="002E5E90" w:rsidP="009A50F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33F2BBB9"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GE 7HA.02</w:t>
            </w:r>
          </w:p>
        </w:tc>
      </w:tr>
      <w:tr w:rsidR="002E5E90" w:rsidRPr="00246630" w14:paraId="41C6EBF0"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00B1C287"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Configuration</w:t>
            </w:r>
          </w:p>
        </w:tc>
        <w:tc>
          <w:tcPr>
            <w:tcW w:w="1200" w:type="dxa"/>
            <w:shd w:val="clear" w:color="auto" w:fill="D9D9D9" w:themeFill="background1" w:themeFillShade="D9"/>
            <w:tcMar>
              <w:top w:w="15" w:type="dxa"/>
              <w:left w:w="15" w:type="dxa"/>
              <w:bottom w:w="0" w:type="dxa"/>
              <w:right w:w="15" w:type="dxa"/>
            </w:tcMar>
            <w:vAlign w:val="center"/>
            <w:hideMark/>
          </w:tcPr>
          <w:p w14:paraId="3E806483" w14:textId="77777777" w:rsidR="002E5E90" w:rsidRPr="00246630" w:rsidRDefault="002E5E90" w:rsidP="009A50F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5E9CD5E7"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1 x 0</w:t>
            </w:r>
          </w:p>
        </w:tc>
      </w:tr>
      <w:tr w:rsidR="002E5E90" w:rsidRPr="00246630" w14:paraId="1EF8B18C" w14:textId="77777777" w:rsidTr="009A50F0">
        <w:trPr>
          <w:trHeight w:val="300"/>
          <w:jc w:val="center"/>
        </w:trPr>
        <w:tc>
          <w:tcPr>
            <w:tcW w:w="1940" w:type="dxa"/>
            <w:shd w:val="clear" w:color="auto" w:fill="auto"/>
            <w:tcMar>
              <w:top w:w="15" w:type="dxa"/>
              <w:left w:w="15" w:type="dxa"/>
              <w:bottom w:w="0" w:type="dxa"/>
              <w:right w:w="15" w:type="dxa"/>
            </w:tcMar>
            <w:vAlign w:val="center"/>
            <w:hideMark/>
          </w:tcPr>
          <w:p w14:paraId="07563B0B"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Heat Rate (HHV)</w:t>
            </w:r>
          </w:p>
        </w:tc>
        <w:tc>
          <w:tcPr>
            <w:tcW w:w="1200" w:type="dxa"/>
            <w:shd w:val="clear" w:color="auto" w:fill="auto"/>
            <w:tcMar>
              <w:top w:w="15" w:type="dxa"/>
              <w:left w:w="15" w:type="dxa"/>
              <w:bottom w:w="0" w:type="dxa"/>
              <w:right w:w="15" w:type="dxa"/>
            </w:tcMar>
            <w:vAlign w:val="center"/>
            <w:hideMark/>
          </w:tcPr>
          <w:p w14:paraId="1223DB35" w14:textId="77777777" w:rsidR="002E5E90" w:rsidRPr="00246630" w:rsidRDefault="002E5E90" w:rsidP="009A50F0">
            <w:pPr>
              <w:spacing w:after="0" w:line="240" w:lineRule="auto"/>
              <w:rPr>
                <w:rFonts w:ascii="Arial" w:eastAsia="Times New Roman" w:hAnsi="Arial" w:cs="Arial"/>
                <w:kern w:val="0"/>
                <w:sz w:val="36"/>
                <w:szCs w:val="36"/>
              </w:rPr>
            </w:pPr>
          </w:p>
        </w:tc>
        <w:tc>
          <w:tcPr>
            <w:tcW w:w="1560" w:type="dxa"/>
            <w:shd w:val="clear" w:color="auto" w:fill="auto"/>
            <w:tcMar>
              <w:top w:w="15" w:type="dxa"/>
              <w:left w:w="15" w:type="dxa"/>
              <w:bottom w:w="0" w:type="dxa"/>
              <w:right w:w="15" w:type="dxa"/>
            </w:tcMar>
            <w:vAlign w:val="center"/>
            <w:hideMark/>
          </w:tcPr>
          <w:p w14:paraId="049D3B4D" w14:textId="77777777" w:rsidR="002E5E90" w:rsidRPr="00246630" w:rsidRDefault="002E5E90" w:rsidP="009A50F0">
            <w:pPr>
              <w:spacing w:after="0" w:line="240" w:lineRule="auto"/>
              <w:rPr>
                <w:rFonts w:ascii="Times New Roman" w:eastAsia="Times New Roman" w:hAnsi="Times New Roman" w:cs="Times New Roman"/>
                <w:kern w:val="0"/>
                <w:sz w:val="20"/>
                <w:szCs w:val="20"/>
              </w:rPr>
            </w:pPr>
          </w:p>
        </w:tc>
      </w:tr>
      <w:tr w:rsidR="002E5E90" w:rsidRPr="00246630" w14:paraId="495492AD"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45C000A8"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Base Load</w:t>
            </w:r>
          </w:p>
        </w:tc>
        <w:tc>
          <w:tcPr>
            <w:tcW w:w="1200" w:type="dxa"/>
            <w:shd w:val="clear" w:color="auto" w:fill="D9D9D9" w:themeFill="background1" w:themeFillShade="D9"/>
            <w:tcMar>
              <w:top w:w="15" w:type="dxa"/>
              <w:left w:w="15" w:type="dxa"/>
              <w:bottom w:w="0" w:type="dxa"/>
              <w:right w:w="15" w:type="dxa"/>
            </w:tcMar>
            <w:vAlign w:val="center"/>
            <w:hideMark/>
          </w:tcPr>
          <w:p w14:paraId="71E5FABB" w14:textId="77777777" w:rsidR="002E5E90" w:rsidRPr="00246630" w:rsidRDefault="002E5E90" w:rsidP="009A50F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1ED0BFA3" w14:textId="77777777" w:rsidR="002E5E90" w:rsidRPr="00246630" w:rsidRDefault="002E5E90" w:rsidP="009A50F0">
            <w:pPr>
              <w:spacing w:after="0" w:line="240" w:lineRule="auto"/>
              <w:rPr>
                <w:rFonts w:ascii="Times New Roman" w:eastAsia="Times New Roman" w:hAnsi="Times New Roman" w:cs="Times New Roman"/>
                <w:kern w:val="0"/>
                <w:sz w:val="20"/>
                <w:szCs w:val="20"/>
              </w:rPr>
            </w:pPr>
          </w:p>
        </w:tc>
      </w:tr>
      <w:tr w:rsidR="002E5E90" w:rsidRPr="00246630" w14:paraId="13984B01"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4C8BD51B"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Non-Summer</w:t>
            </w:r>
          </w:p>
        </w:tc>
        <w:tc>
          <w:tcPr>
            <w:tcW w:w="1200" w:type="dxa"/>
            <w:shd w:val="clear" w:color="auto" w:fill="D9D9D9" w:themeFill="background1" w:themeFillShade="D9"/>
            <w:tcMar>
              <w:top w:w="15" w:type="dxa"/>
              <w:left w:w="15" w:type="dxa"/>
              <w:bottom w:w="0" w:type="dxa"/>
              <w:right w:w="15" w:type="dxa"/>
            </w:tcMar>
            <w:vAlign w:val="center"/>
            <w:hideMark/>
          </w:tcPr>
          <w:p w14:paraId="2B7B59FB"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(Btu/kWh)</w:t>
            </w:r>
          </w:p>
        </w:tc>
        <w:tc>
          <w:tcPr>
            <w:tcW w:w="1560" w:type="dxa"/>
            <w:shd w:val="clear" w:color="auto" w:fill="D9D9D9" w:themeFill="background1" w:themeFillShade="D9"/>
            <w:tcMar>
              <w:top w:w="15" w:type="dxa"/>
              <w:left w:w="15" w:type="dxa"/>
              <w:bottom w:w="0" w:type="dxa"/>
              <w:right w:w="15" w:type="dxa"/>
            </w:tcMar>
            <w:vAlign w:val="center"/>
            <w:hideMark/>
          </w:tcPr>
          <w:p w14:paraId="3637BE9D"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9,138</w:t>
            </w:r>
          </w:p>
        </w:tc>
      </w:tr>
      <w:tr w:rsidR="002E5E90" w:rsidRPr="00246630" w14:paraId="1B6B764F"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54822128"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Summer</w:t>
            </w:r>
          </w:p>
        </w:tc>
        <w:tc>
          <w:tcPr>
            <w:tcW w:w="1200" w:type="dxa"/>
            <w:shd w:val="clear" w:color="auto" w:fill="D9D9D9" w:themeFill="background1" w:themeFillShade="D9"/>
            <w:tcMar>
              <w:top w:w="15" w:type="dxa"/>
              <w:left w:w="15" w:type="dxa"/>
              <w:bottom w:w="0" w:type="dxa"/>
              <w:right w:w="15" w:type="dxa"/>
            </w:tcMar>
            <w:vAlign w:val="center"/>
            <w:hideMark/>
          </w:tcPr>
          <w:p w14:paraId="1F3ED36D"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(Btu/kWh)</w:t>
            </w:r>
          </w:p>
        </w:tc>
        <w:tc>
          <w:tcPr>
            <w:tcW w:w="1560" w:type="dxa"/>
            <w:shd w:val="clear" w:color="auto" w:fill="D9D9D9" w:themeFill="background1" w:themeFillShade="D9"/>
            <w:tcMar>
              <w:top w:w="15" w:type="dxa"/>
              <w:left w:w="15" w:type="dxa"/>
              <w:bottom w:w="0" w:type="dxa"/>
              <w:right w:w="15" w:type="dxa"/>
            </w:tcMar>
            <w:vAlign w:val="center"/>
            <w:hideMark/>
          </w:tcPr>
          <w:p w14:paraId="4841B28C"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9,274</w:t>
            </w:r>
          </w:p>
        </w:tc>
      </w:tr>
      <w:tr w:rsidR="002E5E90" w:rsidRPr="00246630" w14:paraId="54928A82" w14:textId="77777777" w:rsidTr="009A50F0">
        <w:trPr>
          <w:trHeight w:val="300"/>
          <w:jc w:val="center"/>
        </w:trPr>
        <w:tc>
          <w:tcPr>
            <w:tcW w:w="1940" w:type="dxa"/>
            <w:shd w:val="clear" w:color="auto" w:fill="auto"/>
            <w:tcMar>
              <w:top w:w="15" w:type="dxa"/>
              <w:left w:w="15" w:type="dxa"/>
              <w:bottom w:w="0" w:type="dxa"/>
              <w:right w:w="15" w:type="dxa"/>
            </w:tcMar>
            <w:vAlign w:val="center"/>
            <w:hideMark/>
          </w:tcPr>
          <w:p w14:paraId="04A67930"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Installed Capacity</w:t>
            </w:r>
          </w:p>
        </w:tc>
        <w:tc>
          <w:tcPr>
            <w:tcW w:w="1200" w:type="dxa"/>
            <w:shd w:val="clear" w:color="auto" w:fill="auto"/>
            <w:tcMar>
              <w:top w:w="15" w:type="dxa"/>
              <w:left w:w="15" w:type="dxa"/>
              <w:bottom w:w="0" w:type="dxa"/>
              <w:right w:w="15" w:type="dxa"/>
            </w:tcMar>
            <w:vAlign w:val="center"/>
            <w:hideMark/>
          </w:tcPr>
          <w:p w14:paraId="0183DAAB" w14:textId="77777777" w:rsidR="002E5E90" w:rsidRPr="00246630" w:rsidRDefault="002E5E90" w:rsidP="009A50F0">
            <w:pPr>
              <w:spacing w:after="0" w:line="240" w:lineRule="auto"/>
              <w:rPr>
                <w:rFonts w:ascii="Arial" w:eastAsia="Times New Roman" w:hAnsi="Arial" w:cs="Arial"/>
                <w:kern w:val="0"/>
                <w:sz w:val="36"/>
                <w:szCs w:val="36"/>
              </w:rPr>
            </w:pPr>
          </w:p>
        </w:tc>
        <w:tc>
          <w:tcPr>
            <w:tcW w:w="1560" w:type="dxa"/>
            <w:shd w:val="clear" w:color="auto" w:fill="auto"/>
            <w:tcMar>
              <w:top w:w="15" w:type="dxa"/>
              <w:left w:w="15" w:type="dxa"/>
              <w:bottom w:w="0" w:type="dxa"/>
              <w:right w:w="15" w:type="dxa"/>
            </w:tcMar>
            <w:vAlign w:val="center"/>
            <w:hideMark/>
          </w:tcPr>
          <w:p w14:paraId="3A687663" w14:textId="77777777" w:rsidR="002E5E90" w:rsidRPr="00246630" w:rsidRDefault="002E5E90" w:rsidP="009A50F0">
            <w:pPr>
              <w:spacing w:after="0" w:line="240" w:lineRule="auto"/>
              <w:rPr>
                <w:rFonts w:ascii="Times New Roman" w:eastAsia="Times New Roman" w:hAnsi="Times New Roman" w:cs="Times New Roman"/>
                <w:kern w:val="0"/>
                <w:sz w:val="20"/>
                <w:szCs w:val="20"/>
              </w:rPr>
            </w:pPr>
          </w:p>
        </w:tc>
      </w:tr>
      <w:tr w:rsidR="002E5E90" w:rsidRPr="00246630" w14:paraId="68BEE0AA"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14D87AAA"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Base Load</w:t>
            </w:r>
          </w:p>
        </w:tc>
        <w:tc>
          <w:tcPr>
            <w:tcW w:w="1200" w:type="dxa"/>
            <w:shd w:val="clear" w:color="auto" w:fill="D9D9D9" w:themeFill="background1" w:themeFillShade="D9"/>
            <w:tcMar>
              <w:top w:w="15" w:type="dxa"/>
              <w:left w:w="15" w:type="dxa"/>
              <w:bottom w:w="0" w:type="dxa"/>
              <w:right w:w="15" w:type="dxa"/>
            </w:tcMar>
            <w:vAlign w:val="center"/>
            <w:hideMark/>
          </w:tcPr>
          <w:p w14:paraId="4FE692A4" w14:textId="77777777" w:rsidR="002E5E90" w:rsidRPr="00246630" w:rsidRDefault="002E5E90" w:rsidP="009A50F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5B9470F9" w14:textId="77777777" w:rsidR="002E5E90" w:rsidRPr="00246630" w:rsidRDefault="002E5E90" w:rsidP="009A50F0">
            <w:pPr>
              <w:spacing w:after="0" w:line="240" w:lineRule="auto"/>
              <w:rPr>
                <w:rFonts w:ascii="Times New Roman" w:eastAsia="Times New Roman" w:hAnsi="Times New Roman" w:cs="Times New Roman"/>
                <w:kern w:val="0"/>
                <w:sz w:val="20"/>
                <w:szCs w:val="20"/>
              </w:rPr>
            </w:pPr>
          </w:p>
        </w:tc>
      </w:tr>
      <w:tr w:rsidR="002E5E90" w:rsidRPr="00246630" w14:paraId="30E65CED"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7DBDBC49"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Non-Summer</w:t>
            </w:r>
          </w:p>
        </w:tc>
        <w:tc>
          <w:tcPr>
            <w:tcW w:w="1200" w:type="dxa"/>
            <w:shd w:val="clear" w:color="auto" w:fill="D9D9D9" w:themeFill="background1" w:themeFillShade="D9"/>
            <w:tcMar>
              <w:top w:w="15" w:type="dxa"/>
              <w:left w:w="15" w:type="dxa"/>
              <w:bottom w:w="0" w:type="dxa"/>
              <w:right w:w="15" w:type="dxa"/>
            </w:tcMar>
            <w:vAlign w:val="center"/>
            <w:hideMark/>
          </w:tcPr>
          <w:p w14:paraId="72ED3740"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(MW)</w:t>
            </w:r>
          </w:p>
        </w:tc>
        <w:tc>
          <w:tcPr>
            <w:tcW w:w="1560" w:type="dxa"/>
            <w:shd w:val="clear" w:color="auto" w:fill="D9D9D9" w:themeFill="background1" w:themeFillShade="D9"/>
            <w:tcMar>
              <w:top w:w="15" w:type="dxa"/>
              <w:left w:w="15" w:type="dxa"/>
              <w:bottom w:w="0" w:type="dxa"/>
              <w:right w:w="15" w:type="dxa"/>
            </w:tcMar>
            <w:vAlign w:val="center"/>
            <w:hideMark/>
          </w:tcPr>
          <w:p w14:paraId="116D8079"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371</w:t>
            </w:r>
          </w:p>
        </w:tc>
      </w:tr>
      <w:tr w:rsidR="002E5E90" w:rsidRPr="00246630" w14:paraId="1CF3D839" w14:textId="77777777" w:rsidTr="009A50F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1087C811" w14:textId="7777777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Summer</w:t>
            </w:r>
          </w:p>
        </w:tc>
        <w:tc>
          <w:tcPr>
            <w:tcW w:w="1200" w:type="dxa"/>
            <w:shd w:val="clear" w:color="auto" w:fill="D9D9D9" w:themeFill="background1" w:themeFillShade="D9"/>
            <w:tcMar>
              <w:top w:w="15" w:type="dxa"/>
              <w:left w:w="15" w:type="dxa"/>
              <w:bottom w:w="0" w:type="dxa"/>
              <w:right w:w="15" w:type="dxa"/>
            </w:tcMar>
            <w:vAlign w:val="center"/>
            <w:hideMark/>
          </w:tcPr>
          <w:p w14:paraId="4412F118"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(MW)</w:t>
            </w:r>
          </w:p>
        </w:tc>
        <w:tc>
          <w:tcPr>
            <w:tcW w:w="1560" w:type="dxa"/>
            <w:shd w:val="clear" w:color="auto" w:fill="D9D9D9" w:themeFill="background1" w:themeFillShade="D9"/>
            <w:tcMar>
              <w:top w:w="15" w:type="dxa"/>
              <w:left w:w="15" w:type="dxa"/>
              <w:bottom w:w="0" w:type="dxa"/>
              <w:right w:w="15" w:type="dxa"/>
            </w:tcMar>
            <w:vAlign w:val="center"/>
            <w:hideMark/>
          </w:tcPr>
          <w:p w14:paraId="25B7F30C"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352</w:t>
            </w:r>
          </w:p>
        </w:tc>
      </w:tr>
      <w:tr w:rsidR="002E5E90" w:rsidRPr="00246630" w14:paraId="2FDCEB05" w14:textId="77777777" w:rsidTr="009A50F0">
        <w:trPr>
          <w:trHeight w:val="315"/>
          <w:jc w:val="center"/>
        </w:trPr>
        <w:tc>
          <w:tcPr>
            <w:tcW w:w="1940" w:type="dxa"/>
            <w:shd w:val="clear" w:color="auto" w:fill="auto"/>
            <w:tcMar>
              <w:top w:w="15" w:type="dxa"/>
              <w:left w:w="15" w:type="dxa"/>
              <w:bottom w:w="0" w:type="dxa"/>
              <w:right w:w="15" w:type="dxa"/>
            </w:tcMar>
            <w:vAlign w:val="center"/>
            <w:hideMark/>
          </w:tcPr>
          <w:p w14:paraId="51BAB369" w14:textId="561F8087" w:rsidR="002E5E90" w:rsidRPr="00246630" w:rsidRDefault="002E5E90" w:rsidP="009A50F0">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CONE</w:t>
            </w:r>
          </w:p>
        </w:tc>
        <w:tc>
          <w:tcPr>
            <w:tcW w:w="1200" w:type="dxa"/>
            <w:shd w:val="clear" w:color="auto" w:fill="auto"/>
            <w:tcMar>
              <w:top w:w="15" w:type="dxa"/>
              <w:left w:w="15" w:type="dxa"/>
              <w:bottom w:w="0" w:type="dxa"/>
              <w:right w:w="15" w:type="dxa"/>
            </w:tcMar>
            <w:vAlign w:val="center"/>
            <w:hideMark/>
          </w:tcPr>
          <w:p w14:paraId="02819F89"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($/kW-</w:t>
            </w:r>
            <w:proofErr w:type="spellStart"/>
            <w:r w:rsidRPr="00246630">
              <w:rPr>
                <w:rFonts w:eastAsia="Times New Roman" w:cs="Arial"/>
                <w:color w:val="000000"/>
              </w:rPr>
              <w:t>yr</w:t>
            </w:r>
            <w:proofErr w:type="spellEnd"/>
            <w:r w:rsidRPr="00246630">
              <w:rPr>
                <w:rFonts w:eastAsia="Times New Roman" w:cs="Arial"/>
                <w:color w:val="000000"/>
              </w:rPr>
              <w:t>)</w:t>
            </w:r>
          </w:p>
        </w:tc>
        <w:tc>
          <w:tcPr>
            <w:tcW w:w="1560" w:type="dxa"/>
            <w:shd w:val="clear" w:color="auto" w:fill="auto"/>
            <w:tcMar>
              <w:top w:w="15" w:type="dxa"/>
              <w:left w:w="15" w:type="dxa"/>
              <w:bottom w:w="0" w:type="dxa"/>
              <w:right w:w="15" w:type="dxa"/>
            </w:tcMar>
            <w:vAlign w:val="center"/>
            <w:hideMark/>
          </w:tcPr>
          <w:p w14:paraId="41D1FCD2" w14:textId="77777777" w:rsidR="002E5E90" w:rsidRPr="00246630" w:rsidRDefault="002E5E90" w:rsidP="009A50F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 xml:space="preserve">93.5 </w:t>
            </w:r>
          </w:p>
        </w:tc>
      </w:tr>
    </w:tbl>
    <w:p w14:paraId="03BA7938" w14:textId="5A5DD1E5" w:rsidR="004B58AD" w:rsidRPr="00165615" w:rsidRDefault="004B58AD" w:rsidP="00E025BC">
      <w:pPr>
        <w:pStyle w:val="BGInsertGraphic"/>
        <w:keepNext/>
        <w:keepLines/>
        <w:tabs>
          <w:tab w:val="left" w:pos="2340"/>
          <w:tab w:val="left" w:pos="2790"/>
        </w:tabs>
        <w:spacing w:before="0"/>
        <w:ind w:left="2340" w:right="1080" w:hanging="270"/>
        <w:jc w:val="both"/>
        <w:rPr>
          <w:rFonts w:ascii="Calibri" w:hAnsi="Calibri" w:cs="Calibri"/>
          <w:color w:val="C00000"/>
          <w:sz w:val="16"/>
        </w:rPr>
      </w:pPr>
      <w:r w:rsidRPr="00165615">
        <w:rPr>
          <w:rFonts w:ascii="Calibri" w:hAnsi="Calibri" w:cs="Calibri"/>
          <w:i/>
          <w:color w:val="C00000"/>
          <w:sz w:val="16"/>
        </w:rPr>
        <w:t xml:space="preserve"> </w:t>
      </w:r>
      <w:r w:rsidR="00E025BC">
        <w:rPr>
          <w:rFonts w:ascii="Calibri" w:hAnsi="Calibri" w:cs="Calibri"/>
          <w:i/>
          <w:color w:val="C00000"/>
          <w:sz w:val="16"/>
        </w:rPr>
        <w:tab/>
      </w:r>
      <w:r w:rsidRPr="00E025BC">
        <w:rPr>
          <w:rFonts w:ascii="Calibri" w:hAnsi="Calibri" w:cs="Calibri"/>
          <w:i/>
          <w:color w:val="auto"/>
          <w:sz w:val="16"/>
        </w:rPr>
        <w:t xml:space="preserve">Sources and Notes: </w:t>
      </w:r>
      <w:r w:rsidRPr="00E025BC">
        <w:rPr>
          <w:rFonts w:ascii="Calibri" w:hAnsi="Calibri" w:cs="Calibri"/>
          <w:color w:val="auto"/>
          <w:sz w:val="16"/>
        </w:rPr>
        <w:t>Based on ambient conditions of 92°F Max. Summer (55.5% Humidity).</w:t>
      </w:r>
      <w:r w:rsidRPr="00E025BC">
        <w:rPr>
          <w:rFonts w:ascii="Calibri" w:hAnsi="Calibri" w:cs="Calibri"/>
          <w:color w:val="auto"/>
        </w:rPr>
        <w:t xml:space="preserve"> </w:t>
      </w:r>
    </w:p>
    <w:p w14:paraId="23C91A3C" w14:textId="0FDD08E3" w:rsidR="004B58AD" w:rsidRDefault="004B58AD" w:rsidP="004B58AD">
      <w:pPr>
        <w:pStyle w:val="BGNormal125"/>
        <w:rPr>
          <w:rFonts w:ascii="Calibri" w:hAnsi="Calibri" w:cs="Calibri"/>
          <w:color w:val="auto"/>
          <w:sz w:val="22"/>
          <w:szCs w:val="22"/>
        </w:rPr>
      </w:pPr>
      <w:r w:rsidRPr="00A43F58">
        <w:rPr>
          <w:rFonts w:ascii="Calibri" w:hAnsi="Calibri" w:cs="Calibri"/>
          <w:color w:val="auto"/>
          <w:sz w:val="22"/>
          <w:szCs w:val="22"/>
        </w:rPr>
        <w:t>On the demand side, this study starts with ERCOT’s peak load forecast for 202</w:t>
      </w:r>
      <w:r w:rsidR="00A43F58" w:rsidRPr="00A43F58">
        <w:rPr>
          <w:rFonts w:ascii="Calibri" w:hAnsi="Calibri" w:cs="Calibri"/>
          <w:color w:val="auto"/>
          <w:sz w:val="22"/>
          <w:szCs w:val="22"/>
        </w:rPr>
        <w:t>4</w:t>
      </w:r>
      <w:r w:rsidRPr="00A43F58">
        <w:rPr>
          <w:rFonts w:ascii="Calibri" w:hAnsi="Calibri" w:cs="Calibri"/>
          <w:color w:val="auto"/>
          <w:sz w:val="22"/>
          <w:szCs w:val="22"/>
        </w:rPr>
        <w:t xml:space="preserve">, </w:t>
      </w:r>
      <w:r w:rsidR="00CC13E6">
        <w:rPr>
          <w:rFonts w:ascii="Calibri" w:hAnsi="Calibri" w:cs="Calibri"/>
          <w:color w:val="auto"/>
          <w:sz w:val="22"/>
          <w:szCs w:val="22"/>
        </w:rPr>
        <w:t>and</w:t>
      </w:r>
      <w:r w:rsidRPr="00A43F58">
        <w:rPr>
          <w:rFonts w:ascii="Calibri" w:hAnsi="Calibri" w:cs="Calibri"/>
          <w:color w:val="auto"/>
          <w:sz w:val="22"/>
          <w:szCs w:val="22"/>
        </w:rPr>
        <w:t xml:space="preserve"> then </w:t>
      </w:r>
      <w:r w:rsidR="00CC13E6">
        <w:rPr>
          <w:rFonts w:ascii="Calibri" w:hAnsi="Calibri" w:cs="Calibri"/>
          <w:color w:val="auto"/>
          <w:sz w:val="22"/>
          <w:szCs w:val="22"/>
        </w:rPr>
        <w:t>uses</w:t>
      </w:r>
      <w:r w:rsidRPr="00A43F58">
        <w:rPr>
          <w:rFonts w:ascii="Calibri" w:hAnsi="Calibri" w:cs="Calibri"/>
          <w:color w:val="auto"/>
          <w:sz w:val="22"/>
          <w:szCs w:val="22"/>
        </w:rPr>
        <w:t xml:space="preserve"> hourly shapes under many possible weather patterns.  We simulate each of </w:t>
      </w:r>
      <w:r w:rsidR="00A43F58" w:rsidRPr="00A43F58">
        <w:rPr>
          <w:rFonts w:ascii="Calibri" w:hAnsi="Calibri" w:cs="Calibri"/>
          <w:color w:val="auto"/>
          <w:sz w:val="22"/>
          <w:szCs w:val="22"/>
        </w:rPr>
        <w:t>40</w:t>
      </w:r>
      <w:r w:rsidRPr="00A43F58">
        <w:rPr>
          <w:rFonts w:ascii="Calibri" w:hAnsi="Calibri" w:cs="Calibri"/>
          <w:color w:val="auto"/>
          <w:sz w:val="22"/>
          <w:szCs w:val="22"/>
        </w:rPr>
        <w:t xml:space="preserve"> weather years, from 1980 through 201</w:t>
      </w:r>
      <w:r w:rsidR="00A43F58" w:rsidRPr="00A43F58">
        <w:rPr>
          <w:rFonts w:ascii="Calibri" w:hAnsi="Calibri" w:cs="Calibri"/>
          <w:color w:val="auto"/>
          <w:sz w:val="22"/>
          <w:szCs w:val="22"/>
        </w:rPr>
        <w:t>9</w:t>
      </w:r>
      <w:r w:rsidRPr="00A43F58">
        <w:rPr>
          <w:rFonts w:ascii="Calibri" w:hAnsi="Calibri" w:cs="Calibri"/>
          <w:color w:val="auto"/>
          <w:sz w:val="22"/>
          <w:szCs w:val="22"/>
        </w:rPr>
        <w:t xml:space="preserve"> (with corresponding wind and solar conditions from the same years).  When calculating expected values, we assume </w:t>
      </w:r>
      <w:r w:rsidR="00B35A91">
        <w:rPr>
          <w:rFonts w:ascii="Calibri" w:hAnsi="Calibri" w:cs="Calibri"/>
          <w:color w:val="auto"/>
          <w:sz w:val="22"/>
          <w:szCs w:val="22"/>
        </w:rPr>
        <w:t xml:space="preserve">an </w:t>
      </w:r>
      <w:r w:rsidRPr="00A43F58">
        <w:rPr>
          <w:rFonts w:ascii="Calibri" w:hAnsi="Calibri" w:cs="Calibri"/>
          <w:color w:val="auto"/>
          <w:sz w:val="22"/>
          <w:szCs w:val="22"/>
        </w:rPr>
        <w:t>equal probabilit</w:t>
      </w:r>
      <w:r w:rsidR="00B35A91">
        <w:rPr>
          <w:rFonts w:ascii="Calibri" w:hAnsi="Calibri" w:cs="Calibri"/>
          <w:color w:val="auto"/>
          <w:sz w:val="22"/>
          <w:szCs w:val="22"/>
        </w:rPr>
        <w:t xml:space="preserve">y for </w:t>
      </w:r>
      <w:r w:rsidRPr="00A43F58">
        <w:rPr>
          <w:rFonts w:ascii="Calibri" w:hAnsi="Calibri" w:cs="Calibri"/>
          <w:color w:val="auto"/>
          <w:sz w:val="22"/>
          <w:szCs w:val="22"/>
        </w:rPr>
        <w:t>each year’s weather.  Applying</w:t>
      </w:r>
      <w:r w:rsidRPr="00A43F58" w:rsidDel="00465FC1">
        <w:rPr>
          <w:rFonts w:ascii="Calibri" w:hAnsi="Calibri" w:cs="Calibri"/>
          <w:color w:val="auto"/>
          <w:sz w:val="22"/>
          <w:szCs w:val="22"/>
        </w:rPr>
        <w:t xml:space="preserve"> </w:t>
      </w:r>
      <w:r w:rsidRPr="00A43F58" w:rsidDel="006F1B99">
        <w:rPr>
          <w:rFonts w:ascii="Calibri" w:hAnsi="Calibri" w:cs="Calibri"/>
          <w:color w:val="auto"/>
          <w:sz w:val="22"/>
          <w:szCs w:val="22"/>
        </w:rPr>
        <w:t>e</w:t>
      </w:r>
      <w:r w:rsidRPr="00A43F58">
        <w:rPr>
          <w:rFonts w:ascii="Calibri" w:hAnsi="Calibri" w:cs="Calibri"/>
          <w:color w:val="auto"/>
          <w:sz w:val="22"/>
          <w:szCs w:val="22"/>
        </w:rPr>
        <w:t xml:space="preserve">qual probabilities is reasonable given that so many years can be taken to be fairly representative of the underlying distribution, assuming there is not a trend in the average weather or in the variability of weather.  (Other possibilities are considered in the Section </w:t>
      </w:r>
      <w:r w:rsidRPr="00A43F58">
        <w:rPr>
          <w:rFonts w:ascii="Calibri" w:hAnsi="Calibri" w:cs="Calibri"/>
          <w:color w:val="auto"/>
          <w:sz w:val="22"/>
          <w:szCs w:val="22"/>
        </w:rPr>
        <w:fldChar w:fldCharType="begin"/>
      </w:r>
      <w:r w:rsidRPr="00A43F58">
        <w:rPr>
          <w:rFonts w:ascii="Calibri" w:hAnsi="Calibri" w:cs="Calibri"/>
          <w:color w:val="auto"/>
          <w:sz w:val="22"/>
          <w:szCs w:val="22"/>
        </w:rPr>
        <w:instrText xml:space="preserve"> REF _Ref525937596 \w \h </w:instrText>
      </w:r>
      <w:r w:rsidR="00165615" w:rsidRPr="00A43F58">
        <w:rPr>
          <w:rFonts w:ascii="Calibri" w:hAnsi="Calibri" w:cs="Calibri"/>
          <w:color w:val="auto"/>
          <w:sz w:val="22"/>
          <w:szCs w:val="22"/>
        </w:rPr>
        <w:instrText xml:space="preserve"> \* MERGEFORMAT </w:instrText>
      </w:r>
      <w:r w:rsidRPr="00A43F58">
        <w:rPr>
          <w:rFonts w:ascii="Calibri" w:hAnsi="Calibri" w:cs="Calibri"/>
          <w:color w:val="auto"/>
          <w:sz w:val="22"/>
          <w:szCs w:val="22"/>
        </w:rPr>
      </w:r>
      <w:r w:rsidRPr="00A43F58">
        <w:rPr>
          <w:rFonts w:ascii="Calibri" w:hAnsi="Calibri" w:cs="Calibri"/>
          <w:color w:val="auto"/>
          <w:sz w:val="22"/>
          <w:szCs w:val="22"/>
        </w:rPr>
        <w:fldChar w:fldCharType="separate"/>
      </w:r>
      <w:r w:rsidRPr="00A43F58">
        <w:rPr>
          <w:rFonts w:ascii="Calibri" w:hAnsi="Calibri" w:cs="Calibri"/>
          <w:color w:val="auto"/>
          <w:sz w:val="22"/>
          <w:szCs w:val="22"/>
        </w:rPr>
        <w:t>III.D.</w:t>
      </w:r>
      <w:r w:rsidRPr="00A43F58">
        <w:rPr>
          <w:rFonts w:ascii="Calibri" w:hAnsi="Calibri" w:cs="Calibri"/>
          <w:color w:val="auto"/>
          <w:sz w:val="22"/>
          <w:szCs w:val="22"/>
        </w:rPr>
        <w:fldChar w:fldCharType="end"/>
      </w:r>
      <w:r w:rsidR="00F03118">
        <w:rPr>
          <w:rFonts w:ascii="Calibri" w:hAnsi="Calibri" w:cs="Calibri"/>
          <w:color w:val="auto"/>
          <w:sz w:val="22"/>
          <w:szCs w:val="22"/>
        </w:rPr>
        <w:t>5</w:t>
      </w:r>
      <w:r w:rsidRPr="00A43F58">
        <w:rPr>
          <w:rFonts w:ascii="Calibri" w:hAnsi="Calibri" w:cs="Calibri"/>
          <w:color w:val="auto"/>
          <w:sz w:val="22"/>
          <w:szCs w:val="22"/>
        </w:rPr>
        <w:t xml:space="preserve">. below.)  </w:t>
      </w:r>
    </w:p>
    <w:p w14:paraId="3689FAF4" w14:textId="6E131DC4" w:rsidR="00DA56F7" w:rsidRPr="00D657DB" w:rsidRDefault="00517625" w:rsidP="00DA56F7">
      <w:pPr>
        <w:pStyle w:val="Heading2"/>
        <w:numPr>
          <w:ilvl w:val="0"/>
          <w:numId w:val="25"/>
        </w:numPr>
      </w:pPr>
      <w:bookmarkStart w:id="43" w:name="_Toc57193555"/>
      <w:r>
        <w:t>Renewable Accounting</w:t>
      </w:r>
      <w:bookmarkEnd w:id="43"/>
    </w:p>
    <w:p w14:paraId="6D1915C7" w14:textId="04620377" w:rsidR="00FC2C1C" w:rsidRDefault="00DA56F7" w:rsidP="00DA56F7">
      <w:pPr>
        <w:pStyle w:val="BGNormal125"/>
        <w:rPr>
          <w:rFonts w:ascii="Calibri" w:hAnsi="Calibri" w:cs="Calibri"/>
          <w:color w:val="auto"/>
          <w:sz w:val="22"/>
          <w:szCs w:val="22"/>
        </w:rPr>
      </w:pPr>
      <w:r>
        <w:rPr>
          <w:rFonts w:ascii="Calibri" w:hAnsi="Calibri" w:cs="Calibri"/>
          <w:color w:val="auto"/>
          <w:sz w:val="22"/>
          <w:szCs w:val="22"/>
        </w:rPr>
        <w:t xml:space="preserve">The </w:t>
      </w:r>
      <w:r w:rsidR="000740A4">
        <w:rPr>
          <w:rFonts w:ascii="Calibri" w:hAnsi="Calibri" w:cs="Calibri"/>
          <w:color w:val="auto"/>
          <w:sz w:val="22"/>
          <w:szCs w:val="22"/>
        </w:rPr>
        <w:t xml:space="preserve">CDR </w:t>
      </w:r>
      <w:r>
        <w:rPr>
          <w:rFonts w:ascii="Calibri" w:hAnsi="Calibri" w:cs="Calibri"/>
          <w:color w:val="auto"/>
          <w:sz w:val="22"/>
          <w:szCs w:val="22"/>
        </w:rPr>
        <w:t xml:space="preserve">methodology </w:t>
      </w:r>
      <w:r w:rsidR="001D663B">
        <w:rPr>
          <w:rFonts w:ascii="Calibri" w:hAnsi="Calibri" w:cs="Calibri"/>
          <w:color w:val="auto"/>
          <w:sz w:val="22"/>
          <w:szCs w:val="22"/>
        </w:rPr>
        <w:t>used</w:t>
      </w:r>
      <w:r>
        <w:rPr>
          <w:rFonts w:ascii="Calibri" w:hAnsi="Calibri" w:cs="Calibri"/>
          <w:color w:val="auto"/>
          <w:sz w:val="22"/>
          <w:szCs w:val="22"/>
        </w:rPr>
        <w:t xml:space="preserve"> </w:t>
      </w:r>
      <w:r w:rsidR="001D663B">
        <w:rPr>
          <w:rFonts w:ascii="Calibri" w:hAnsi="Calibri" w:cs="Calibri"/>
          <w:color w:val="auto"/>
          <w:sz w:val="22"/>
          <w:szCs w:val="22"/>
        </w:rPr>
        <w:t>for</w:t>
      </w:r>
      <w:r>
        <w:rPr>
          <w:rFonts w:ascii="Calibri" w:hAnsi="Calibri" w:cs="Calibri"/>
          <w:color w:val="auto"/>
          <w:sz w:val="22"/>
          <w:szCs w:val="22"/>
        </w:rPr>
        <w:t xml:space="preserve"> determining </w:t>
      </w:r>
      <w:r w:rsidR="00F90E29">
        <w:rPr>
          <w:rFonts w:ascii="Calibri" w:hAnsi="Calibri" w:cs="Calibri"/>
          <w:color w:val="auto"/>
          <w:sz w:val="22"/>
          <w:szCs w:val="22"/>
        </w:rPr>
        <w:t xml:space="preserve">the </w:t>
      </w:r>
      <w:r>
        <w:rPr>
          <w:rFonts w:ascii="Calibri" w:hAnsi="Calibri" w:cs="Calibri"/>
          <w:color w:val="auto"/>
          <w:sz w:val="22"/>
          <w:szCs w:val="22"/>
        </w:rPr>
        <w:t xml:space="preserve">renewable capacity contribution </w:t>
      </w:r>
      <w:r w:rsidR="00FC2C1C">
        <w:rPr>
          <w:rFonts w:ascii="Calibri" w:hAnsi="Calibri" w:cs="Calibri"/>
          <w:color w:val="auto"/>
          <w:sz w:val="22"/>
          <w:szCs w:val="22"/>
        </w:rPr>
        <w:t>is calculated by the following process:</w:t>
      </w:r>
      <w:r>
        <w:rPr>
          <w:rFonts w:ascii="Calibri" w:hAnsi="Calibri" w:cs="Calibri"/>
          <w:color w:val="auto"/>
          <w:sz w:val="22"/>
          <w:szCs w:val="22"/>
        </w:rPr>
        <w:t xml:space="preserve"> </w:t>
      </w:r>
    </w:p>
    <w:p w14:paraId="1E5E79BF" w14:textId="430A4B04" w:rsidR="00FC2C1C" w:rsidRDefault="00FC2C1C" w:rsidP="007F43F1">
      <w:pPr>
        <w:pStyle w:val="BGNormal125"/>
        <w:numPr>
          <w:ilvl w:val="0"/>
          <w:numId w:val="31"/>
        </w:numPr>
        <w:rPr>
          <w:rFonts w:ascii="Calibri" w:hAnsi="Calibri" w:cs="Calibri"/>
          <w:color w:val="auto"/>
          <w:sz w:val="22"/>
          <w:szCs w:val="22"/>
        </w:rPr>
      </w:pPr>
      <w:r>
        <w:rPr>
          <w:rFonts w:ascii="Calibri" w:hAnsi="Calibri" w:cs="Calibri"/>
          <w:color w:val="auto"/>
          <w:sz w:val="22"/>
          <w:szCs w:val="22"/>
        </w:rPr>
        <w:t xml:space="preserve">Wind Capacity Contribution Values: Values are calculated for three zones--Coastal, Panhandle, and Other—based on average telemetered dispatch limits (HSLs) during the highest 20 seasonal peak load hours for each season for each of the last ten years (2010-2019). They are re-calculated after each season with the new seasonal historical data. In addition to including a new Panhandle zone for calculating contribution values, another change introduced in 2019 was to use weighted averaging </w:t>
      </w:r>
      <w:r w:rsidR="00347770">
        <w:rPr>
          <w:rFonts w:ascii="Calibri" w:hAnsi="Calibri" w:cs="Calibri"/>
          <w:color w:val="auto"/>
          <w:sz w:val="22"/>
          <w:szCs w:val="22"/>
        </w:rPr>
        <w:t>of the historical seasonal nameplate capacities. This approach reduces the influence of older wind turbine technologies installed in the earlier years of the estimation period, and thereby increased the contribution values relative to the ones based on the original methodology.</w:t>
      </w:r>
    </w:p>
    <w:p w14:paraId="3D932ED7" w14:textId="78DA1F5D" w:rsidR="00347770" w:rsidRDefault="00347770" w:rsidP="00724DF6">
      <w:pPr>
        <w:pStyle w:val="BGNormal125"/>
        <w:numPr>
          <w:ilvl w:val="0"/>
          <w:numId w:val="31"/>
        </w:numPr>
        <w:rPr>
          <w:rFonts w:ascii="Calibri" w:hAnsi="Calibri" w:cs="Calibri"/>
          <w:color w:val="auto"/>
          <w:sz w:val="22"/>
          <w:szCs w:val="22"/>
        </w:rPr>
      </w:pPr>
      <w:r>
        <w:rPr>
          <w:rFonts w:ascii="Calibri" w:hAnsi="Calibri" w:cs="Calibri"/>
          <w:color w:val="auto"/>
          <w:sz w:val="22"/>
          <w:szCs w:val="22"/>
        </w:rPr>
        <w:t>Solar Capacity Contribution Values: Values are based on average telemetered HSLs during the highest 20 seasonal peak load hours for each season for each of the last three years (2017-2019). They are re-calculated after each season with new seasonal historical data. Weighted-averaging of the seasonal nameplate capacities is also applied to the solar contribution values.</w:t>
      </w:r>
    </w:p>
    <w:p w14:paraId="519150BC" w14:textId="60B3D606" w:rsidR="00DA56F7" w:rsidRDefault="00DA56F7" w:rsidP="00077409">
      <w:pPr>
        <w:pStyle w:val="BGNormal125"/>
        <w:spacing w:after="240"/>
        <w:rPr>
          <w:rFonts w:ascii="Calibri" w:hAnsi="Calibri" w:cs="Calibri"/>
          <w:color w:val="auto"/>
          <w:sz w:val="22"/>
          <w:szCs w:val="22"/>
        </w:rPr>
      </w:pPr>
      <w:r>
        <w:rPr>
          <w:rFonts w:ascii="Calibri" w:hAnsi="Calibri" w:cs="Calibri"/>
          <w:color w:val="auto"/>
          <w:sz w:val="22"/>
          <w:szCs w:val="22"/>
        </w:rPr>
        <w:t xml:space="preserve">However, the value from this calculation will not match the calculated reliability contribution from SERVM simulations for the same resources. Table </w:t>
      </w:r>
      <w:r w:rsidR="003F6A8E">
        <w:rPr>
          <w:rFonts w:ascii="Calibri" w:hAnsi="Calibri" w:cs="Calibri"/>
          <w:color w:val="auto"/>
          <w:sz w:val="22"/>
          <w:szCs w:val="22"/>
        </w:rPr>
        <w:t>3</w:t>
      </w:r>
      <w:r>
        <w:rPr>
          <w:rFonts w:ascii="Calibri" w:hAnsi="Calibri" w:cs="Calibri"/>
          <w:color w:val="auto"/>
          <w:sz w:val="22"/>
          <w:szCs w:val="22"/>
        </w:rPr>
        <w:t xml:space="preserve"> illustrates the </w:t>
      </w:r>
      <w:r w:rsidR="00F90E29">
        <w:rPr>
          <w:rFonts w:ascii="Calibri" w:hAnsi="Calibri" w:cs="Calibri"/>
          <w:color w:val="auto"/>
          <w:sz w:val="22"/>
          <w:szCs w:val="22"/>
        </w:rPr>
        <w:t xml:space="preserve">apparent </w:t>
      </w:r>
      <w:r>
        <w:rPr>
          <w:rFonts w:ascii="Calibri" w:hAnsi="Calibri" w:cs="Calibri"/>
          <w:color w:val="auto"/>
          <w:sz w:val="22"/>
          <w:szCs w:val="22"/>
        </w:rPr>
        <w:t xml:space="preserve">disconnect </w:t>
      </w:r>
      <w:r w:rsidR="00A81B4D">
        <w:rPr>
          <w:rFonts w:ascii="Calibri" w:hAnsi="Calibri" w:cs="Calibri"/>
          <w:color w:val="auto"/>
          <w:sz w:val="22"/>
          <w:szCs w:val="22"/>
        </w:rPr>
        <w:t>between the reported capacity value and the true reliability contribution of renewable resources</w:t>
      </w:r>
      <w:r w:rsidR="00CB3E29">
        <w:rPr>
          <w:rStyle w:val="FootnoteReference"/>
          <w:rFonts w:ascii="Calibri" w:hAnsi="Calibri" w:cs="Calibri"/>
          <w:color w:val="auto"/>
          <w:sz w:val="22"/>
          <w:szCs w:val="22"/>
        </w:rPr>
        <w:footnoteReference w:id="19"/>
      </w:r>
      <w:r w:rsidR="00A81B4D">
        <w:rPr>
          <w:rFonts w:ascii="Calibri" w:hAnsi="Calibri" w:cs="Calibri"/>
          <w:color w:val="auto"/>
          <w:sz w:val="22"/>
          <w:szCs w:val="22"/>
        </w:rPr>
        <w:t>.</w:t>
      </w:r>
    </w:p>
    <w:p w14:paraId="4ED313F6" w14:textId="0C64BD9D" w:rsidR="00DA56F7" w:rsidRPr="00E025BC" w:rsidRDefault="00DA56F7" w:rsidP="00DA56F7">
      <w:pPr>
        <w:pStyle w:val="Caption"/>
        <w:jc w:val="center"/>
        <w:rPr>
          <w:rFonts w:cs="Calibri"/>
          <w:b/>
          <w:bCs/>
          <w:i w:val="0"/>
          <w:iCs w:val="0"/>
          <w:color w:val="auto"/>
          <w:sz w:val="22"/>
          <w:szCs w:val="22"/>
        </w:rPr>
      </w:pPr>
      <w:r w:rsidRPr="00E025BC">
        <w:rPr>
          <w:rFonts w:cs="Calibri"/>
          <w:b/>
          <w:bCs/>
          <w:i w:val="0"/>
          <w:iCs w:val="0"/>
          <w:color w:val="auto"/>
          <w:sz w:val="22"/>
          <w:szCs w:val="22"/>
        </w:rPr>
        <w:t xml:space="preserve">Table </w:t>
      </w:r>
      <w:r w:rsidRPr="00E025BC">
        <w:rPr>
          <w:rFonts w:cs="Calibri"/>
          <w:b/>
          <w:bCs/>
          <w:i w:val="0"/>
          <w:iCs w:val="0"/>
          <w:noProof/>
          <w:color w:val="auto"/>
          <w:sz w:val="22"/>
          <w:szCs w:val="22"/>
        </w:rPr>
        <w:fldChar w:fldCharType="begin"/>
      </w:r>
      <w:r w:rsidRPr="00E025BC">
        <w:rPr>
          <w:rFonts w:cs="Calibri"/>
          <w:b/>
          <w:bCs/>
          <w:i w:val="0"/>
          <w:iCs w:val="0"/>
          <w:noProof/>
          <w:color w:val="auto"/>
          <w:sz w:val="22"/>
          <w:szCs w:val="22"/>
        </w:rPr>
        <w:instrText xml:space="preserve"> SEQ Table \* ARABIC </w:instrText>
      </w:r>
      <w:r w:rsidRPr="00E025BC">
        <w:rPr>
          <w:rFonts w:cs="Calibri"/>
          <w:b/>
          <w:bCs/>
          <w:i w:val="0"/>
          <w:iCs w:val="0"/>
          <w:noProof/>
          <w:color w:val="auto"/>
          <w:sz w:val="22"/>
          <w:szCs w:val="22"/>
        </w:rPr>
        <w:fldChar w:fldCharType="separate"/>
      </w:r>
      <w:r w:rsidR="003F6A8E">
        <w:rPr>
          <w:rFonts w:cs="Calibri"/>
          <w:b/>
          <w:bCs/>
          <w:i w:val="0"/>
          <w:iCs w:val="0"/>
          <w:noProof/>
          <w:color w:val="auto"/>
          <w:sz w:val="22"/>
          <w:szCs w:val="22"/>
        </w:rPr>
        <w:t>3</w:t>
      </w:r>
      <w:r w:rsidRPr="00E025BC">
        <w:rPr>
          <w:rFonts w:cs="Calibri"/>
          <w:b/>
          <w:bCs/>
          <w:i w:val="0"/>
          <w:iCs w:val="0"/>
          <w:noProof/>
          <w:color w:val="auto"/>
          <w:sz w:val="22"/>
          <w:szCs w:val="22"/>
        </w:rPr>
        <w:fldChar w:fldCharType="end"/>
      </w:r>
      <w:r w:rsidRPr="00E025BC">
        <w:rPr>
          <w:rFonts w:cs="Calibri"/>
          <w:b/>
          <w:bCs/>
          <w:i w:val="0"/>
          <w:iCs w:val="0"/>
          <w:noProof/>
          <w:color w:val="auto"/>
          <w:sz w:val="22"/>
          <w:szCs w:val="22"/>
        </w:rPr>
        <w:t xml:space="preserve">. </w:t>
      </w:r>
      <w:r w:rsidR="005E7DDD">
        <w:rPr>
          <w:rFonts w:cs="Calibri"/>
          <w:b/>
          <w:bCs/>
          <w:i w:val="0"/>
          <w:iCs w:val="0"/>
          <w:noProof/>
          <w:color w:val="auto"/>
          <w:sz w:val="22"/>
          <w:szCs w:val="22"/>
        </w:rPr>
        <w:t xml:space="preserve">Potential ELCC Methods: </w:t>
      </w:r>
      <w:r>
        <w:rPr>
          <w:rFonts w:cs="Calibri"/>
          <w:b/>
          <w:bCs/>
          <w:i w:val="0"/>
          <w:iCs w:val="0"/>
          <w:color w:val="auto"/>
          <w:sz w:val="22"/>
          <w:szCs w:val="22"/>
        </w:rPr>
        <w:t xml:space="preserve">Average Output </w:t>
      </w:r>
      <w:r w:rsidR="005E7DDD">
        <w:rPr>
          <w:rFonts w:cs="Calibri"/>
          <w:b/>
          <w:bCs/>
          <w:i w:val="0"/>
          <w:iCs w:val="0"/>
          <w:color w:val="auto"/>
          <w:sz w:val="22"/>
          <w:szCs w:val="22"/>
        </w:rPr>
        <w:t>Versus</w:t>
      </w:r>
      <w:r>
        <w:rPr>
          <w:rFonts w:cs="Calibri"/>
          <w:b/>
          <w:bCs/>
          <w:i w:val="0"/>
          <w:iCs w:val="0"/>
          <w:color w:val="auto"/>
          <w:sz w:val="22"/>
          <w:szCs w:val="22"/>
        </w:rPr>
        <w:t xml:space="preserve"> </w:t>
      </w:r>
      <w:r w:rsidR="00CB3E29">
        <w:rPr>
          <w:rFonts w:cs="Calibri"/>
          <w:b/>
          <w:bCs/>
          <w:i w:val="0"/>
          <w:iCs w:val="0"/>
          <w:color w:val="auto"/>
          <w:sz w:val="22"/>
          <w:szCs w:val="22"/>
        </w:rPr>
        <w:t xml:space="preserve">Peak </w:t>
      </w:r>
      <w:r>
        <w:rPr>
          <w:rFonts w:cs="Calibri"/>
          <w:b/>
          <w:bCs/>
          <w:i w:val="0"/>
          <w:iCs w:val="0"/>
          <w:color w:val="auto"/>
          <w:sz w:val="22"/>
          <w:szCs w:val="22"/>
        </w:rPr>
        <w:t xml:space="preserve">Net Load Reduction </w:t>
      </w:r>
    </w:p>
    <w:tbl>
      <w:tblPr>
        <w:tblW w:w="5000" w:type="pct"/>
        <w:tblCellMar>
          <w:left w:w="0" w:type="dxa"/>
          <w:right w:w="0" w:type="dxa"/>
        </w:tblCellMar>
        <w:tblLook w:val="0600" w:firstRow="0" w:lastRow="0" w:firstColumn="0" w:lastColumn="0" w:noHBand="1" w:noVBand="1"/>
      </w:tblPr>
      <w:tblGrid>
        <w:gridCol w:w="1019"/>
        <w:gridCol w:w="2024"/>
        <w:gridCol w:w="2024"/>
        <w:gridCol w:w="247"/>
        <w:gridCol w:w="2024"/>
        <w:gridCol w:w="2022"/>
      </w:tblGrid>
      <w:tr w:rsidR="00DA56F7" w:rsidRPr="006E164E" w14:paraId="163D9320" w14:textId="77777777" w:rsidTr="00342297">
        <w:trPr>
          <w:trHeight w:val="300"/>
        </w:trPr>
        <w:tc>
          <w:tcPr>
            <w:tcW w:w="545"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2B1B224"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 </w:t>
            </w:r>
          </w:p>
        </w:tc>
        <w:tc>
          <w:tcPr>
            <w:tcW w:w="2161"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60BC686"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Wind</w:t>
            </w:r>
          </w:p>
        </w:tc>
        <w:tc>
          <w:tcPr>
            <w:tcW w:w="13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CCBEC67" w14:textId="77777777" w:rsidR="00DA56F7" w:rsidRPr="006E164E" w:rsidRDefault="00DA56F7" w:rsidP="00342297">
            <w:pPr>
              <w:spacing w:after="0" w:line="240" w:lineRule="auto"/>
              <w:rPr>
                <w:rFonts w:eastAsia="Times New Roman" w:cs="Calibri"/>
                <w:kern w:val="0"/>
              </w:rPr>
            </w:pPr>
          </w:p>
        </w:tc>
        <w:tc>
          <w:tcPr>
            <w:tcW w:w="2161"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639109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Solar</w:t>
            </w:r>
          </w:p>
        </w:tc>
      </w:tr>
      <w:tr w:rsidR="00DA56F7" w:rsidRPr="006E164E" w14:paraId="65144E67" w14:textId="77777777" w:rsidTr="00342297">
        <w:trPr>
          <w:trHeight w:val="600"/>
        </w:trPr>
        <w:tc>
          <w:tcPr>
            <w:tcW w:w="545"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341DD2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 </w:t>
            </w: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20CF348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Avg Output During Top 20 Load Hours</w:t>
            </w:r>
            <w:r>
              <w:rPr>
                <w:rFonts w:eastAsia="Times New Roman" w:cs="Calibri"/>
                <w:b/>
                <w:bCs/>
                <w:color w:val="000000"/>
              </w:rPr>
              <w:t xml:space="preserve"> (ERCOT Accounting Method)</w:t>
            </w: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81E304C" w14:textId="087AEA58" w:rsidR="00DA56F7" w:rsidRPr="006E164E" w:rsidRDefault="00CB3E29" w:rsidP="00F90E29">
            <w:pPr>
              <w:spacing w:after="0" w:line="240" w:lineRule="auto"/>
              <w:jc w:val="center"/>
              <w:textAlignment w:val="bottom"/>
              <w:rPr>
                <w:rFonts w:eastAsia="Times New Roman" w:cs="Calibri"/>
                <w:kern w:val="0"/>
              </w:rPr>
            </w:pPr>
            <w:r>
              <w:rPr>
                <w:rFonts w:eastAsia="Times New Roman" w:cs="Calibri"/>
                <w:b/>
                <w:bCs/>
                <w:color w:val="000000"/>
              </w:rPr>
              <w:t xml:space="preserve">Peak </w:t>
            </w:r>
            <w:r w:rsidR="00DA56F7" w:rsidRPr="006E164E">
              <w:rPr>
                <w:rFonts w:eastAsia="Times New Roman" w:cs="Calibri"/>
                <w:b/>
                <w:bCs/>
                <w:color w:val="000000"/>
              </w:rPr>
              <w:t>Net Load Reduction</w:t>
            </w:r>
            <w:r w:rsidR="00DA56F7">
              <w:rPr>
                <w:rFonts w:eastAsia="Times New Roman" w:cs="Calibri"/>
                <w:b/>
                <w:bCs/>
                <w:color w:val="000000"/>
              </w:rPr>
              <w:t xml:space="preserve"> (</w:t>
            </w:r>
            <w:r w:rsidR="00F90E29">
              <w:rPr>
                <w:rFonts w:eastAsia="Times New Roman" w:cs="Calibri"/>
                <w:b/>
                <w:bCs/>
                <w:color w:val="000000"/>
              </w:rPr>
              <w:t>Modeled</w:t>
            </w:r>
            <w:r w:rsidR="00DA56F7">
              <w:rPr>
                <w:rFonts w:eastAsia="Times New Roman" w:cs="Calibri"/>
                <w:b/>
                <w:bCs/>
                <w:color w:val="000000"/>
              </w:rPr>
              <w:t xml:space="preserve"> Reliability Contribution)</w:t>
            </w:r>
          </w:p>
        </w:tc>
        <w:tc>
          <w:tcPr>
            <w:tcW w:w="132"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92FC1FA" w14:textId="77777777" w:rsidR="00DA56F7" w:rsidRPr="006E164E" w:rsidRDefault="00DA56F7" w:rsidP="00342297">
            <w:pPr>
              <w:spacing w:after="0" w:line="240" w:lineRule="auto"/>
              <w:rPr>
                <w:rFonts w:eastAsia="Times New Roman" w:cs="Calibri"/>
                <w:kern w:val="0"/>
              </w:rPr>
            </w:pP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48318304"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Avg Output During Top 20 Load Hours</w:t>
            </w:r>
            <w:r>
              <w:rPr>
                <w:rFonts w:eastAsia="Times New Roman" w:cs="Calibri"/>
                <w:b/>
                <w:bCs/>
                <w:color w:val="000000"/>
              </w:rPr>
              <w:t xml:space="preserve"> (ERCOT Accounting Method)</w:t>
            </w: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2E7BF936" w14:textId="6E7CD675" w:rsidR="00DA56F7" w:rsidRPr="006E164E" w:rsidRDefault="00CB3E29" w:rsidP="00F2602D">
            <w:pPr>
              <w:spacing w:after="0" w:line="240" w:lineRule="auto"/>
              <w:jc w:val="center"/>
              <w:textAlignment w:val="bottom"/>
              <w:rPr>
                <w:rFonts w:eastAsia="Times New Roman" w:cs="Calibri"/>
                <w:kern w:val="0"/>
              </w:rPr>
            </w:pPr>
            <w:r>
              <w:rPr>
                <w:rFonts w:eastAsia="Times New Roman" w:cs="Calibri"/>
                <w:b/>
                <w:bCs/>
                <w:color w:val="000000"/>
              </w:rPr>
              <w:t xml:space="preserve">Peak </w:t>
            </w:r>
            <w:r w:rsidR="00DA56F7" w:rsidRPr="006E164E">
              <w:rPr>
                <w:rFonts w:eastAsia="Times New Roman" w:cs="Calibri"/>
                <w:b/>
                <w:bCs/>
                <w:color w:val="000000"/>
              </w:rPr>
              <w:t>Net Load Reduction</w:t>
            </w:r>
            <w:r w:rsidR="00DA56F7">
              <w:rPr>
                <w:rFonts w:eastAsia="Times New Roman" w:cs="Calibri"/>
                <w:b/>
                <w:bCs/>
                <w:color w:val="000000"/>
              </w:rPr>
              <w:t xml:space="preserve"> (</w:t>
            </w:r>
            <w:r w:rsidR="00F2602D">
              <w:rPr>
                <w:rFonts w:eastAsia="Times New Roman" w:cs="Calibri"/>
                <w:b/>
                <w:bCs/>
                <w:color w:val="000000"/>
              </w:rPr>
              <w:t>Modeled</w:t>
            </w:r>
            <w:r w:rsidR="00DA56F7">
              <w:rPr>
                <w:rFonts w:eastAsia="Times New Roman" w:cs="Calibri"/>
                <w:b/>
                <w:bCs/>
                <w:color w:val="000000"/>
              </w:rPr>
              <w:t xml:space="preserve"> Reliability Contribution)</w:t>
            </w:r>
          </w:p>
        </w:tc>
      </w:tr>
      <w:tr w:rsidR="00DA56F7" w:rsidRPr="006E164E" w14:paraId="4912DBB0" w14:textId="77777777" w:rsidTr="00342297">
        <w:trPr>
          <w:trHeight w:val="300"/>
        </w:trPr>
        <w:tc>
          <w:tcPr>
            <w:tcW w:w="545"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5710B1B0"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2010</w:t>
            </w: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367D98D6"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12%</w:t>
            </w: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0B5D12CD"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8%</w:t>
            </w:r>
          </w:p>
        </w:tc>
        <w:tc>
          <w:tcPr>
            <w:tcW w:w="132"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0CA6F9C6" w14:textId="77777777" w:rsidR="00DA56F7" w:rsidRPr="006E164E" w:rsidRDefault="00DA56F7" w:rsidP="00342297">
            <w:pPr>
              <w:spacing w:after="0" w:line="240" w:lineRule="auto"/>
              <w:rPr>
                <w:rFonts w:eastAsia="Times New Roman" w:cs="Calibri"/>
                <w:kern w:val="0"/>
              </w:rPr>
            </w:pP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7CC8D65A"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78%</w:t>
            </w: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3FD42817"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75%</w:t>
            </w:r>
          </w:p>
        </w:tc>
      </w:tr>
      <w:tr w:rsidR="00DA56F7" w:rsidRPr="006E164E" w14:paraId="212B9EA3" w14:textId="77777777" w:rsidTr="00342297">
        <w:trPr>
          <w:trHeight w:val="300"/>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7382C6E7"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2011</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B156F3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24%</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0057C4E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12%</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422AAA5D"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9D68BB3"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83%</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36BA390E"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72%</w:t>
            </w:r>
          </w:p>
        </w:tc>
      </w:tr>
      <w:tr w:rsidR="00DA56F7" w:rsidRPr="006E164E" w14:paraId="1EB1CCAF" w14:textId="77777777" w:rsidTr="00342297">
        <w:trPr>
          <w:trHeight w:val="300"/>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217190C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2012</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1CCD1484"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13%</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0298D217"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6%</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3BC0706E"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60A60F04"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80%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5D9B023D"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72%</w:t>
            </w:r>
          </w:p>
        </w:tc>
      </w:tr>
      <w:tr w:rsidR="00DA56F7" w:rsidRPr="006E164E" w14:paraId="11791E14" w14:textId="77777777" w:rsidTr="00342297">
        <w:trPr>
          <w:trHeight w:val="300"/>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260605FB"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2013</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50202EB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24%</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DAC4B8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13%</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55DBB88A"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69436F41"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82%</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5B100AB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80%</w:t>
            </w:r>
          </w:p>
        </w:tc>
      </w:tr>
      <w:tr w:rsidR="00DA56F7" w:rsidRPr="006E164E" w14:paraId="16C7A565" w14:textId="77777777" w:rsidTr="00342297">
        <w:trPr>
          <w:trHeight w:val="300"/>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6E838CD3"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2014</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47BE774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24%</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70F1FB83"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16%</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0E4AB6F2"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63591A2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80%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6C4E66B9"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68%</w:t>
            </w:r>
          </w:p>
        </w:tc>
      </w:tr>
      <w:tr w:rsidR="00DA56F7" w:rsidRPr="006E164E" w14:paraId="44F1555D" w14:textId="77777777" w:rsidTr="00342297">
        <w:trPr>
          <w:trHeight w:val="300"/>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0420D39C"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2015</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A62B8D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18%</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3859567D"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13%</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5657B92C"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E67BCEC"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81%</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6CC7B82C"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76%</w:t>
            </w:r>
          </w:p>
        </w:tc>
      </w:tr>
      <w:tr w:rsidR="00DA56F7" w:rsidRPr="006E164E" w14:paraId="4E861F07" w14:textId="77777777" w:rsidTr="00342297">
        <w:trPr>
          <w:trHeight w:val="300"/>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7964A17B"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2016</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2493DD94"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30%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57A82DD6"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21%</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69F357FC"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3783584E"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76%</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44DF888B"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71%</w:t>
            </w:r>
          </w:p>
        </w:tc>
      </w:tr>
      <w:tr w:rsidR="00DA56F7" w:rsidRPr="006E164E" w14:paraId="1FEEE78B" w14:textId="77777777" w:rsidTr="00342297">
        <w:trPr>
          <w:trHeight w:val="300"/>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0A6123EA"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2017</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4BAB8FB7"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24%</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0FB532CE"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18%</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356ABBB7"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5AB01BC5"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75%</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31262890"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68%</w:t>
            </w:r>
          </w:p>
        </w:tc>
      </w:tr>
      <w:tr w:rsidR="00DA56F7" w:rsidRPr="006E164E" w14:paraId="5C0FAFC0" w14:textId="77777777" w:rsidTr="00342297">
        <w:trPr>
          <w:trHeight w:val="300"/>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2B35810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2018</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3EA4F3D1"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592A6AD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16%</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4B50E895"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79F7845A"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76%</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279D63F0"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70%</w:t>
            </w:r>
          </w:p>
        </w:tc>
      </w:tr>
      <w:tr w:rsidR="00DA56F7" w:rsidRPr="006E164E" w14:paraId="56E82DA8" w14:textId="77777777" w:rsidTr="00342297">
        <w:trPr>
          <w:trHeight w:val="300"/>
        </w:trPr>
        <w:tc>
          <w:tcPr>
            <w:tcW w:w="545"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0D6301D"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2019</w:t>
            </w: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400C0CC"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27%</w:t>
            </w: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BF11A0A"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16%</w:t>
            </w:r>
          </w:p>
        </w:tc>
        <w:tc>
          <w:tcPr>
            <w:tcW w:w="132"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6B80D9DB" w14:textId="77777777" w:rsidR="00DA56F7" w:rsidRPr="006E164E" w:rsidRDefault="00DA56F7" w:rsidP="00342297">
            <w:pPr>
              <w:spacing w:after="0" w:line="240" w:lineRule="auto"/>
              <w:rPr>
                <w:rFonts w:eastAsia="Times New Roman" w:cs="Calibri"/>
                <w:kern w:val="0"/>
              </w:rPr>
            </w:pP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493299D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79%</w:t>
            </w: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3545EED5"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color w:val="000000"/>
              </w:rPr>
              <w:t>65%</w:t>
            </w:r>
          </w:p>
        </w:tc>
      </w:tr>
      <w:tr w:rsidR="00DA56F7" w:rsidRPr="006E164E" w14:paraId="272E0DEB" w14:textId="77777777" w:rsidTr="00342297">
        <w:trPr>
          <w:trHeight w:val="300"/>
        </w:trPr>
        <w:tc>
          <w:tcPr>
            <w:tcW w:w="545"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42C5C6D"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Average</w:t>
            </w: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4E285A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22%</w:t>
            </w: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12D6EFF"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14%</w:t>
            </w:r>
          </w:p>
        </w:tc>
        <w:tc>
          <w:tcPr>
            <w:tcW w:w="132"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707E9A2" w14:textId="77777777" w:rsidR="00DA56F7" w:rsidRPr="006E164E" w:rsidRDefault="00DA56F7" w:rsidP="00342297">
            <w:pPr>
              <w:spacing w:after="0" w:line="240" w:lineRule="auto"/>
              <w:rPr>
                <w:rFonts w:eastAsia="Times New Roman" w:cs="Calibri"/>
                <w:kern w:val="0"/>
              </w:rPr>
            </w:pP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59A99C9"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79%</w:t>
            </w: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70A74C2" w14:textId="77777777" w:rsidR="00DA56F7" w:rsidRPr="006E164E" w:rsidRDefault="00DA56F7" w:rsidP="00342297">
            <w:pPr>
              <w:spacing w:after="0" w:line="240" w:lineRule="auto"/>
              <w:jc w:val="center"/>
              <w:textAlignment w:val="bottom"/>
              <w:rPr>
                <w:rFonts w:eastAsia="Times New Roman" w:cs="Calibri"/>
                <w:kern w:val="0"/>
              </w:rPr>
            </w:pPr>
            <w:r w:rsidRPr="006E164E">
              <w:rPr>
                <w:rFonts w:eastAsia="Times New Roman" w:cs="Calibri"/>
                <w:b/>
                <w:bCs/>
                <w:color w:val="000000"/>
              </w:rPr>
              <w:t>72%</w:t>
            </w:r>
          </w:p>
        </w:tc>
      </w:tr>
    </w:tbl>
    <w:p w14:paraId="54B958F8" w14:textId="1180B4BC" w:rsidR="00A81B4D" w:rsidRDefault="00DA56F7" w:rsidP="00DA56F7">
      <w:pPr>
        <w:pStyle w:val="BGNormal125"/>
        <w:rPr>
          <w:rFonts w:ascii="Calibri" w:hAnsi="Calibri" w:cs="Calibri"/>
          <w:color w:val="auto"/>
          <w:sz w:val="22"/>
          <w:szCs w:val="22"/>
        </w:rPr>
      </w:pPr>
      <w:r>
        <w:rPr>
          <w:rFonts w:ascii="Calibri" w:hAnsi="Calibri" w:cs="Calibri"/>
          <w:color w:val="auto"/>
          <w:sz w:val="22"/>
          <w:szCs w:val="22"/>
        </w:rPr>
        <w:t xml:space="preserve">This disconnect means that the reserve margin needed to maintain the same reliability will shift. Since the reliability contribution is less than the average output during high gross load hours, the reserve margin will increase. </w:t>
      </w:r>
      <w:r w:rsidR="00A81B4D">
        <w:rPr>
          <w:rFonts w:ascii="Calibri" w:hAnsi="Calibri" w:cs="Calibri"/>
          <w:color w:val="auto"/>
          <w:sz w:val="22"/>
          <w:szCs w:val="22"/>
        </w:rPr>
        <w:t>This disconnect is not new. The 2018 study also used CDR accounting practices, and likewise the renewable capacity credit did not match its reliability contribution either. In order to isolate the impact of the renewable accounting on changes in MERM from the 2018 study to this study</w:t>
      </w:r>
      <w:r>
        <w:rPr>
          <w:rFonts w:ascii="Calibri" w:hAnsi="Calibri" w:cs="Calibri"/>
          <w:color w:val="auto"/>
          <w:sz w:val="22"/>
          <w:szCs w:val="22"/>
        </w:rPr>
        <w:t xml:space="preserve">, only the incremental disconnect is quantified. </w:t>
      </w:r>
    </w:p>
    <w:p w14:paraId="6A1F032D" w14:textId="2E4663EE" w:rsidR="00DA56F7" w:rsidRPr="00077409" w:rsidRDefault="00DA56F7" w:rsidP="004B58AD">
      <w:pPr>
        <w:pStyle w:val="BGNormal125"/>
        <w:rPr>
          <w:rFonts w:ascii="Calibri" w:hAnsi="Calibri" w:cs="Calibri"/>
          <w:color w:val="auto"/>
          <w:sz w:val="22"/>
          <w:szCs w:val="22"/>
        </w:rPr>
      </w:pPr>
      <w:r>
        <w:rPr>
          <w:rFonts w:ascii="Calibri" w:hAnsi="Calibri" w:cs="Calibri"/>
          <w:color w:val="auto"/>
          <w:sz w:val="22"/>
          <w:szCs w:val="22"/>
        </w:rPr>
        <w:t>The magnitude of the incremental disconnect is about 1,800 MW or a 2% increase in reserve margin</w:t>
      </w:r>
      <w:r w:rsidR="00F13808">
        <w:rPr>
          <w:rFonts w:ascii="Calibri" w:hAnsi="Calibri" w:cs="Calibri"/>
          <w:color w:val="auto"/>
          <w:sz w:val="22"/>
          <w:szCs w:val="22"/>
        </w:rPr>
        <w:t>.</w:t>
      </w:r>
      <w:r w:rsidRPr="0030094F">
        <w:rPr>
          <w:rFonts w:ascii="Calibri" w:hAnsi="Calibri" w:cs="Calibri"/>
          <w:sz w:val="22"/>
          <w:szCs w:val="22"/>
          <w:vertAlign w:val="superscript"/>
        </w:rPr>
        <w:footnoteReference w:id="20"/>
      </w:r>
      <w:r>
        <w:rPr>
          <w:rFonts w:ascii="Calibri" w:hAnsi="Calibri" w:cs="Calibri"/>
          <w:color w:val="auto"/>
          <w:sz w:val="22"/>
          <w:szCs w:val="22"/>
        </w:rPr>
        <w:t xml:space="preserve"> Other reserve margin accounting related changes from the 2018 study include the addition of 1,103 MW of battery storage capacity. These resources are not given any capacity credit in CDR accounting, but they provide reliability benefits in the SERVM simulations, offsetting the increase in reserve margin due to renewable penetration. The net impact of the </w:t>
      </w:r>
      <w:r w:rsidR="003B12F0">
        <w:rPr>
          <w:rFonts w:ascii="Calibri" w:hAnsi="Calibri" w:cs="Calibri"/>
          <w:color w:val="auto"/>
          <w:sz w:val="22"/>
          <w:szCs w:val="22"/>
        </w:rPr>
        <w:t xml:space="preserve">resource </w:t>
      </w:r>
      <w:r>
        <w:rPr>
          <w:rFonts w:ascii="Calibri" w:hAnsi="Calibri" w:cs="Calibri"/>
          <w:color w:val="auto"/>
          <w:sz w:val="22"/>
          <w:szCs w:val="22"/>
        </w:rPr>
        <w:t xml:space="preserve">accounting treatment from the 2018 study to this study is an increase in reserve margin of </w:t>
      </w:r>
      <w:r w:rsidR="003B12F0">
        <w:rPr>
          <w:rFonts w:ascii="Calibri" w:hAnsi="Calibri" w:cs="Calibri"/>
          <w:color w:val="auto"/>
          <w:sz w:val="22"/>
          <w:szCs w:val="22"/>
        </w:rPr>
        <w:t>one percentage point</w:t>
      </w:r>
      <w:r>
        <w:rPr>
          <w:rFonts w:ascii="Calibri" w:hAnsi="Calibri" w:cs="Calibri"/>
          <w:color w:val="auto"/>
          <w:sz w:val="22"/>
          <w:szCs w:val="22"/>
        </w:rPr>
        <w:t>. For the higher renewable penetration analyzed in this study, the reserve margin accounting was normalized such that the capacity credit of incremental renewable resources matched its simulated reliability contribution. Given the complexity of reserve margin accounting and reliability contributions, ERCOT commissioned the calculation of Effective Load Carrying Capabilit</w:t>
      </w:r>
      <w:r w:rsidR="001E6DDA">
        <w:rPr>
          <w:rFonts w:ascii="Calibri" w:hAnsi="Calibri" w:cs="Calibri"/>
          <w:color w:val="auto"/>
          <w:sz w:val="22"/>
          <w:szCs w:val="22"/>
        </w:rPr>
        <w:t>y</w:t>
      </w:r>
      <w:r>
        <w:rPr>
          <w:rFonts w:ascii="Calibri" w:hAnsi="Calibri" w:cs="Calibri"/>
          <w:color w:val="auto"/>
          <w:sz w:val="22"/>
          <w:szCs w:val="22"/>
        </w:rPr>
        <w:t xml:space="preserve"> (ELCC) for each </w:t>
      </w:r>
      <w:r w:rsidR="001E6DDA">
        <w:rPr>
          <w:rFonts w:ascii="Calibri" w:hAnsi="Calibri" w:cs="Calibri"/>
          <w:color w:val="auto"/>
          <w:sz w:val="22"/>
          <w:szCs w:val="22"/>
        </w:rPr>
        <w:t xml:space="preserve">renewable resource </w:t>
      </w:r>
      <w:r>
        <w:rPr>
          <w:rFonts w:ascii="Calibri" w:hAnsi="Calibri" w:cs="Calibri"/>
          <w:color w:val="auto"/>
          <w:sz w:val="22"/>
          <w:szCs w:val="22"/>
        </w:rPr>
        <w:t xml:space="preserve">category to rigorously quantify the dynamic of declining capacity contributions as a function of increasing renewable penetration. This analysis is documented in Appendix </w:t>
      </w:r>
      <w:r w:rsidR="00A81B4D">
        <w:rPr>
          <w:rFonts w:ascii="Calibri" w:hAnsi="Calibri" w:cs="Calibri"/>
          <w:color w:val="auto"/>
          <w:sz w:val="22"/>
          <w:szCs w:val="22"/>
        </w:rPr>
        <w:t>2</w:t>
      </w:r>
      <w:r>
        <w:rPr>
          <w:rFonts w:ascii="Calibri" w:hAnsi="Calibri" w:cs="Calibri"/>
          <w:color w:val="auto"/>
          <w:sz w:val="22"/>
          <w:szCs w:val="22"/>
        </w:rPr>
        <w:t>.</w:t>
      </w:r>
    </w:p>
    <w:p w14:paraId="75002ECF" w14:textId="2E050A0B" w:rsidR="004B58AD" w:rsidRPr="00D657DB" w:rsidRDefault="004B58AD" w:rsidP="00DA56F7">
      <w:pPr>
        <w:pStyle w:val="Heading2"/>
        <w:numPr>
          <w:ilvl w:val="0"/>
          <w:numId w:val="25"/>
        </w:numPr>
      </w:pPr>
      <w:bookmarkStart w:id="44" w:name="_Ref522573308"/>
      <w:bookmarkStart w:id="45" w:name="_Ref522575533"/>
      <w:bookmarkStart w:id="46" w:name="_Toc525079586"/>
      <w:bookmarkStart w:id="47" w:name="_Toc525851009"/>
      <w:bookmarkStart w:id="48" w:name="_Toc525938041"/>
      <w:bookmarkStart w:id="49" w:name="_Toc526279097"/>
      <w:bookmarkStart w:id="50" w:name="_Toc526437253"/>
      <w:bookmarkStart w:id="51" w:name="_Toc526439897"/>
      <w:bookmarkStart w:id="52" w:name="_Toc526440007"/>
      <w:bookmarkStart w:id="53" w:name="_Toc532834284"/>
      <w:bookmarkStart w:id="54" w:name="_Toc57193556"/>
      <w:r>
        <w:t>Scarcity Pricing and Demand Response Modeling</w:t>
      </w:r>
      <w:bookmarkEnd w:id="44"/>
      <w:bookmarkEnd w:id="45"/>
      <w:bookmarkEnd w:id="46"/>
      <w:bookmarkEnd w:id="47"/>
      <w:bookmarkEnd w:id="48"/>
      <w:bookmarkEnd w:id="49"/>
      <w:bookmarkEnd w:id="50"/>
      <w:bookmarkEnd w:id="51"/>
      <w:bookmarkEnd w:id="52"/>
      <w:bookmarkEnd w:id="53"/>
      <w:bookmarkEnd w:id="54"/>
    </w:p>
    <w:p w14:paraId="2310B230" w14:textId="4AD104D7" w:rsidR="004B58AD" w:rsidRPr="008647FD" w:rsidRDefault="004B58AD" w:rsidP="004B58AD">
      <w:pPr>
        <w:pStyle w:val="BGNormal125"/>
        <w:rPr>
          <w:rFonts w:ascii="Calibri" w:hAnsi="Calibri" w:cs="Calibri"/>
          <w:color w:val="auto"/>
          <w:sz w:val="22"/>
          <w:szCs w:val="22"/>
        </w:rPr>
      </w:pPr>
      <w:r w:rsidRPr="008647FD">
        <w:rPr>
          <w:rFonts w:ascii="Calibri" w:hAnsi="Calibri" w:cs="Calibri"/>
          <w:color w:val="auto"/>
          <w:sz w:val="22"/>
          <w:szCs w:val="22"/>
        </w:rPr>
        <w:t xml:space="preserve">A number of different types of demand-side resources contribute to resource adequacy and price formation in ERCOT.  </w:t>
      </w:r>
      <w:r w:rsidRPr="008647FD">
        <w:rPr>
          <w:rFonts w:ascii="Calibri" w:hAnsi="Calibri" w:cs="Calibri"/>
          <w:color w:val="auto"/>
          <w:sz w:val="22"/>
          <w:szCs w:val="22"/>
        </w:rPr>
        <w:fldChar w:fldCharType="begin"/>
      </w:r>
      <w:r w:rsidRPr="008647FD">
        <w:rPr>
          <w:rFonts w:ascii="Calibri" w:hAnsi="Calibri" w:cs="Calibri"/>
          <w:color w:val="auto"/>
          <w:sz w:val="22"/>
          <w:szCs w:val="22"/>
        </w:rPr>
        <w:instrText xml:space="preserve"> REF _Ref377117303 \h </w:instrText>
      </w:r>
      <w:r w:rsidR="00165615" w:rsidRPr="008647FD">
        <w:rPr>
          <w:rFonts w:ascii="Calibri" w:hAnsi="Calibri" w:cs="Calibri"/>
          <w:color w:val="auto"/>
          <w:sz w:val="22"/>
          <w:szCs w:val="22"/>
        </w:rPr>
        <w:instrText xml:space="preserve"> \* MERGEFORMAT </w:instrText>
      </w:r>
      <w:r w:rsidRPr="008647FD">
        <w:rPr>
          <w:rFonts w:ascii="Calibri" w:hAnsi="Calibri" w:cs="Calibri"/>
          <w:color w:val="auto"/>
          <w:sz w:val="22"/>
          <w:szCs w:val="22"/>
        </w:rPr>
      </w:r>
      <w:r w:rsidRPr="008647FD">
        <w:rPr>
          <w:rFonts w:ascii="Calibri" w:hAnsi="Calibri" w:cs="Calibri"/>
          <w:color w:val="auto"/>
          <w:sz w:val="22"/>
          <w:szCs w:val="22"/>
        </w:rPr>
        <w:fldChar w:fldCharType="separate"/>
      </w:r>
      <w:r w:rsidR="003F6A8E" w:rsidRPr="00724DF6">
        <w:rPr>
          <w:rFonts w:ascii="Calibri" w:hAnsi="Calibri" w:cs="Calibri"/>
          <w:color w:val="auto"/>
          <w:sz w:val="22"/>
          <w:szCs w:val="22"/>
        </w:rPr>
        <w:t xml:space="preserve">Table </w:t>
      </w:r>
      <w:r w:rsidR="003F6A8E" w:rsidRPr="00724DF6">
        <w:rPr>
          <w:rFonts w:ascii="Calibri" w:hAnsi="Calibri" w:cs="Calibri"/>
          <w:noProof/>
          <w:color w:val="auto"/>
          <w:sz w:val="22"/>
          <w:szCs w:val="22"/>
        </w:rPr>
        <w:t>4</w:t>
      </w:r>
      <w:r w:rsidRPr="008647FD">
        <w:rPr>
          <w:rFonts w:ascii="Calibri" w:hAnsi="Calibri" w:cs="Calibri"/>
          <w:color w:val="auto"/>
          <w:sz w:val="22"/>
          <w:szCs w:val="22"/>
        </w:rPr>
        <w:fldChar w:fldCharType="end"/>
      </w:r>
      <w:r w:rsidRPr="008647FD">
        <w:rPr>
          <w:rFonts w:ascii="Calibri" w:hAnsi="Calibri" w:cs="Calibri"/>
          <w:color w:val="auto"/>
          <w:sz w:val="22"/>
          <w:szCs w:val="22"/>
        </w:rPr>
        <w:t xml:space="preserve"> summarizes these resources, explaining how we model their characteristics, their assumed marginal costs </w:t>
      </w:r>
      <w:r w:rsidR="00445309" w:rsidRPr="008647FD">
        <w:rPr>
          <w:rFonts w:ascii="Calibri" w:hAnsi="Calibri" w:cs="Calibri"/>
          <w:color w:val="auto"/>
          <w:sz w:val="22"/>
          <w:szCs w:val="22"/>
        </w:rPr>
        <w:t>when</w:t>
      </w:r>
      <w:r w:rsidR="00445309">
        <w:rPr>
          <w:rFonts w:ascii="Calibri" w:hAnsi="Calibri" w:cs="Calibri"/>
          <w:color w:val="auto"/>
          <w:sz w:val="22"/>
          <w:szCs w:val="22"/>
        </w:rPr>
        <w:t xml:space="preserve"> utilized</w:t>
      </w:r>
      <w:r w:rsidRPr="008647FD">
        <w:rPr>
          <w:rFonts w:ascii="Calibri" w:hAnsi="Calibri" w:cs="Calibri"/>
          <w:color w:val="auto"/>
          <w:sz w:val="22"/>
          <w:szCs w:val="22"/>
        </w:rPr>
        <w:t>, and how they are accounted for in the reserve margin.  We developed these assumptions in close coordination with the ERCOT staff, who provided assumptions regarding the appropriate quantities for modeling.</w:t>
      </w:r>
    </w:p>
    <w:p w14:paraId="52909FFF" w14:textId="4E5B21DE" w:rsidR="004B58AD" w:rsidRPr="008647FD" w:rsidRDefault="004B58AD" w:rsidP="004B58AD">
      <w:pPr>
        <w:pStyle w:val="BGNormal125"/>
        <w:rPr>
          <w:rFonts w:ascii="Calibri" w:hAnsi="Calibri" w:cs="Calibri"/>
          <w:color w:val="auto"/>
          <w:sz w:val="22"/>
          <w:szCs w:val="22"/>
        </w:rPr>
      </w:pPr>
      <w:r w:rsidRPr="008647FD">
        <w:rPr>
          <w:rFonts w:ascii="Calibri" w:hAnsi="Calibri" w:cs="Calibri"/>
          <w:color w:val="auto"/>
          <w:sz w:val="22"/>
          <w:szCs w:val="22"/>
        </w:rPr>
        <w:t>The marginal costs of these demand-side resources are highly uncertain, although the marginal costs we report in the table are in the general range that we would anticipate given the sparse data availability.  Most of these resources including TDSP load management, emergency response service (ERS), and load resources (LRs) are dispatched for energy based on an emergency event trigger rather than a price-based trigger consistent with marginal cost.  We use ERCOT’s administrative scarcity pricing mechanism, the</w:t>
      </w:r>
      <w:r w:rsidR="00445309">
        <w:rPr>
          <w:rFonts w:ascii="Calibri" w:hAnsi="Calibri" w:cs="Calibri"/>
          <w:color w:val="auto"/>
          <w:sz w:val="22"/>
          <w:szCs w:val="22"/>
        </w:rPr>
        <w:t xml:space="preserve"> </w:t>
      </w:r>
      <w:r w:rsidRPr="008647FD">
        <w:rPr>
          <w:rFonts w:ascii="Calibri" w:hAnsi="Calibri" w:cs="Calibri"/>
          <w:color w:val="auto"/>
          <w:sz w:val="22"/>
          <w:szCs w:val="22"/>
        </w:rPr>
        <w:t>ORDC, to reflect the willingness to pay for spinning and non-spinning reserves in the real-time market.  We make the simplifying assumption that these resources are triggered in order of ascending marginal cost, and at the time when market prices are equal to their marginal curtailment cost, as explained further in Appendix 1.</w:t>
      </w:r>
      <w:r w:rsidRPr="008647FD">
        <w:rPr>
          <w:rFonts w:ascii="Calibri" w:hAnsi="Calibri" w:cs="Calibri"/>
          <w:color w:val="auto"/>
          <w:sz w:val="22"/>
          <w:szCs w:val="22"/>
        </w:rPr>
        <w:fldChar w:fldCharType="begin"/>
      </w:r>
      <w:r w:rsidRPr="008647FD">
        <w:rPr>
          <w:rFonts w:ascii="Calibri" w:hAnsi="Calibri" w:cs="Calibri"/>
          <w:color w:val="auto"/>
          <w:sz w:val="22"/>
          <w:szCs w:val="22"/>
        </w:rPr>
        <w:instrText xml:space="preserve"> REF _Ref526443636 \n \h </w:instrText>
      </w:r>
      <w:r w:rsidR="00165615" w:rsidRPr="008647FD">
        <w:rPr>
          <w:rFonts w:ascii="Calibri" w:hAnsi="Calibri" w:cs="Calibri"/>
          <w:color w:val="auto"/>
          <w:sz w:val="22"/>
          <w:szCs w:val="22"/>
        </w:rPr>
        <w:instrText xml:space="preserve"> \* MERGEFORMAT </w:instrText>
      </w:r>
      <w:r w:rsidRPr="008647FD">
        <w:rPr>
          <w:rFonts w:ascii="Calibri" w:hAnsi="Calibri" w:cs="Calibri"/>
          <w:color w:val="auto"/>
          <w:sz w:val="22"/>
          <w:szCs w:val="22"/>
        </w:rPr>
      </w:r>
      <w:r w:rsidRPr="008647FD">
        <w:rPr>
          <w:rFonts w:ascii="Calibri" w:hAnsi="Calibri" w:cs="Calibri"/>
          <w:color w:val="auto"/>
          <w:sz w:val="22"/>
          <w:szCs w:val="22"/>
        </w:rPr>
        <w:fldChar w:fldCharType="separate"/>
      </w:r>
      <w:r w:rsidRPr="008647FD">
        <w:rPr>
          <w:rFonts w:ascii="Calibri" w:hAnsi="Calibri" w:cs="Calibri"/>
          <w:color w:val="auto"/>
          <w:sz w:val="22"/>
          <w:szCs w:val="22"/>
        </w:rPr>
        <w:t>E</w:t>
      </w:r>
      <w:r w:rsidRPr="008647FD">
        <w:rPr>
          <w:rFonts w:ascii="Calibri" w:hAnsi="Calibri" w:cs="Calibri"/>
          <w:color w:val="auto"/>
          <w:sz w:val="22"/>
          <w:szCs w:val="22"/>
        </w:rPr>
        <w:fldChar w:fldCharType="end"/>
      </w:r>
      <w:r w:rsidRPr="008647FD">
        <w:rPr>
          <w:rFonts w:ascii="Calibri" w:hAnsi="Calibri" w:cs="Calibri"/>
          <w:color w:val="auto"/>
          <w:sz w:val="22"/>
          <w:szCs w:val="22"/>
        </w:rPr>
        <w:t>.</w:t>
      </w:r>
      <w:r w:rsidRPr="008647FD">
        <w:rPr>
          <w:rFonts w:ascii="Calibri" w:hAnsi="Calibri" w:cs="Calibri"/>
          <w:color w:val="auto"/>
          <w:sz w:val="22"/>
          <w:szCs w:val="22"/>
        </w:rPr>
        <w:fldChar w:fldCharType="begin"/>
      </w:r>
      <w:r w:rsidRPr="008647FD">
        <w:rPr>
          <w:rFonts w:ascii="Calibri" w:hAnsi="Calibri" w:cs="Calibri"/>
          <w:color w:val="auto"/>
          <w:sz w:val="22"/>
          <w:szCs w:val="22"/>
        </w:rPr>
        <w:instrText xml:space="preserve"> REF _Ref526443640 \n \h </w:instrText>
      </w:r>
      <w:r w:rsidR="00165615" w:rsidRPr="008647FD">
        <w:rPr>
          <w:rFonts w:ascii="Calibri" w:hAnsi="Calibri" w:cs="Calibri"/>
          <w:color w:val="auto"/>
          <w:sz w:val="22"/>
          <w:szCs w:val="22"/>
        </w:rPr>
        <w:instrText xml:space="preserve"> \* MERGEFORMAT </w:instrText>
      </w:r>
      <w:r w:rsidRPr="008647FD">
        <w:rPr>
          <w:rFonts w:ascii="Calibri" w:hAnsi="Calibri" w:cs="Calibri"/>
          <w:color w:val="auto"/>
          <w:sz w:val="22"/>
          <w:szCs w:val="22"/>
        </w:rPr>
      </w:r>
      <w:r w:rsidRPr="008647FD">
        <w:rPr>
          <w:rFonts w:ascii="Calibri" w:hAnsi="Calibri" w:cs="Calibri"/>
          <w:color w:val="auto"/>
          <w:sz w:val="22"/>
          <w:szCs w:val="22"/>
        </w:rPr>
        <w:fldChar w:fldCharType="separate"/>
      </w:r>
      <w:r w:rsidRPr="008647FD">
        <w:rPr>
          <w:rFonts w:ascii="Calibri" w:hAnsi="Calibri" w:cs="Calibri"/>
          <w:color w:val="auto"/>
          <w:sz w:val="22"/>
          <w:szCs w:val="22"/>
        </w:rPr>
        <w:t>4</w:t>
      </w:r>
      <w:r w:rsidRPr="008647FD">
        <w:rPr>
          <w:rFonts w:ascii="Calibri" w:hAnsi="Calibri" w:cs="Calibri"/>
          <w:color w:val="auto"/>
          <w:sz w:val="22"/>
          <w:szCs w:val="22"/>
        </w:rPr>
        <w:fldChar w:fldCharType="end"/>
      </w:r>
      <w:r w:rsidRPr="008647FD">
        <w:rPr>
          <w:rFonts w:ascii="Calibri" w:hAnsi="Calibri" w:cs="Calibri"/>
          <w:color w:val="auto"/>
          <w:sz w:val="22"/>
          <w:szCs w:val="22"/>
        </w:rPr>
        <w:t xml:space="preserve"> below.</w:t>
      </w:r>
    </w:p>
    <w:p w14:paraId="1156DB32" w14:textId="1F88243B" w:rsidR="004B58AD" w:rsidRPr="00E6061F" w:rsidRDefault="00093E73" w:rsidP="004B58AD">
      <w:pPr>
        <w:pStyle w:val="BGNormal125"/>
        <w:rPr>
          <w:rFonts w:ascii="Calibri" w:hAnsi="Calibri" w:cs="Calibri"/>
          <w:color w:val="auto"/>
          <w:sz w:val="22"/>
          <w:szCs w:val="22"/>
        </w:rPr>
      </w:pPr>
      <w:r w:rsidRPr="00E6061F">
        <w:rPr>
          <w:rFonts w:ascii="Calibri" w:hAnsi="Calibri" w:cs="Calibri"/>
          <w:color w:val="auto"/>
          <w:sz w:val="22"/>
          <w:szCs w:val="22"/>
        </w:rPr>
        <w:t>E</w:t>
      </w:r>
      <w:r w:rsidR="004B58AD" w:rsidRPr="00E6061F">
        <w:rPr>
          <w:rFonts w:ascii="Calibri" w:hAnsi="Calibri" w:cs="Calibri"/>
          <w:color w:val="auto"/>
          <w:sz w:val="22"/>
          <w:szCs w:val="22"/>
        </w:rPr>
        <w:t xml:space="preserve">nergy efficiency (EE) </w:t>
      </w:r>
      <w:r w:rsidRPr="00E6061F">
        <w:rPr>
          <w:rFonts w:ascii="Calibri" w:hAnsi="Calibri" w:cs="Calibri"/>
          <w:color w:val="auto"/>
          <w:sz w:val="22"/>
          <w:szCs w:val="22"/>
        </w:rPr>
        <w:t>is</w:t>
      </w:r>
      <w:r w:rsidR="004B58AD" w:rsidRPr="00E6061F">
        <w:rPr>
          <w:rFonts w:ascii="Calibri" w:hAnsi="Calibri" w:cs="Calibri"/>
          <w:color w:val="auto"/>
          <w:sz w:val="22"/>
          <w:szCs w:val="22"/>
        </w:rPr>
        <w:t xml:space="preserve"> not explicitly modeled because the load shapes</w:t>
      </w:r>
      <w:r w:rsidRPr="00E6061F">
        <w:rPr>
          <w:rFonts w:ascii="Calibri" w:hAnsi="Calibri" w:cs="Calibri"/>
          <w:color w:val="auto"/>
          <w:sz w:val="22"/>
          <w:szCs w:val="22"/>
        </w:rPr>
        <w:t xml:space="preserve"> already reflect their project</w:t>
      </w:r>
      <w:r w:rsidR="00F242EE">
        <w:rPr>
          <w:rFonts w:ascii="Calibri" w:hAnsi="Calibri" w:cs="Calibri"/>
          <w:color w:val="auto"/>
          <w:sz w:val="22"/>
          <w:szCs w:val="22"/>
        </w:rPr>
        <w:t>ed</w:t>
      </w:r>
      <w:r w:rsidRPr="00E6061F">
        <w:rPr>
          <w:rFonts w:ascii="Calibri" w:hAnsi="Calibri" w:cs="Calibri"/>
          <w:color w:val="auto"/>
          <w:sz w:val="22"/>
          <w:szCs w:val="22"/>
        </w:rPr>
        <w:t xml:space="preserve"> impact</w:t>
      </w:r>
      <w:r w:rsidR="00F242EE">
        <w:rPr>
          <w:rFonts w:ascii="Calibri" w:hAnsi="Calibri" w:cs="Calibri"/>
          <w:color w:val="auto"/>
          <w:sz w:val="22"/>
          <w:szCs w:val="22"/>
        </w:rPr>
        <w:t xml:space="preserve"> as a function of historical energy reduction trends</w:t>
      </w:r>
      <w:r w:rsidR="004B58AD" w:rsidRPr="00E6061F">
        <w:rPr>
          <w:rFonts w:ascii="Calibri" w:hAnsi="Calibri" w:cs="Calibri"/>
          <w:color w:val="auto"/>
          <w:sz w:val="22"/>
          <w:szCs w:val="22"/>
        </w:rPr>
        <w:t xml:space="preserve">.  </w:t>
      </w:r>
      <w:r w:rsidRPr="00E6061F">
        <w:rPr>
          <w:rFonts w:ascii="Calibri" w:hAnsi="Calibri" w:cs="Calibri"/>
          <w:color w:val="auto"/>
          <w:sz w:val="22"/>
          <w:szCs w:val="22"/>
        </w:rPr>
        <w:t>T</w:t>
      </w:r>
      <w:r w:rsidR="004B58AD" w:rsidRPr="00E6061F">
        <w:rPr>
          <w:rFonts w:ascii="Calibri" w:hAnsi="Calibri" w:cs="Calibri"/>
          <w:color w:val="auto"/>
          <w:sz w:val="22"/>
          <w:szCs w:val="22"/>
        </w:rPr>
        <w:t>hese resources are appropriately accounted for using the conventions of ERCOT’s CDR report as explained further in Appendix 1.</w:t>
      </w:r>
      <w:r w:rsidR="004B58AD" w:rsidRPr="00E6061F">
        <w:rPr>
          <w:rFonts w:ascii="Calibri" w:hAnsi="Calibri" w:cs="Calibri"/>
          <w:color w:val="auto"/>
          <w:sz w:val="22"/>
          <w:szCs w:val="22"/>
        </w:rPr>
        <w:fldChar w:fldCharType="begin"/>
      </w:r>
      <w:r w:rsidR="004B58AD" w:rsidRPr="00E6061F">
        <w:rPr>
          <w:rFonts w:ascii="Calibri" w:hAnsi="Calibri" w:cs="Calibri"/>
          <w:color w:val="auto"/>
          <w:sz w:val="22"/>
          <w:szCs w:val="22"/>
        </w:rPr>
        <w:instrText xml:space="preserve"> REF _Ref526443910 \n \h </w:instrText>
      </w:r>
      <w:r w:rsidR="00165615" w:rsidRPr="00E6061F">
        <w:rPr>
          <w:rFonts w:ascii="Calibri" w:hAnsi="Calibri" w:cs="Calibri"/>
          <w:color w:val="auto"/>
          <w:sz w:val="22"/>
          <w:szCs w:val="22"/>
        </w:rPr>
        <w:instrText xml:space="preserve"> \* MERGEFORMAT </w:instrText>
      </w:r>
      <w:r w:rsidR="004B58AD" w:rsidRPr="00E6061F">
        <w:rPr>
          <w:rFonts w:ascii="Calibri" w:hAnsi="Calibri" w:cs="Calibri"/>
          <w:color w:val="auto"/>
          <w:sz w:val="22"/>
          <w:szCs w:val="22"/>
        </w:rPr>
      </w:r>
      <w:r w:rsidR="004B58AD" w:rsidRPr="00E6061F">
        <w:rPr>
          <w:rFonts w:ascii="Calibri" w:hAnsi="Calibri" w:cs="Calibri"/>
          <w:color w:val="auto"/>
          <w:sz w:val="22"/>
          <w:szCs w:val="22"/>
        </w:rPr>
        <w:fldChar w:fldCharType="separate"/>
      </w:r>
      <w:r w:rsidR="004B58AD" w:rsidRPr="00E6061F">
        <w:rPr>
          <w:rFonts w:ascii="Calibri" w:hAnsi="Calibri" w:cs="Calibri"/>
          <w:color w:val="auto"/>
          <w:sz w:val="22"/>
          <w:szCs w:val="22"/>
        </w:rPr>
        <w:t>A</w:t>
      </w:r>
      <w:r w:rsidR="004B58AD" w:rsidRPr="00E6061F">
        <w:rPr>
          <w:rFonts w:ascii="Calibri" w:hAnsi="Calibri" w:cs="Calibri"/>
          <w:color w:val="auto"/>
          <w:sz w:val="22"/>
          <w:szCs w:val="22"/>
        </w:rPr>
        <w:fldChar w:fldCharType="end"/>
      </w:r>
      <w:r w:rsidR="004B58AD" w:rsidRPr="00E6061F">
        <w:rPr>
          <w:rFonts w:ascii="Calibri" w:hAnsi="Calibri" w:cs="Calibri"/>
          <w:color w:val="auto"/>
          <w:sz w:val="22"/>
          <w:szCs w:val="22"/>
        </w:rPr>
        <w:t>.</w:t>
      </w:r>
      <w:r w:rsidR="004B58AD" w:rsidRPr="00E6061F">
        <w:rPr>
          <w:rFonts w:ascii="Calibri" w:hAnsi="Calibri" w:cs="Calibri"/>
          <w:color w:val="auto"/>
          <w:sz w:val="22"/>
          <w:szCs w:val="22"/>
        </w:rPr>
        <w:fldChar w:fldCharType="begin"/>
      </w:r>
      <w:r w:rsidR="004B58AD" w:rsidRPr="00E6061F">
        <w:rPr>
          <w:rFonts w:ascii="Calibri" w:hAnsi="Calibri" w:cs="Calibri"/>
          <w:color w:val="auto"/>
          <w:sz w:val="22"/>
          <w:szCs w:val="22"/>
        </w:rPr>
        <w:instrText xml:space="preserve"> REF _Ref526444017 \n \h </w:instrText>
      </w:r>
      <w:r w:rsidR="00165615" w:rsidRPr="00E6061F">
        <w:rPr>
          <w:rFonts w:ascii="Calibri" w:hAnsi="Calibri" w:cs="Calibri"/>
          <w:color w:val="auto"/>
          <w:sz w:val="22"/>
          <w:szCs w:val="22"/>
        </w:rPr>
        <w:instrText xml:space="preserve"> \* MERGEFORMAT </w:instrText>
      </w:r>
      <w:r w:rsidR="004B58AD" w:rsidRPr="00E6061F">
        <w:rPr>
          <w:rFonts w:ascii="Calibri" w:hAnsi="Calibri" w:cs="Calibri"/>
          <w:color w:val="auto"/>
          <w:sz w:val="22"/>
          <w:szCs w:val="22"/>
        </w:rPr>
      </w:r>
      <w:r w:rsidR="004B58AD" w:rsidRPr="00E6061F">
        <w:rPr>
          <w:rFonts w:ascii="Calibri" w:hAnsi="Calibri" w:cs="Calibri"/>
          <w:color w:val="auto"/>
          <w:sz w:val="22"/>
          <w:szCs w:val="22"/>
        </w:rPr>
        <w:fldChar w:fldCharType="separate"/>
      </w:r>
      <w:r w:rsidR="004B58AD" w:rsidRPr="00E6061F">
        <w:rPr>
          <w:rFonts w:ascii="Calibri" w:hAnsi="Calibri" w:cs="Calibri"/>
          <w:color w:val="auto"/>
          <w:sz w:val="22"/>
          <w:szCs w:val="22"/>
        </w:rPr>
        <w:t>1</w:t>
      </w:r>
      <w:r w:rsidR="004B58AD" w:rsidRPr="00E6061F">
        <w:rPr>
          <w:rFonts w:ascii="Calibri" w:hAnsi="Calibri" w:cs="Calibri"/>
          <w:color w:val="auto"/>
          <w:sz w:val="22"/>
          <w:szCs w:val="22"/>
        </w:rPr>
        <w:fldChar w:fldCharType="end"/>
      </w:r>
      <w:r w:rsidR="004B58AD" w:rsidRPr="00E6061F">
        <w:rPr>
          <w:rFonts w:ascii="Calibri" w:hAnsi="Calibri" w:cs="Calibri"/>
          <w:color w:val="auto"/>
          <w:sz w:val="22"/>
          <w:szCs w:val="22"/>
        </w:rPr>
        <w:t xml:space="preserve"> below.</w:t>
      </w:r>
      <w:r w:rsidRPr="00E6061F">
        <w:rPr>
          <w:rFonts w:ascii="Calibri" w:hAnsi="Calibri" w:cs="Calibri"/>
          <w:color w:val="auto"/>
          <w:sz w:val="22"/>
          <w:szCs w:val="22"/>
        </w:rPr>
        <w:t xml:space="preserve"> </w:t>
      </w:r>
    </w:p>
    <w:p w14:paraId="5C90896F" w14:textId="3637998F" w:rsidR="00093E73" w:rsidRPr="00724DF6" w:rsidRDefault="00093E73" w:rsidP="00077409">
      <w:pPr>
        <w:pStyle w:val="BGNormal125"/>
        <w:spacing w:after="240"/>
        <w:rPr>
          <w:rFonts w:ascii="Calibri" w:hAnsi="Calibri" w:cs="Calibri"/>
          <w:color w:val="auto"/>
          <w:sz w:val="22"/>
          <w:szCs w:val="22"/>
        </w:rPr>
      </w:pPr>
      <w:r w:rsidRPr="00724DF6">
        <w:rPr>
          <w:rFonts w:ascii="Calibri" w:hAnsi="Calibri" w:cs="Calibri"/>
          <w:color w:val="auto"/>
          <w:sz w:val="22"/>
          <w:szCs w:val="22"/>
        </w:rPr>
        <w:t>Two programs with overlapping response were modeled explicitly in both load and resources: four coincident peak (4CP) and price-responsive demand (PRD)</w:t>
      </w:r>
      <w:r w:rsidR="006831C2" w:rsidRPr="00724DF6">
        <w:rPr>
          <w:rFonts w:ascii="Calibri" w:hAnsi="Calibri" w:cs="Calibri"/>
          <w:color w:val="auto"/>
          <w:sz w:val="22"/>
          <w:szCs w:val="22"/>
        </w:rPr>
        <w:t>. Both programs had strong response in 2019 when the reserve margin was lower than typically experienced. A single model for the aggregate response was constructed to gross up the synthetic load shapes. For simulating the respective response, separate functions were developed since PRD response varies with price while 4CP is primarily expected to vary as a function of load only. At low reserve margins then, PRD response is expected to be higher with the corresponding higher prices while 4CP response is the same at all reserve margin levels.</w:t>
      </w:r>
    </w:p>
    <w:p w14:paraId="4C23D3AC" w14:textId="0DFF09A8" w:rsidR="004B58AD" w:rsidRPr="008647FD" w:rsidRDefault="004B58AD" w:rsidP="00165615">
      <w:pPr>
        <w:pStyle w:val="Caption"/>
        <w:jc w:val="center"/>
        <w:rPr>
          <w:b/>
          <w:bCs/>
          <w:i w:val="0"/>
          <w:iCs w:val="0"/>
          <w:color w:val="auto"/>
          <w:sz w:val="22"/>
          <w:szCs w:val="22"/>
        </w:rPr>
      </w:pPr>
      <w:bookmarkStart w:id="55" w:name="_Ref377117303"/>
      <w:r w:rsidRPr="008647FD">
        <w:rPr>
          <w:b/>
          <w:bCs/>
          <w:i w:val="0"/>
          <w:iCs w:val="0"/>
          <w:color w:val="auto"/>
          <w:sz w:val="22"/>
          <w:szCs w:val="22"/>
        </w:rPr>
        <w:t xml:space="preserve">Table </w:t>
      </w:r>
      <w:r w:rsidRPr="008647FD">
        <w:rPr>
          <w:b/>
          <w:bCs/>
          <w:i w:val="0"/>
          <w:iCs w:val="0"/>
          <w:noProof/>
          <w:color w:val="auto"/>
          <w:sz w:val="22"/>
          <w:szCs w:val="22"/>
        </w:rPr>
        <w:fldChar w:fldCharType="begin"/>
      </w:r>
      <w:r w:rsidRPr="008647FD">
        <w:rPr>
          <w:b/>
          <w:bCs/>
          <w:i w:val="0"/>
          <w:iCs w:val="0"/>
          <w:noProof/>
          <w:color w:val="auto"/>
          <w:sz w:val="22"/>
          <w:szCs w:val="22"/>
        </w:rPr>
        <w:instrText xml:space="preserve"> SEQ Table \* ARABIC </w:instrText>
      </w:r>
      <w:r w:rsidRPr="008647FD">
        <w:rPr>
          <w:b/>
          <w:bCs/>
          <w:i w:val="0"/>
          <w:iCs w:val="0"/>
          <w:noProof/>
          <w:color w:val="auto"/>
          <w:sz w:val="22"/>
          <w:szCs w:val="22"/>
        </w:rPr>
        <w:fldChar w:fldCharType="separate"/>
      </w:r>
      <w:r w:rsidR="003F6A8E">
        <w:rPr>
          <w:b/>
          <w:bCs/>
          <w:i w:val="0"/>
          <w:iCs w:val="0"/>
          <w:noProof/>
          <w:color w:val="auto"/>
          <w:sz w:val="22"/>
          <w:szCs w:val="22"/>
        </w:rPr>
        <w:t>4</w:t>
      </w:r>
      <w:r w:rsidRPr="008647FD">
        <w:rPr>
          <w:b/>
          <w:bCs/>
          <w:i w:val="0"/>
          <w:iCs w:val="0"/>
          <w:noProof/>
          <w:color w:val="auto"/>
          <w:sz w:val="22"/>
          <w:szCs w:val="22"/>
        </w:rPr>
        <w:fldChar w:fldCharType="end"/>
      </w:r>
      <w:bookmarkEnd w:id="55"/>
      <w:r w:rsidR="00165615" w:rsidRPr="008647FD">
        <w:rPr>
          <w:b/>
          <w:bCs/>
          <w:i w:val="0"/>
          <w:iCs w:val="0"/>
          <w:noProof/>
          <w:color w:val="auto"/>
          <w:sz w:val="22"/>
          <w:szCs w:val="22"/>
        </w:rPr>
        <w:t xml:space="preserve">. </w:t>
      </w:r>
      <w:r w:rsidRPr="008647FD">
        <w:rPr>
          <w:b/>
          <w:bCs/>
          <w:i w:val="0"/>
          <w:iCs w:val="0"/>
          <w:color w:val="auto"/>
          <w:sz w:val="22"/>
          <w:szCs w:val="22"/>
        </w:rPr>
        <w:t>Summary of Demand Resource Characteristics and Modeling Approach</w:t>
      </w:r>
    </w:p>
    <w:tbl>
      <w:tblPr>
        <w:tblW w:w="9528" w:type="dxa"/>
        <w:jc w:val="center"/>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614"/>
        <w:gridCol w:w="990"/>
        <w:gridCol w:w="2880"/>
        <w:gridCol w:w="1260"/>
        <w:gridCol w:w="1260"/>
        <w:gridCol w:w="1524"/>
      </w:tblGrid>
      <w:tr w:rsidR="0042083A" w:rsidRPr="0042083A" w14:paraId="1F259338" w14:textId="77777777" w:rsidTr="0042083A">
        <w:trPr>
          <w:trHeight w:val="331"/>
          <w:jc w:val="center"/>
        </w:trPr>
        <w:tc>
          <w:tcPr>
            <w:tcW w:w="161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57C4467" w14:textId="77777777" w:rsidR="004B58AD" w:rsidRPr="0042083A" w:rsidRDefault="004B58AD" w:rsidP="004B58AD">
            <w:pPr>
              <w:pStyle w:val="BGInsertGraphic"/>
              <w:keepNext/>
              <w:spacing w:before="0"/>
              <w:rPr>
                <w:rFonts w:ascii="Calibri" w:hAnsi="Calibri" w:cs="Calibri"/>
                <w:b/>
                <w:color w:val="auto"/>
                <w:sz w:val="18"/>
              </w:rPr>
            </w:pPr>
            <w:bookmarkStart w:id="56" w:name="OLE_LINK1"/>
            <w:r w:rsidRPr="0042083A">
              <w:rPr>
                <w:rFonts w:ascii="Calibri" w:hAnsi="Calibri" w:cs="Calibri"/>
                <w:b/>
                <w:color w:val="auto"/>
                <w:sz w:val="18"/>
              </w:rPr>
              <w:t>Resource Type</w:t>
            </w:r>
          </w:p>
        </w:tc>
        <w:tc>
          <w:tcPr>
            <w:tcW w:w="99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B58F1DE" w14:textId="77777777" w:rsidR="004B58AD" w:rsidRPr="0042083A" w:rsidRDefault="004B58AD" w:rsidP="004B58AD">
            <w:pPr>
              <w:pStyle w:val="BGInsertGraphic"/>
              <w:keepNext/>
              <w:spacing w:before="0"/>
              <w:rPr>
                <w:rFonts w:ascii="Calibri" w:hAnsi="Calibri" w:cs="Calibri"/>
                <w:b/>
                <w:color w:val="auto"/>
                <w:sz w:val="18"/>
              </w:rPr>
            </w:pPr>
            <w:r w:rsidRPr="0042083A">
              <w:rPr>
                <w:rFonts w:ascii="Calibri" w:hAnsi="Calibri" w:cs="Calibri"/>
                <w:b/>
                <w:color w:val="auto"/>
                <w:sz w:val="18"/>
              </w:rPr>
              <w:t>Quantity (MW)</w:t>
            </w:r>
          </w:p>
        </w:tc>
        <w:tc>
          <w:tcPr>
            <w:tcW w:w="288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E43B24D" w14:textId="77777777" w:rsidR="004B58AD" w:rsidRPr="0042083A" w:rsidRDefault="004B58AD" w:rsidP="004B58AD">
            <w:pPr>
              <w:pStyle w:val="BGInsertGraphic"/>
              <w:keepNext/>
              <w:spacing w:before="0"/>
              <w:rPr>
                <w:rFonts w:ascii="Calibri" w:hAnsi="Calibri" w:cs="Calibri"/>
                <w:b/>
                <w:color w:val="auto"/>
                <w:sz w:val="18"/>
              </w:rPr>
            </w:pPr>
            <w:r w:rsidRPr="0042083A">
              <w:rPr>
                <w:rFonts w:ascii="Calibri" w:hAnsi="Calibri" w:cs="Calibri"/>
                <w:b/>
                <w:color w:val="auto"/>
                <w:sz w:val="18"/>
              </w:rPr>
              <w:t>Modeling Approach</w:t>
            </w:r>
          </w:p>
        </w:tc>
        <w:tc>
          <w:tcPr>
            <w:tcW w:w="126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61C4051" w14:textId="77777777" w:rsidR="004B58AD" w:rsidRPr="0042083A" w:rsidRDefault="004B58AD" w:rsidP="004B58AD">
            <w:pPr>
              <w:pStyle w:val="BGInsertGraphic"/>
              <w:keepNext/>
              <w:spacing w:before="0"/>
              <w:rPr>
                <w:rFonts w:ascii="Calibri" w:hAnsi="Calibri" w:cs="Calibri"/>
                <w:b/>
                <w:color w:val="auto"/>
                <w:sz w:val="18"/>
              </w:rPr>
            </w:pPr>
            <w:r w:rsidRPr="0042083A">
              <w:rPr>
                <w:rFonts w:ascii="Calibri" w:hAnsi="Calibri" w:cs="Calibri"/>
                <w:b/>
                <w:color w:val="auto"/>
                <w:sz w:val="18"/>
              </w:rPr>
              <w:t>Marginal Curtailment Cost</w:t>
            </w:r>
          </w:p>
        </w:tc>
        <w:tc>
          <w:tcPr>
            <w:tcW w:w="126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4DC1F26" w14:textId="77777777" w:rsidR="004B58AD" w:rsidRPr="0042083A" w:rsidRDefault="004B58AD" w:rsidP="004B58AD">
            <w:pPr>
              <w:pStyle w:val="BGInsertGraphic"/>
              <w:keepNext/>
              <w:spacing w:before="0"/>
              <w:rPr>
                <w:rFonts w:ascii="Calibri" w:hAnsi="Calibri" w:cs="Calibri"/>
                <w:b/>
                <w:color w:val="auto"/>
                <w:sz w:val="18"/>
              </w:rPr>
            </w:pPr>
            <w:r w:rsidRPr="0042083A">
              <w:rPr>
                <w:rFonts w:ascii="Calibri" w:hAnsi="Calibri" w:cs="Calibri"/>
                <w:b/>
                <w:color w:val="auto"/>
                <w:sz w:val="18"/>
              </w:rPr>
              <w:t xml:space="preserve">Adjustments to ERCOT Load </w:t>
            </w:r>
            <w:r w:rsidRPr="0042083A">
              <w:rPr>
                <w:rFonts w:ascii="Calibri" w:hAnsi="Calibri" w:cs="Calibri"/>
                <w:b/>
                <w:color w:val="auto"/>
                <w:sz w:val="18"/>
                <w:szCs w:val="16"/>
              </w:rPr>
              <w:t>Shape</w:t>
            </w:r>
          </w:p>
        </w:tc>
        <w:tc>
          <w:tcPr>
            <w:tcW w:w="1524" w:type="dxa"/>
            <w:tcBorders>
              <w:top w:val="single" w:sz="4" w:space="0" w:color="auto"/>
              <w:bottom w:val="single" w:sz="4" w:space="0" w:color="auto"/>
            </w:tcBorders>
            <w:shd w:val="clear" w:color="auto" w:fill="auto"/>
            <w:vAlign w:val="center"/>
          </w:tcPr>
          <w:p w14:paraId="0BA39F5E" w14:textId="77777777" w:rsidR="004B58AD" w:rsidRPr="0042083A" w:rsidRDefault="004B58AD" w:rsidP="004B58AD">
            <w:pPr>
              <w:pStyle w:val="BGInsertGraphic"/>
              <w:keepNext/>
              <w:spacing w:before="0"/>
              <w:rPr>
                <w:rFonts w:ascii="Calibri" w:hAnsi="Calibri" w:cs="Calibri"/>
                <w:b/>
                <w:color w:val="auto"/>
                <w:sz w:val="18"/>
              </w:rPr>
            </w:pPr>
            <w:r w:rsidRPr="0042083A">
              <w:rPr>
                <w:rFonts w:ascii="Calibri" w:hAnsi="Calibri" w:cs="Calibri"/>
                <w:b/>
                <w:color w:val="auto"/>
                <w:sz w:val="18"/>
              </w:rPr>
              <w:t>Reserve Margin Accounting</w:t>
            </w:r>
          </w:p>
        </w:tc>
      </w:tr>
      <w:tr w:rsidR="0042083A" w:rsidRPr="0042083A" w14:paraId="76B67CE0" w14:textId="77777777" w:rsidTr="0042083A">
        <w:trPr>
          <w:trHeight w:val="207"/>
          <w:jc w:val="center"/>
        </w:trPr>
        <w:tc>
          <w:tcPr>
            <w:tcW w:w="9528" w:type="dxa"/>
            <w:gridSpan w:val="6"/>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F8D9C6A" w14:textId="4546E721" w:rsidR="004B58AD" w:rsidRPr="0042083A" w:rsidRDefault="00E6061F" w:rsidP="004B58AD">
            <w:pPr>
              <w:pStyle w:val="BGInsertGraphic"/>
              <w:keepNext/>
              <w:spacing w:before="0"/>
              <w:rPr>
                <w:rFonts w:ascii="Calibri" w:hAnsi="Calibri" w:cs="Calibri"/>
                <w:b/>
                <w:color w:val="auto"/>
                <w:sz w:val="18"/>
              </w:rPr>
            </w:pPr>
            <w:r>
              <w:rPr>
                <w:rFonts w:ascii="Calibri" w:hAnsi="Calibri" w:cs="Calibri"/>
                <w:b/>
                <w:color w:val="auto"/>
                <w:sz w:val="18"/>
              </w:rPr>
              <w:t>TDSP Programs</w:t>
            </w:r>
          </w:p>
        </w:tc>
      </w:tr>
      <w:tr w:rsidR="0042083A" w:rsidRPr="0042083A" w14:paraId="68DC4BB2" w14:textId="77777777" w:rsidTr="0042083A">
        <w:trPr>
          <w:trHeight w:val="277"/>
          <w:jc w:val="center"/>
        </w:trPr>
        <w:tc>
          <w:tcPr>
            <w:tcW w:w="1614" w:type="dxa"/>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51E18CA5" w14:textId="77777777" w:rsidR="004B58AD" w:rsidRPr="0042083A" w:rsidRDefault="004B58AD" w:rsidP="004B58AD">
            <w:pPr>
              <w:pStyle w:val="BGInsertGraphic"/>
              <w:keepNext/>
              <w:spacing w:before="0"/>
              <w:ind w:left="-54"/>
              <w:rPr>
                <w:rFonts w:ascii="Calibri" w:hAnsi="Calibri" w:cs="Calibri"/>
                <w:color w:val="auto"/>
                <w:sz w:val="18"/>
              </w:rPr>
            </w:pPr>
            <w:r w:rsidRPr="0042083A">
              <w:rPr>
                <w:rFonts w:ascii="Calibri" w:hAnsi="Calibri" w:cs="Calibri"/>
                <w:color w:val="auto"/>
                <w:sz w:val="18"/>
              </w:rPr>
              <w:t>Energy Efficiency</w:t>
            </w:r>
          </w:p>
        </w:tc>
        <w:tc>
          <w:tcPr>
            <w:tcW w:w="99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54DD65BD" w14:textId="7CE97A88"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2,</w:t>
            </w:r>
            <w:r w:rsidR="008647FD" w:rsidRPr="0042083A">
              <w:rPr>
                <w:rFonts w:ascii="Calibri" w:hAnsi="Calibri" w:cs="Calibri"/>
                <w:color w:val="auto"/>
                <w:sz w:val="16"/>
                <w:szCs w:val="16"/>
              </w:rPr>
              <w:t>884</w:t>
            </w:r>
          </w:p>
        </w:tc>
        <w:tc>
          <w:tcPr>
            <w:tcW w:w="288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4C94EEA8"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Not explicitly modeled.</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08948B8F" w14:textId="77777777" w:rsidR="004B58AD" w:rsidRPr="0042083A" w:rsidRDefault="004B58AD" w:rsidP="004B58AD">
            <w:pPr>
              <w:pStyle w:val="BGInsertGraphic"/>
              <w:keepNext/>
              <w:spacing w:before="0"/>
              <w:rPr>
                <w:rFonts w:ascii="Calibri" w:hAnsi="Calibri" w:cs="Calibri"/>
                <w:i/>
                <w:color w:val="auto"/>
                <w:sz w:val="16"/>
              </w:rPr>
            </w:pPr>
            <w:r w:rsidRPr="0042083A">
              <w:rPr>
                <w:rFonts w:ascii="Calibri" w:hAnsi="Calibri" w:cs="Calibri"/>
                <w:i/>
                <w:color w:val="auto"/>
                <w:sz w:val="16"/>
              </w:rPr>
              <w:t>n/a</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45BAAF56"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None</w:t>
            </w:r>
          </w:p>
        </w:tc>
        <w:tc>
          <w:tcPr>
            <w:tcW w:w="1524" w:type="dxa"/>
            <w:tcBorders>
              <w:top w:val="single" w:sz="4" w:space="0" w:color="auto"/>
            </w:tcBorders>
            <w:shd w:val="clear" w:color="auto" w:fill="D9D9D9" w:themeFill="background1" w:themeFillShade="D9"/>
            <w:vAlign w:val="center"/>
          </w:tcPr>
          <w:p w14:paraId="25E54D89" w14:textId="0BC43D24" w:rsidR="004B58AD" w:rsidRPr="0042083A" w:rsidRDefault="004B58AD" w:rsidP="004B58AD">
            <w:pPr>
              <w:pStyle w:val="BGInsertGraphic"/>
              <w:keepNext/>
              <w:spacing w:before="0"/>
              <w:ind w:left="90" w:right="90"/>
              <w:rPr>
                <w:rFonts w:ascii="Calibri" w:hAnsi="Calibri" w:cs="Calibri"/>
                <w:color w:val="auto"/>
                <w:sz w:val="16"/>
              </w:rPr>
            </w:pPr>
            <w:r w:rsidRPr="0042083A">
              <w:rPr>
                <w:rFonts w:ascii="Calibri" w:hAnsi="Calibri" w:cs="Calibri"/>
                <w:color w:val="auto"/>
                <w:sz w:val="16"/>
              </w:rPr>
              <w:t>Load reduction</w:t>
            </w:r>
          </w:p>
        </w:tc>
      </w:tr>
      <w:tr w:rsidR="0042083A" w:rsidRPr="0042083A" w14:paraId="64CD3460" w14:textId="77777777" w:rsidTr="0042083A">
        <w:trPr>
          <w:trHeight w:val="277"/>
          <w:jc w:val="center"/>
        </w:trPr>
        <w:tc>
          <w:tcPr>
            <w:tcW w:w="1614" w:type="dxa"/>
            <w:tcBorders>
              <w:bottom w:val="single" w:sz="4" w:space="0" w:color="auto"/>
            </w:tcBorders>
            <w:shd w:val="clear" w:color="auto" w:fill="auto"/>
            <w:tcMar>
              <w:top w:w="72" w:type="dxa"/>
              <w:left w:w="144" w:type="dxa"/>
              <w:bottom w:w="72" w:type="dxa"/>
              <w:right w:w="144" w:type="dxa"/>
            </w:tcMar>
            <w:vAlign w:val="center"/>
            <w:hideMark/>
          </w:tcPr>
          <w:p w14:paraId="6650DE14" w14:textId="3CB19BE5" w:rsidR="004B58AD" w:rsidRPr="0042083A" w:rsidRDefault="00E6061F" w:rsidP="004B58AD">
            <w:pPr>
              <w:pStyle w:val="BGInsertGraphic"/>
              <w:keepNext/>
              <w:spacing w:before="0"/>
              <w:ind w:left="-54"/>
              <w:rPr>
                <w:rFonts w:ascii="Calibri" w:hAnsi="Calibri" w:cs="Calibri"/>
                <w:color w:val="auto"/>
                <w:sz w:val="18"/>
              </w:rPr>
            </w:pPr>
            <w:r>
              <w:rPr>
                <w:rFonts w:ascii="Calibri" w:hAnsi="Calibri" w:cs="Calibri"/>
                <w:color w:val="auto"/>
                <w:sz w:val="18"/>
              </w:rPr>
              <w:t>Load Management</w:t>
            </w:r>
          </w:p>
        </w:tc>
        <w:tc>
          <w:tcPr>
            <w:tcW w:w="990" w:type="dxa"/>
            <w:tcBorders>
              <w:bottom w:val="single" w:sz="4" w:space="0" w:color="auto"/>
            </w:tcBorders>
            <w:shd w:val="clear" w:color="auto" w:fill="auto"/>
            <w:tcMar>
              <w:top w:w="72" w:type="dxa"/>
              <w:left w:w="144" w:type="dxa"/>
              <w:bottom w:w="72" w:type="dxa"/>
              <w:right w:w="144" w:type="dxa"/>
            </w:tcMar>
            <w:vAlign w:val="center"/>
          </w:tcPr>
          <w:p w14:paraId="47648D1E" w14:textId="344085EB"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2</w:t>
            </w:r>
            <w:r w:rsidR="008647FD" w:rsidRPr="0042083A">
              <w:rPr>
                <w:rFonts w:ascii="Calibri" w:hAnsi="Calibri" w:cs="Calibri"/>
                <w:color w:val="auto"/>
                <w:sz w:val="16"/>
                <w:szCs w:val="16"/>
              </w:rPr>
              <w:t>62</w:t>
            </w:r>
          </w:p>
        </w:tc>
        <w:tc>
          <w:tcPr>
            <w:tcW w:w="2880" w:type="dxa"/>
            <w:tcBorders>
              <w:bottom w:val="single" w:sz="4" w:space="0" w:color="auto"/>
            </w:tcBorders>
            <w:shd w:val="clear" w:color="auto" w:fill="auto"/>
            <w:tcMar>
              <w:top w:w="72" w:type="dxa"/>
              <w:left w:w="144" w:type="dxa"/>
              <w:bottom w:w="72" w:type="dxa"/>
              <w:right w:w="144" w:type="dxa"/>
            </w:tcMar>
            <w:vAlign w:val="center"/>
          </w:tcPr>
          <w:p w14:paraId="7786884B" w14:textId="0C5B3F19"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Emergency trigger at EEA Level 1</w:t>
            </w:r>
          </w:p>
        </w:tc>
        <w:tc>
          <w:tcPr>
            <w:tcW w:w="1260" w:type="dxa"/>
            <w:tcBorders>
              <w:bottom w:val="single" w:sz="4" w:space="0" w:color="auto"/>
            </w:tcBorders>
            <w:shd w:val="clear" w:color="auto" w:fill="auto"/>
            <w:tcMar>
              <w:top w:w="72" w:type="dxa"/>
              <w:left w:w="144" w:type="dxa"/>
              <w:bottom w:w="72" w:type="dxa"/>
              <w:right w:w="144" w:type="dxa"/>
            </w:tcMar>
            <w:vAlign w:val="center"/>
          </w:tcPr>
          <w:p w14:paraId="7F27A1A0" w14:textId="29CCD563"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$2,</w:t>
            </w:r>
            <w:r w:rsidR="008647FD" w:rsidRPr="0042083A">
              <w:rPr>
                <w:rFonts w:ascii="Calibri" w:hAnsi="Calibri" w:cs="Calibri"/>
                <w:color w:val="auto"/>
                <w:sz w:val="16"/>
                <w:szCs w:val="16"/>
              </w:rPr>
              <w:t>469</w:t>
            </w:r>
          </w:p>
        </w:tc>
        <w:tc>
          <w:tcPr>
            <w:tcW w:w="1260" w:type="dxa"/>
            <w:tcBorders>
              <w:bottom w:val="single" w:sz="4" w:space="0" w:color="auto"/>
            </w:tcBorders>
            <w:shd w:val="clear" w:color="auto" w:fill="auto"/>
            <w:tcMar>
              <w:top w:w="72" w:type="dxa"/>
              <w:left w:w="144" w:type="dxa"/>
              <w:bottom w:w="72" w:type="dxa"/>
              <w:right w:w="144" w:type="dxa"/>
            </w:tcMar>
            <w:vAlign w:val="center"/>
          </w:tcPr>
          <w:p w14:paraId="2E70650C"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None</w:t>
            </w:r>
          </w:p>
        </w:tc>
        <w:tc>
          <w:tcPr>
            <w:tcW w:w="1524" w:type="dxa"/>
            <w:tcBorders>
              <w:bottom w:val="single" w:sz="4" w:space="0" w:color="auto"/>
            </w:tcBorders>
            <w:shd w:val="clear" w:color="auto" w:fill="auto"/>
            <w:vAlign w:val="center"/>
          </w:tcPr>
          <w:p w14:paraId="28E142D2" w14:textId="3EDD06D9"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Load reductio</w:t>
            </w:r>
            <w:r w:rsidR="00E6061F">
              <w:rPr>
                <w:rFonts w:ascii="Calibri" w:hAnsi="Calibri" w:cs="Calibri"/>
                <w:color w:val="auto"/>
                <w:sz w:val="16"/>
              </w:rPr>
              <w:t>n</w:t>
            </w:r>
          </w:p>
        </w:tc>
      </w:tr>
      <w:tr w:rsidR="0042083A" w:rsidRPr="0042083A" w14:paraId="70A79071" w14:textId="77777777" w:rsidTr="0042083A">
        <w:trPr>
          <w:trHeight w:val="16"/>
          <w:jc w:val="center"/>
        </w:trPr>
        <w:tc>
          <w:tcPr>
            <w:tcW w:w="9528" w:type="dxa"/>
            <w:gridSpan w:val="6"/>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F5F28A8" w14:textId="77777777" w:rsidR="004B58AD" w:rsidRPr="0042083A" w:rsidRDefault="004B58AD" w:rsidP="004B58AD">
            <w:pPr>
              <w:pStyle w:val="BGInsertGraphic"/>
              <w:keepNext/>
              <w:spacing w:before="0"/>
              <w:ind w:left="-58"/>
              <w:rPr>
                <w:rFonts w:ascii="Calibri" w:hAnsi="Calibri" w:cs="Calibri"/>
                <w:b/>
                <w:color w:val="auto"/>
                <w:sz w:val="18"/>
              </w:rPr>
            </w:pPr>
            <w:r w:rsidRPr="0042083A">
              <w:rPr>
                <w:rFonts w:ascii="Calibri" w:hAnsi="Calibri" w:cs="Calibri"/>
                <w:b/>
                <w:color w:val="auto"/>
                <w:sz w:val="18"/>
              </w:rPr>
              <w:t>Emergency Response Service (ERS)</w:t>
            </w:r>
          </w:p>
        </w:tc>
      </w:tr>
      <w:tr w:rsidR="0042083A" w:rsidRPr="0042083A" w14:paraId="58D43349" w14:textId="77777777" w:rsidTr="0042083A">
        <w:trPr>
          <w:trHeight w:val="274"/>
          <w:jc w:val="center"/>
        </w:trPr>
        <w:tc>
          <w:tcPr>
            <w:tcW w:w="1614" w:type="dxa"/>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675D2FF7" w14:textId="77777777" w:rsidR="004B58AD" w:rsidRPr="0042083A" w:rsidRDefault="004B58AD" w:rsidP="004B58AD">
            <w:pPr>
              <w:pStyle w:val="BGInsertGraphic"/>
              <w:keepNext/>
              <w:spacing w:before="0"/>
              <w:ind w:left="-54"/>
              <w:rPr>
                <w:rFonts w:ascii="Calibri" w:hAnsi="Calibri" w:cs="Calibri"/>
                <w:color w:val="auto"/>
                <w:sz w:val="18"/>
              </w:rPr>
            </w:pPr>
            <w:r w:rsidRPr="0042083A">
              <w:rPr>
                <w:rFonts w:ascii="Calibri" w:hAnsi="Calibri" w:cs="Calibri"/>
                <w:color w:val="auto"/>
                <w:sz w:val="18"/>
              </w:rPr>
              <w:t>30-Minute ERS</w:t>
            </w:r>
          </w:p>
        </w:tc>
        <w:tc>
          <w:tcPr>
            <w:tcW w:w="99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7D060CBD" w14:textId="4529661F"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6</w:t>
            </w:r>
            <w:r w:rsidR="008647FD" w:rsidRPr="0042083A">
              <w:rPr>
                <w:rFonts w:ascii="Calibri" w:hAnsi="Calibri" w:cs="Calibri"/>
                <w:color w:val="auto"/>
                <w:sz w:val="16"/>
                <w:szCs w:val="16"/>
              </w:rPr>
              <w:t>91</w:t>
            </w:r>
          </w:p>
        </w:tc>
        <w:tc>
          <w:tcPr>
            <w:tcW w:w="288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6C23B215" w14:textId="2BAC4EE4"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 xml:space="preserve">Emergency trigger at EEA Level </w:t>
            </w:r>
            <w:r w:rsidRPr="0042083A">
              <w:rPr>
                <w:rFonts w:ascii="Calibri" w:hAnsi="Calibri" w:cs="Calibri"/>
                <w:color w:val="auto"/>
                <w:sz w:val="16"/>
                <w:szCs w:val="16"/>
              </w:rPr>
              <w:t>1</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3073C08C" w14:textId="22BD2E98"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$1,3</w:t>
            </w:r>
            <w:r w:rsidR="008647FD" w:rsidRPr="0042083A">
              <w:rPr>
                <w:rFonts w:ascii="Calibri" w:hAnsi="Calibri" w:cs="Calibri"/>
                <w:color w:val="auto"/>
                <w:sz w:val="16"/>
                <w:szCs w:val="16"/>
              </w:rPr>
              <w:t>72</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63AE8A82"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None</w:t>
            </w:r>
          </w:p>
        </w:tc>
        <w:tc>
          <w:tcPr>
            <w:tcW w:w="1524" w:type="dxa"/>
            <w:tcBorders>
              <w:top w:val="single" w:sz="4" w:space="0" w:color="auto"/>
            </w:tcBorders>
            <w:shd w:val="clear" w:color="auto" w:fill="D9D9D9" w:themeFill="background1" w:themeFillShade="D9"/>
            <w:vAlign w:val="center"/>
          </w:tcPr>
          <w:p w14:paraId="3A047A4A" w14:textId="405C89C0"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Load reduction</w:t>
            </w:r>
          </w:p>
        </w:tc>
      </w:tr>
      <w:tr w:rsidR="0042083A" w:rsidRPr="0042083A" w14:paraId="416C37D4" w14:textId="77777777" w:rsidTr="0042083A">
        <w:trPr>
          <w:trHeight w:val="277"/>
          <w:jc w:val="center"/>
        </w:trPr>
        <w:tc>
          <w:tcPr>
            <w:tcW w:w="1614" w:type="dxa"/>
            <w:tcBorders>
              <w:bottom w:val="single" w:sz="4" w:space="0" w:color="auto"/>
            </w:tcBorders>
            <w:shd w:val="clear" w:color="auto" w:fill="auto"/>
            <w:tcMar>
              <w:top w:w="72" w:type="dxa"/>
              <w:left w:w="144" w:type="dxa"/>
              <w:bottom w:w="72" w:type="dxa"/>
              <w:right w:w="144" w:type="dxa"/>
            </w:tcMar>
            <w:vAlign w:val="center"/>
            <w:hideMark/>
          </w:tcPr>
          <w:p w14:paraId="5FC05F85" w14:textId="77777777" w:rsidR="004B58AD" w:rsidRPr="0042083A" w:rsidRDefault="004B58AD" w:rsidP="004B58AD">
            <w:pPr>
              <w:pStyle w:val="BGInsertGraphic"/>
              <w:keepNext/>
              <w:spacing w:before="0"/>
              <w:ind w:left="-54"/>
              <w:rPr>
                <w:rFonts w:ascii="Calibri" w:hAnsi="Calibri" w:cs="Calibri"/>
                <w:color w:val="auto"/>
                <w:sz w:val="18"/>
              </w:rPr>
            </w:pPr>
            <w:r w:rsidRPr="0042083A">
              <w:rPr>
                <w:rFonts w:ascii="Calibri" w:hAnsi="Calibri" w:cs="Calibri"/>
                <w:color w:val="auto"/>
                <w:sz w:val="18"/>
              </w:rPr>
              <w:t>10-Minute ERS</w:t>
            </w:r>
          </w:p>
        </w:tc>
        <w:tc>
          <w:tcPr>
            <w:tcW w:w="990" w:type="dxa"/>
            <w:tcBorders>
              <w:bottom w:val="single" w:sz="4" w:space="0" w:color="auto"/>
            </w:tcBorders>
            <w:shd w:val="clear" w:color="auto" w:fill="auto"/>
            <w:tcMar>
              <w:top w:w="72" w:type="dxa"/>
              <w:left w:w="144" w:type="dxa"/>
              <w:bottom w:w="72" w:type="dxa"/>
              <w:right w:w="144" w:type="dxa"/>
            </w:tcMar>
            <w:vAlign w:val="center"/>
          </w:tcPr>
          <w:p w14:paraId="721D4FA6" w14:textId="1A145BB2" w:rsidR="004B58AD" w:rsidRPr="0042083A" w:rsidRDefault="008647F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76</w:t>
            </w:r>
          </w:p>
        </w:tc>
        <w:tc>
          <w:tcPr>
            <w:tcW w:w="2880" w:type="dxa"/>
            <w:tcBorders>
              <w:bottom w:val="single" w:sz="4" w:space="0" w:color="auto"/>
            </w:tcBorders>
            <w:shd w:val="clear" w:color="auto" w:fill="auto"/>
            <w:tcMar>
              <w:top w:w="72" w:type="dxa"/>
              <w:left w:w="144" w:type="dxa"/>
              <w:bottom w:w="72" w:type="dxa"/>
              <w:right w:w="144" w:type="dxa"/>
            </w:tcMar>
            <w:vAlign w:val="center"/>
          </w:tcPr>
          <w:p w14:paraId="69858771" w14:textId="23905363"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 xml:space="preserve">Emergency trigger at EEA Level </w:t>
            </w:r>
            <w:r w:rsidRPr="0042083A">
              <w:rPr>
                <w:rFonts w:ascii="Calibri" w:hAnsi="Calibri" w:cs="Calibri"/>
                <w:color w:val="auto"/>
                <w:sz w:val="16"/>
                <w:szCs w:val="16"/>
              </w:rPr>
              <w:t>2</w:t>
            </w:r>
          </w:p>
        </w:tc>
        <w:tc>
          <w:tcPr>
            <w:tcW w:w="1260" w:type="dxa"/>
            <w:tcBorders>
              <w:bottom w:val="single" w:sz="4" w:space="0" w:color="auto"/>
            </w:tcBorders>
            <w:shd w:val="clear" w:color="auto" w:fill="auto"/>
            <w:tcMar>
              <w:top w:w="72" w:type="dxa"/>
              <w:left w:w="144" w:type="dxa"/>
              <w:bottom w:w="72" w:type="dxa"/>
              <w:right w:w="144" w:type="dxa"/>
            </w:tcMar>
            <w:vAlign w:val="center"/>
          </w:tcPr>
          <w:p w14:paraId="42A9E8DF" w14:textId="6A2BFD79"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$2,</w:t>
            </w:r>
            <w:r w:rsidR="008647FD" w:rsidRPr="0042083A">
              <w:rPr>
                <w:rFonts w:ascii="Calibri" w:hAnsi="Calibri" w:cs="Calibri"/>
                <w:color w:val="auto"/>
                <w:sz w:val="16"/>
                <w:szCs w:val="16"/>
              </w:rPr>
              <w:t>469</w:t>
            </w:r>
          </w:p>
        </w:tc>
        <w:tc>
          <w:tcPr>
            <w:tcW w:w="1260" w:type="dxa"/>
            <w:tcBorders>
              <w:bottom w:val="single" w:sz="4" w:space="0" w:color="auto"/>
            </w:tcBorders>
            <w:shd w:val="clear" w:color="auto" w:fill="auto"/>
            <w:tcMar>
              <w:top w:w="72" w:type="dxa"/>
              <w:left w:w="144" w:type="dxa"/>
              <w:bottom w:w="72" w:type="dxa"/>
              <w:right w:w="144" w:type="dxa"/>
            </w:tcMar>
            <w:vAlign w:val="center"/>
          </w:tcPr>
          <w:p w14:paraId="0B577F4B"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None</w:t>
            </w:r>
          </w:p>
        </w:tc>
        <w:tc>
          <w:tcPr>
            <w:tcW w:w="1524" w:type="dxa"/>
            <w:tcBorders>
              <w:bottom w:val="single" w:sz="4" w:space="0" w:color="auto"/>
            </w:tcBorders>
            <w:shd w:val="clear" w:color="auto" w:fill="auto"/>
            <w:vAlign w:val="center"/>
          </w:tcPr>
          <w:p w14:paraId="36BB1047" w14:textId="391D5933"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Load reduction</w:t>
            </w:r>
          </w:p>
        </w:tc>
      </w:tr>
      <w:tr w:rsidR="0042083A" w:rsidRPr="0042083A" w14:paraId="6501BCE2" w14:textId="77777777" w:rsidTr="0042083A">
        <w:trPr>
          <w:trHeight w:val="187"/>
          <w:jc w:val="center"/>
        </w:trPr>
        <w:tc>
          <w:tcPr>
            <w:tcW w:w="9528" w:type="dxa"/>
            <w:gridSpan w:val="6"/>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FA69728" w14:textId="77777777" w:rsidR="004B58AD" w:rsidRPr="0042083A" w:rsidRDefault="004B58AD" w:rsidP="004B58AD">
            <w:pPr>
              <w:pStyle w:val="BGInsertGraphic"/>
              <w:keepNext/>
              <w:spacing w:before="0"/>
              <w:ind w:left="-58"/>
              <w:rPr>
                <w:rFonts w:ascii="Calibri" w:hAnsi="Calibri" w:cs="Calibri"/>
                <w:b/>
                <w:color w:val="auto"/>
                <w:sz w:val="18"/>
              </w:rPr>
            </w:pPr>
            <w:r w:rsidRPr="0042083A">
              <w:rPr>
                <w:rFonts w:ascii="Calibri" w:hAnsi="Calibri" w:cs="Calibri"/>
                <w:b/>
                <w:color w:val="auto"/>
                <w:sz w:val="18"/>
              </w:rPr>
              <w:t>Load Resources (LRs)</w:t>
            </w:r>
          </w:p>
        </w:tc>
      </w:tr>
      <w:tr w:rsidR="0042083A" w:rsidRPr="0042083A" w14:paraId="42DE7EBE" w14:textId="77777777" w:rsidTr="0042083A">
        <w:trPr>
          <w:trHeight w:val="274"/>
          <w:jc w:val="center"/>
        </w:trPr>
        <w:tc>
          <w:tcPr>
            <w:tcW w:w="1614" w:type="dxa"/>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0EB824EA" w14:textId="77777777" w:rsidR="004B58AD" w:rsidRPr="0042083A" w:rsidRDefault="004B58AD" w:rsidP="004B58AD">
            <w:pPr>
              <w:pStyle w:val="BGInsertGraphic"/>
              <w:keepNext/>
              <w:spacing w:before="0"/>
              <w:ind w:left="-54"/>
              <w:rPr>
                <w:rFonts w:ascii="Calibri" w:hAnsi="Calibri" w:cs="Calibri"/>
                <w:color w:val="auto"/>
                <w:sz w:val="18"/>
              </w:rPr>
            </w:pPr>
            <w:r w:rsidRPr="0042083A">
              <w:rPr>
                <w:rFonts w:ascii="Calibri" w:hAnsi="Calibri" w:cs="Calibri"/>
                <w:color w:val="auto"/>
                <w:sz w:val="18"/>
              </w:rPr>
              <w:t>Non-Controllable LRs</w:t>
            </w:r>
          </w:p>
        </w:tc>
        <w:tc>
          <w:tcPr>
            <w:tcW w:w="99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496CCD52" w14:textId="06A7DFAC"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1,</w:t>
            </w:r>
            <w:r w:rsidR="008647FD" w:rsidRPr="0042083A">
              <w:rPr>
                <w:rFonts w:ascii="Calibri" w:hAnsi="Calibri" w:cs="Calibri"/>
                <w:color w:val="auto"/>
                <w:sz w:val="16"/>
                <w:szCs w:val="16"/>
              </w:rPr>
              <w:t>172</w:t>
            </w:r>
          </w:p>
        </w:tc>
        <w:tc>
          <w:tcPr>
            <w:tcW w:w="288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6E0D91FC" w14:textId="72DBC45E"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Economically dispatch for Responsive Reserve Service (most hours) or energy (few peak hours). Emergency deployment at EEA Level 2</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19A67087" w14:textId="5D7A554C"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$2,</w:t>
            </w:r>
            <w:r w:rsidRPr="0042083A">
              <w:rPr>
                <w:rFonts w:ascii="Calibri" w:hAnsi="Calibri" w:cs="Calibri"/>
                <w:color w:val="auto"/>
                <w:sz w:val="16"/>
                <w:szCs w:val="16"/>
              </w:rPr>
              <w:t>4</w:t>
            </w:r>
            <w:r w:rsidR="008647FD" w:rsidRPr="0042083A">
              <w:rPr>
                <w:rFonts w:ascii="Calibri" w:hAnsi="Calibri" w:cs="Calibri"/>
                <w:color w:val="auto"/>
                <w:sz w:val="16"/>
                <w:szCs w:val="16"/>
              </w:rPr>
              <w:t>69</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2137A7D0"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None</w:t>
            </w:r>
          </w:p>
        </w:tc>
        <w:tc>
          <w:tcPr>
            <w:tcW w:w="1524" w:type="dxa"/>
            <w:tcBorders>
              <w:top w:val="single" w:sz="4" w:space="0" w:color="auto"/>
            </w:tcBorders>
            <w:shd w:val="clear" w:color="auto" w:fill="D9D9D9" w:themeFill="background1" w:themeFillShade="D9"/>
            <w:vAlign w:val="center"/>
          </w:tcPr>
          <w:p w14:paraId="6F2D95F3" w14:textId="35F3DA30" w:rsidR="004B58AD" w:rsidRPr="0042083A" w:rsidRDefault="004B58AD" w:rsidP="004B58AD">
            <w:pPr>
              <w:pStyle w:val="BGInsertGraphic"/>
              <w:keepNext/>
              <w:spacing w:before="0"/>
              <w:ind w:left="86" w:right="86"/>
              <w:rPr>
                <w:rFonts w:ascii="Calibri" w:hAnsi="Calibri" w:cs="Calibri"/>
                <w:color w:val="auto"/>
                <w:sz w:val="16"/>
              </w:rPr>
            </w:pPr>
            <w:r w:rsidRPr="0042083A">
              <w:rPr>
                <w:rFonts w:ascii="Calibri" w:hAnsi="Calibri" w:cs="Calibri"/>
                <w:color w:val="auto"/>
                <w:sz w:val="16"/>
                <w:szCs w:val="16"/>
              </w:rPr>
              <w:t>Load</w:t>
            </w:r>
            <w:r w:rsidRPr="0042083A">
              <w:rPr>
                <w:rFonts w:ascii="Calibri" w:hAnsi="Calibri" w:cs="Calibri"/>
                <w:color w:val="auto"/>
                <w:sz w:val="16"/>
              </w:rPr>
              <w:t xml:space="preserve"> reduction</w:t>
            </w:r>
          </w:p>
        </w:tc>
      </w:tr>
      <w:tr w:rsidR="0042083A" w:rsidRPr="0042083A" w14:paraId="72F55280" w14:textId="77777777" w:rsidTr="0042083A">
        <w:trPr>
          <w:trHeight w:val="274"/>
          <w:jc w:val="center"/>
        </w:trPr>
        <w:tc>
          <w:tcPr>
            <w:tcW w:w="1614" w:type="dxa"/>
            <w:tcBorders>
              <w:bottom w:val="single" w:sz="4" w:space="0" w:color="auto"/>
            </w:tcBorders>
            <w:shd w:val="clear" w:color="auto" w:fill="auto"/>
            <w:tcMar>
              <w:top w:w="72" w:type="dxa"/>
              <w:left w:w="144" w:type="dxa"/>
              <w:bottom w:w="72" w:type="dxa"/>
              <w:right w:w="144" w:type="dxa"/>
            </w:tcMar>
            <w:vAlign w:val="center"/>
            <w:hideMark/>
          </w:tcPr>
          <w:p w14:paraId="6CB1156A" w14:textId="77777777" w:rsidR="004B58AD" w:rsidRPr="0042083A" w:rsidRDefault="004B58AD" w:rsidP="004B58AD">
            <w:pPr>
              <w:pStyle w:val="BGInsertGraphic"/>
              <w:keepNext/>
              <w:spacing w:before="0"/>
              <w:ind w:left="-54"/>
              <w:rPr>
                <w:rFonts w:ascii="Calibri" w:hAnsi="Calibri" w:cs="Calibri"/>
                <w:color w:val="auto"/>
                <w:sz w:val="18"/>
              </w:rPr>
            </w:pPr>
            <w:r w:rsidRPr="0042083A">
              <w:rPr>
                <w:rFonts w:ascii="Calibri" w:hAnsi="Calibri" w:cs="Calibri"/>
                <w:color w:val="auto"/>
                <w:sz w:val="18"/>
              </w:rPr>
              <w:t>Controllable LRs</w:t>
            </w:r>
          </w:p>
        </w:tc>
        <w:tc>
          <w:tcPr>
            <w:tcW w:w="990" w:type="dxa"/>
            <w:tcBorders>
              <w:bottom w:val="single" w:sz="4" w:space="0" w:color="auto"/>
            </w:tcBorders>
            <w:shd w:val="clear" w:color="auto" w:fill="auto"/>
            <w:tcMar>
              <w:top w:w="72" w:type="dxa"/>
              <w:left w:w="144" w:type="dxa"/>
              <w:bottom w:w="72" w:type="dxa"/>
              <w:right w:w="144" w:type="dxa"/>
            </w:tcMar>
            <w:vAlign w:val="center"/>
          </w:tcPr>
          <w:p w14:paraId="608F6DE8"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0</w:t>
            </w:r>
          </w:p>
        </w:tc>
        <w:tc>
          <w:tcPr>
            <w:tcW w:w="2880" w:type="dxa"/>
            <w:tcBorders>
              <w:bottom w:val="single" w:sz="4" w:space="0" w:color="auto"/>
            </w:tcBorders>
            <w:shd w:val="clear" w:color="auto" w:fill="auto"/>
            <w:tcMar>
              <w:top w:w="72" w:type="dxa"/>
              <w:left w:w="144" w:type="dxa"/>
              <w:bottom w:w="72" w:type="dxa"/>
              <w:right w:w="144" w:type="dxa"/>
            </w:tcMar>
            <w:vAlign w:val="center"/>
          </w:tcPr>
          <w:p w14:paraId="7978346B" w14:textId="74094E52"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Currently no controllable LRs modeled in ERCOT</w:t>
            </w:r>
          </w:p>
        </w:tc>
        <w:tc>
          <w:tcPr>
            <w:tcW w:w="1260" w:type="dxa"/>
            <w:tcBorders>
              <w:bottom w:val="single" w:sz="4" w:space="0" w:color="auto"/>
            </w:tcBorders>
            <w:shd w:val="clear" w:color="auto" w:fill="auto"/>
            <w:tcMar>
              <w:top w:w="72" w:type="dxa"/>
              <w:left w:w="144" w:type="dxa"/>
              <w:bottom w:w="72" w:type="dxa"/>
              <w:right w:w="144" w:type="dxa"/>
            </w:tcMar>
            <w:vAlign w:val="center"/>
          </w:tcPr>
          <w:p w14:paraId="137FF698"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i/>
                <w:color w:val="auto"/>
                <w:sz w:val="16"/>
              </w:rPr>
              <w:t>n/a</w:t>
            </w:r>
          </w:p>
        </w:tc>
        <w:tc>
          <w:tcPr>
            <w:tcW w:w="1260" w:type="dxa"/>
            <w:tcBorders>
              <w:bottom w:val="single" w:sz="4" w:space="0" w:color="auto"/>
            </w:tcBorders>
            <w:shd w:val="clear" w:color="auto" w:fill="auto"/>
            <w:tcMar>
              <w:top w:w="72" w:type="dxa"/>
              <w:left w:w="144" w:type="dxa"/>
              <w:bottom w:w="72" w:type="dxa"/>
              <w:right w:w="144" w:type="dxa"/>
            </w:tcMar>
            <w:vAlign w:val="center"/>
          </w:tcPr>
          <w:p w14:paraId="2F23D34D"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i/>
                <w:color w:val="auto"/>
                <w:sz w:val="16"/>
                <w:szCs w:val="16"/>
              </w:rPr>
              <w:t>n/a</w:t>
            </w:r>
          </w:p>
        </w:tc>
        <w:tc>
          <w:tcPr>
            <w:tcW w:w="1524" w:type="dxa"/>
            <w:tcBorders>
              <w:bottom w:val="single" w:sz="4" w:space="0" w:color="auto"/>
            </w:tcBorders>
            <w:shd w:val="clear" w:color="auto" w:fill="auto"/>
            <w:vAlign w:val="center"/>
          </w:tcPr>
          <w:p w14:paraId="0C6DFFA7"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i/>
                <w:color w:val="auto"/>
                <w:sz w:val="16"/>
                <w:szCs w:val="16"/>
              </w:rPr>
              <w:t>n/a</w:t>
            </w:r>
          </w:p>
        </w:tc>
      </w:tr>
      <w:tr w:rsidR="0042083A" w:rsidRPr="0042083A" w14:paraId="4ACB4373" w14:textId="77777777" w:rsidTr="0042083A">
        <w:trPr>
          <w:trHeight w:val="163"/>
          <w:jc w:val="center"/>
        </w:trPr>
        <w:tc>
          <w:tcPr>
            <w:tcW w:w="9528" w:type="dxa"/>
            <w:gridSpan w:val="6"/>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86AF87A" w14:textId="77777777" w:rsidR="004B58AD" w:rsidRPr="0042083A" w:rsidRDefault="004B58AD" w:rsidP="004B58AD">
            <w:pPr>
              <w:pStyle w:val="BGInsertGraphic"/>
              <w:keepNext/>
              <w:spacing w:before="0"/>
              <w:ind w:left="-58"/>
              <w:rPr>
                <w:rFonts w:ascii="Calibri" w:hAnsi="Calibri" w:cs="Calibri"/>
                <w:b/>
                <w:color w:val="auto"/>
                <w:sz w:val="18"/>
              </w:rPr>
            </w:pPr>
            <w:r w:rsidRPr="0042083A">
              <w:rPr>
                <w:rFonts w:ascii="Calibri" w:hAnsi="Calibri" w:cs="Calibri"/>
                <w:b/>
                <w:color w:val="auto"/>
                <w:sz w:val="18"/>
              </w:rPr>
              <w:t>Voluntary Self-Curtailments</w:t>
            </w:r>
          </w:p>
        </w:tc>
      </w:tr>
      <w:tr w:rsidR="0042083A" w:rsidRPr="0042083A" w14:paraId="3B47339B" w14:textId="77777777" w:rsidTr="0042083A">
        <w:trPr>
          <w:trHeight w:val="274"/>
          <w:jc w:val="center"/>
        </w:trPr>
        <w:tc>
          <w:tcPr>
            <w:tcW w:w="1614" w:type="dxa"/>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72E77887" w14:textId="77777777" w:rsidR="004B58AD" w:rsidRPr="0042083A" w:rsidRDefault="004B58AD" w:rsidP="004B58AD">
            <w:pPr>
              <w:pStyle w:val="BGInsertGraphic"/>
              <w:keepNext/>
              <w:spacing w:before="0"/>
              <w:ind w:left="-54"/>
              <w:rPr>
                <w:rFonts w:ascii="Calibri" w:hAnsi="Calibri" w:cs="Calibri"/>
                <w:color w:val="auto"/>
                <w:sz w:val="18"/>
              </w:rPr>
            </w:pPr>
            <w:r w:rsidRPr="0042083A">
              <w:rPr>
                <w:rFonts w:ascii="Calibri" w:hAnsi="Calibri" w:cs="Calibri"/>
                <w:color w:val="auto"/>
                <w:sz w:val="18"/>
              </w:rPr>
              <w:t>4 CP Reductions</w:t>
            </w:r>
          </w:p>
        </w:tc>
        <w:tc>
          <w:tcPr>
            <w:tcW w:w="99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3507C682"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1,700</w:t>
            </w:r>
          </w:p>
        </w:tc>
        <w:tc>
          <w:tcPr>
            <w:tcW w:w="288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06573F9F" w14:textId="0FCD2204" w:rsidR="004B58AD" w:rsidRPr="0042083A" w:rsidRDefault="006831C2" w:rsidP="004B58AD">
            <w:pPr>
              <w:pStyle w:val="BGInsertGraphic"/>
              <w:keepNext/>
              <w:spacing w:before="0"/>
              <w:rPr>
                <w:rFonts w:ascii="Calibri" w:hAnsi="Calibri" w:cs="Calibri"/>
                <w:color w:val="auto"/>
                <w:sz w:val="16"/>
              </w:rPr>
            </w:pPr>
            <w:r>
              <w:rPr>
                <w:rFonts w:ascii="Calibri" w:hAnsi="Calibri" w:cs="Calibri"/>
                <w:color w:val="auto"/>
                <w:sz w:val="16"/>
              </w:rPr>
              <w:t>Load shapes grossed up for projected response and corresponding response modeled on the resource side</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5C307ACC"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i/>
                <w:color w:val="auto"/>
                <w:sz w:val="16"/>
              </w:rPr>
              <w:t>n/a</w:t>
            </w:r>
          </w:p>
        </w:tc>
        <w:tc>
          <w:tcPr>
            <w:tcW w:w="1260" w:type="dxa"/>
            <w:tcBorders>
              <w:top w:val="single" w:sz="4" w:space="0" w:color="auto"/>
            </w:tcBorders>
            <w:shd w:val="clear" w:color="auto" w:fill="D9D9D9" w:themeFill="background1" w:themeFillShade="D9"/>
            <w:tcMar>
              <w:top w:w="72" w:type="dxa"/>
              <w:left w:w="144" w:type="dxa"/>
              <w:bottom w:w="72" w:type="dxa"/>
              <w:right w:w="144" w:type="dxa"/>
            </w:tcMar>
            <w:vAlign w:val="center"/>
          </w:tcPr>
          <w:p w14:paraId="4AE3BB40"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None</w:t>
            </w:r>
          </w:p>
        </w:tc>
        <w:tc>
          <w:tcPr>
            <w:tcW w:w="1524" w:type="dxa"/>
            <w:tcBorders>
              <w:top w:val="single" w:sz="4" w:space="0" w:color="auto"/>
            </w:tcBorders>
            <w:shd w:val="clear" w:color="auto" w:fill="D9D9D9" w:themeFill="background1" w:themeFillShade="D9"/>
            <w:vAlign w:val="center"/>
          </w:tcPr>
          <w:p w14:paraId="1D93699B" w14:textId="6706230D"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None; excluded from reported peak load</w:t>
            </w:r>
          </w:p>
        </w:tc>
      </w:tr>
      <w:tr w:rsidR="0042083A" w:rsidRPr="0042083A" w14:paraId="2E7B3B9F" w14:textId="77777777" w:rsidTr="0042083A">
        <w:trPr>
          <w:trHeight w:val="274"/>
          <w:jc w:val="center"/>
        </w:trPr>
        <w:tc>
          <w:tcPr>
            <w:tcW w:w="1614" w:type="dxa"/>
            <w:shd w:val="clear" w:color="auto" w:fill="auto"/>
            <w:tcMar>
              <w:top w:w="72" w:type="dxa"/>
              <w:left w:w="144" w:type="dxa"/>
              <w:bottom w:w="72" w:type="dxa"/>
              <w:right w:w="144" w:type="dxa"/>
            </w:tcMar>
            <w:vAlign w:val="center"/>
            <w:hideMark/>
          </w:tcPr>
          <w:p w14:paraId="3593820C" w14:textId="77777777" w:rsidR="004B58AD" w:rsidRPr="0042083A" w:rsidRDefault="004B58AD" w:rsidP="004B58AD">
            <w:pPr>
              <w:pStyle w:val="BGInsertGraphic"/>
              <w:keepNext/>
              <w:spacing w:before="0"/>
              <w:ind w:left="-54"/>
              <w:rPr>
                <w:rFonts w:ascii="Calibri" w:hAnsi="Calibri" w:cs="Calibri"/>
                <w:color w:val="auto"/>
                <w:sz w:val="18"/>
              </w:rPr>
            </w:pPr>
            <w:r w:rsidRPr="0042083A">
              <w:rPr>
                <w:rFonts w:ascii="Calibri" w:hAnsi="Calibri" w:cs="Calibri"/>
                <w:color w:val="auto"/>
                <w:sz w:val="18"/>
              </w:rPr>
              <w:t>Price Responsive Demand</w:t>
            </w:r>
          </w:p>
        </w:tc>
        <w:tc>
          <w:tcPr>
            <w:tcW w:w="990" w:type="dxa"/>
            <w:shd w:val="clear" w:color="auto" w:fill="auto"/>
            <w:tcMar>
              <w:top w:w="72" w:type="dxa"/>
              <w:left w:w="144" w:type="dxa"/>
              <w:bottom w:w="72" w:type="dxa"/>
              <w:right w:w="144" w:type="dxa"/>
            </w:tcMar>
            <w:vAlign w:val="center"/>
          </w:tcPr>
          <w:p w14:paraId="76F0DDCC" w14:textId="2C43F5E2" w:rsidR="004B58AD" w:rsidRPr="0042083A" w:rsidRDefault="00E6061F" w:rsidP="004B58AD">
            <w:pPr>
              <w:pStyle w:val="BGInsertGraphic"/>
              <w:keepNext/>
              <w:spacing w:before="0"/>
              <w:rPr>
                <w:rFonts w:ascii="Calibri" w:hAnsi="Calibri" w:cs="Calibri"/>
                <w:color w:val="auto"/>
                <w:sz w:val="16"/>
              </w:rPr>
            </w:pPr>
            <w:r>
              <w:rPr>
                <w:rFonts w:ascii="Calibri" w:hAnsi="Calibri" w:cs="Calibri"/>
                <w:color w:val="auto"/>
                <w:sz w:val="16"/>
                <w:szCs w:val="16"/>
              </w:rPr>
              <w:t>Variable</w:t>
            </w:r>
          </w:p>
        </w:tc>
        <w:tc>
          <w:tcPr>
            <w:tcW w:w="2880" w:type="dxa"/>
            <w:shd w:val="clear" w:color="auto" w:fill="auto"/>
            <w:tcMar>
              <w:top w:w="72" w:type="dxa"/>
              <w:left w:w="144" w:type="dxa"/>
              <w:bottom w:w="72" w:type="dxa"/>
              <w:right w:w="144" w:type="dxa"/>
            </w:tcMar>
            <w:vAlign w:val="center"/>
          </w:tcPr>
          <w:p w14:paraId="1179DA57" w14:textId="240E8984" w:rsidR="004B58AD" w:rsidRPr="0042083A" w:rsidRDefault="006831C2" w:rsidP="004B58AD">
            <w:pPr>
              <w:pStyle w:val="BGInsertGraphic"/>
              <w:keepNext/>
              <w:spacing w:before="0"/>
              <w:rPr>
                <w:rFonts w:ascii="Calibri" w:hAnsi="Calibri" w:cs="Calibri"/>
                <w:color w:val="auto"/>
                <w:sz w:val="16"/>
              </w:rPr>
            </w:pPr>
            <w:r>
              <w:rPr>
                <w:rFonts w:ascii="Calibri" w:hAnsi="Calibri" w:cs="Calibri"/>
                <w:color w:val="auto"/>
                <w:sz w:val="16"/>
              </w:rPr>
              <w:t xml:space="preserve">Load shapes explicitly grossed up for expected response. </w:t>
            </w:r>
            <w:r w:rsidR="004B58AD" w:rsidRPr="0042083A">
              <w:rPr>
                <w:rFonts w:ascii="Calibri" w:hAnsi="Calibri" w:cs="Calibri"/>
                <w:color w:val="auto"/>
                <w:sz w:val="16"/>
              </w:rPr>
              <w:t>Economic self-curtailment</w:t>
            </w:r>
            <w:r>
              <w:rPr>
                <w:rFonts w:ascii="Calibri" w:hAnsi="Calibri" w:cs="Calibri"/>
                <w:color w:val="auto"/>
                <w:sz w:val="16"/>
              </w:rPr>
              <w:t xml:space="preserve"> modeled on resource side</w:t>
            </w:r>
          </w:p>
        </w:tc>
        <w:tc>
          <w:tcPr>
            <w:tcW w:w="1260" w:type="dxa"/>
            <w:shd w:val="clear" w:color="auto" w:fill="auto"/>
            <w:tcMar>
              <w:top w:w="72" w:type="dxa"/>
              <w:left w:w="144" w:type="dxa"/>
              <w:bottom w:w="72" w:type="dxa"/>
              <w:right w:w="144" w:type="dxa"/>
            </w:tcMar>
            <w:vAlign w:val="center"/>
          </w:tcPr>
          <w:p w14:paraId="0AB9FF92"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w:t>
            </w:r>
            <w:r w:rsidRPr="0042083A">
              <w:rPr>
                <w:rFonts w:ascii="Calibri" w:hAnsi="Calibri" w:cs="Calibri"/>
                <w:color w:val="auto"/>
                <w:sz w:val="16"/>
                <w:szCs w:val="16"/>
              </w:rPr>
              <w:t>5,000</w:t>
            </w:r>
            <w:r w:rsidRPr="0042083A">
              <w:rPr>
                <w:rFonts w:ascii="Calibri" w:hAnsi="Calibri" w:cs="Calibri"/>
                <w:color w:val="auto"/>
                <w:sz w:val="16"/>
              </w:rPr>
              <w:t xml:space="preserve"> - $9,000/MWh</w:t>
            </w:r>
          </w:p>
        </w:tc>
        <w:tc>
          <w:tcPr>
            <w:tcW w:w="1260" w:type="dxa"/>
            <w:shd w:val="clear" w:color="auto" w:fill="auto"/>
            <w:tcMar>
              <w:top w:w="72" w:type="dxa"/>
              <w:left w:w="144" w:type="dxa"/>
              <w:bottom w:w="72" w:type="dxa"/>
              <w:right w:w="144" w:type="dxa"/>
            </w:tcMar>
            <w:vAlign w:val="center"/>
          </w:tcPr>
          <w:p w14:paraId="1C8E2DDA" w14:textId="77777777"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szCs w:val="16"/>
              </w:rPr>
              <w:t>None</w:t>
            </w:r>
          </w:p>
        </w:tc>
        <w:tc>
          <w:tcPr>
            <w:tcW w:w="1524" w:type="dxa"/>
            <w:shd w:val="clear" w:color="auto" w:fill="auto"/>
            <w:vAlign w:val="center"/>
          </w:tcPr>
          <w:p w14:paraId="1581C550" w14:textId="717B8BBA" w:rsidR="004B58AD" w:rsidRPr="0042083A" w:rsidRDefault="004B58AD" w:rsidP="004B58AD">
            <w:pPr>
              <w:pStyle w:val="BGInsertGraphic"/>
              <w:keepNext/>
              <w:spacing w:before="0"/>
              <w:rPr>
                <w:rFonts w:ascii="Calibri" w:hAnsi="Calibri" w:cs="Calibri"/>
                <w:color w:val="auto"/>
                <w:sz w:val="16"/>
              </w:rPr>
            </w:pPr>
            <w:r w:rsidRPr="0042083A">
              <w:rPr>
                <w:rFonts w:ascii="Calibri" w:hAnsi="Calibri" w:cs="Calibri"/>
                <w:color w:val="auto"/>
                <w:sz w:val="16"/>
              </w:rPr>
              <w:t>None; excluded from reported peak load</w:t>
            </w:r>
          </w:p>
        </w:tc>
      </w:tr>
    </w:tbl>
    <w:bookmarkEnd w:id="56"/>
    <w:p w14:paraId="48AB0705" w14:textId="77777777" w:rsidR="004B58AD" w:rsidRPr="008647FD" w:rsidRDefault="004B58AD" w:rsidP="004B58AD">
      <w:pPr>
        <w:pStyle w:val="BGNotesFiguresTables"/>
        <w:keepNext/>
        <w:tabs>
          <w:tab w:val="left" w:pos="180"/>
          <w:tab w:val="left" w:pos="900"/>
          <w:tab w:val="left" w:pos="1350"/>
        </w:tabs>
        <w:ind w:left="360" w:right="0" w:hanging="360"/>
        <w:rPr>
          <w:color w:val="auto"/>
        </w:rPr>
      </w:pPr>
      <w:r w:rsidRPr="008647FD">
        <w:rPr>
          <w:i/>
          <w:color w:val="auto"/>
        </w:rPr>
        <w:t>Sources and Notes:</w:t>
      </w:r>
    </w:p>
    <w:p w14:paraId="01FA9348" w14:textId="132E531C" w:rsidR="004B58AD" w:rsidRPr="00165615" w:rsidRDefault="004B58AD" w:rsidP="00843F84">
      <w:pPr>
        <w:pStyle w:val="BGNotesFiguresTables"/>
        <w:tabs>
          <w:tab w:val="left" w:pos="180"/>
          <w:tab w:val="left" w:pos="900"/>
        </w:tabs>
        <w:spacing w:before="0"/>
        <w:ind w:left="180" w:right="0" w:hanging="180"/>
        <w:jc w:val="left"/>
        <w:rPr>
          <w:color w:val="C00000"/>
        </w:rPr>
      </w:pPr>
      <w:r w:rsidRPr="008647FD">
        <w:rPr>
          <w:color w:val="auto"/>
        </w:rPr>
        <w:tab/>
        <w:t xml:space="preserve">Developed based on analyses of recent DR participation in each program and input and data from ERCOT staff.  See corresponding sections in the Appendix for more detail. </w:t>
      </w:r>
    </w:p>
    <w:p w14:paraId="04F0E037" w14:textId="4C83EFFF" w:rsidR="004B58AD" w:rsidRPr="00165615" w:rsidRDefault="004B58AD" w:rsidP="004B58AD">
      <w:pPr>
        <w:pStyle w:val="BGNotesFiguresTables"/>
        <w:tabs>
          <w:tab w:val="left" w:pos="180"/>
          <w:tab w:val="left" w:pos="900"/>
        </w:tabs>
        <w:spacing w:before="0"/>
        <w:ind w:left="180" w:right="0" w:hanging="180"/>
        <w:jc w:val="left"/>
        <w:rPr>
          <w:color w:val="C00000"/>
        </w:rPr>
      </w:pPr>
      <w:r w:rsidRPr="00165615">
        <w:rPr>
          <w:color w:val="C00000"/>
        </w:rPr>
        <w:tab/>
      </w:r>
    </w:p>
    <w:p w14:paraId="64675983" w14:textId="696CAD09" w:rsidR="004B58AD" w:rsidRDefault="004B58AD" w:rsidP="00DA56F7">
      <w:pPr>
        <w:pStyle w:val="Heading2"/>
        <w:numPr>
          <w:ilvl w:val="0"/>
          <w:numId w:val="25"/>
        </w:numPr>
      </w:pPr>
      <w:bookmarkStart w:id="57" w:name="_Toc525079587"/>
      <w:bookmarkStart w:id="58" w:name="_Ref525849782"/>
      <w:bookmarkStart w:id="59" w:name="_Toc525851010"/>
      <w:bookmarkStart w:id="60" w:name="_Toc525938042"/>
      <w:bookmarkStart w:id="61" w:name="_Toc526279098"/>
      <w:bookmarkStart w:id="62" w:name="_Toc526437254"/>
      <w:bookmarkStart w:id="63" w:name="_Toc526439898"/>
      <w:bookmarkStart w:id="64" w:name="_Toc526440008"/>
      <w:bookmarkStart w:id="65" w:name="_Toc532834285"/>
      <w:bookmarkStart w:id="66" w:name="_Toc57193557"/>
      <w:r>
        <w:t>Study Sensitivities and Scenarios</w:t>
      </w:r>
      <w:bookmarkEnd w:id="57"/>
      <w:bookmarkEnd w:id="58"/>
      <w:bookmarkEnd w:id="59"/>
      <w:bookmarkEnd w:id="60"/>
      <w:bookmarkEnd w:id="61"/>
      <w:bookmarkEnd w:id="62"/>
      <w:bookmarkEnd w:id="63"/>
      <w:bookmarkEnd w:id="64"/>
      <w:bookmarkEnd w:id="65"/>
      <w:bookmarkEnd w:id="66"/>
    </w:p>
    <w:p w14:paraId="584C1C35" w14:textId="3630E8E6" w:rsidR="00F55D48" w:rsidRDefault="004B58AD" w:rsidP="004B58AD">
      <w:pPr>
        <w:pStyle w:val="BGNormal125"/>
        <w:rPr>
          <w:rFonts w:ascii="Calibri" w:hAnsi="Calibri" w:cs="Calibri"/>
          <w:color w:val="auto"/>
          <w:sz w:val="22"/>
          <w:szCs w:val="22"/>
        </w:rPr>
      </w:pPr>
      <w:r w:rsidRPr="0042083A">
        <w:rPr>
          <w:rFonts w:ascii="Calibri" w:hAnsi="Calibri" w:cs="Calibri"/>
          <w:color w:val="auto"/>
          <w:sz w:val="22"/>
          <w:szCs w:val="22"/>
        </w:rPr>
        <w:t>In addition to the base case analysis described above, we simulated three alternative scenarios and several “sensitivity” analyses to inform how the MERM and EORM could vary under different plausible conditions.  The three scenarios are “High Renewables Penetration,” “</w:t>
      </w:r>
      <w:r w:rsidR="0042083A" w:rsidRPr="0042083A">
        <w:rPr>
          <w:rFonts w:ascii="Calibri" w:hAnsi="Calibri" w:cs="Calibri"/>
          <w:color w:val="auto"/>
          <w:sz w:val="22"/>
          <w:szCs w:val="22"/>
        </w:rPr>
        <w:t xml:space="preserve">Storage </w:t>
      </w:r>
      <w:r w:rsidR="00C80117">
        <w:rPr>
          <w:rFonts w:ascii="Calibri" w:hAnsi="Calibri" w:cs="Calibri"/>
          <w:color w:val="auto"/>
          <w:sz w:val="22"/>
          <w:szCs w:val="22"/>
        </w:rPr>
        <w:t>Potential at the High Renewables Penetration</w:t>
      </w:r>
      <w:r w:rsidRPr="0042083A">
        <w:rPr>
          <w:rFonts w:ascii="Calibri" w:hAnsi="Calibri" w:cs="Calibri"/>
          <w:color w:val="auto"/>
          <w:sz w:val="22"/>
          <w:szCs w:val="22"/>
        </w:rPr>
        <w:t>,” and “</w:t>
      </w:r>
      <w:r w:rsidR="00383359">
        <w:rPr>
          <w:rFonts w:ascii="Calibri" w:hAnsi="Calibri" w:cs="Calibri"/>
          <w:color w:val="auto"/>
          <w:sz w:val="22"/>
          <w:szCs w:val="22"/>
        </w:rPr>
        <w:t xml:space="preserve">Lower </w:t>
      </w:r>
      <w:r w:rsidR="00F242EE">
        <w:rPr>
          <w:rFonts w:ascii="Calibri" w:hAnsi="Calibri" w:cs="Calibri"/>
          <w:color w:val="auto"/>
          <w:sz w:val="22"/>
          <w:szCs w:val="22"/>
        </w:rPr>
        <w:t>Equivalent Forced Outage Rate (</w:t>
      </w:r>
      <w:r w:rsidR="0042083A" w:rsidRPr="0042083A">
        <w:rPr>
          <w:rFonts w:ascii="Calibri" w:hAnsi="Calibri" w:cs="Calibri"/>
          <w:color w:val="auto"/>
          <w:sz w:val="22"/>
          <w:szCs w:val="22"/>
        </w:rPr>
        <w:t>EFOR</w:t>
      </w:r>
      <w:r w:rsidR="00F242EE">
        <w:rPr>
          <w:rFonts w:ascii="Calibri" w:hAnsi="Calibri" w:cs="Calibri"/>
          <w:color w:val="auto"/>
          <w:sz w:val="22"/>
          <w:szCs w:val="22"/>
        </w:rPr>
        <w:t>)</w:t>
      </w:r>
      <w:r w:rsidRPr="0042083A">
        <w:rPr>
          <w:rFonts w:ascii="Calibri" w:hAnsi="Calibri" w:cs="Calibri"/>
          <w:color w:val="auto"/>
          <w:sz w:val="22"/>
          <w:szCs w:val="22"/>
        </w:rPr>
        <w:t>”</w:t>
      </w:r>
      <w:r w:rsidR="0042083A" w:rsidRPr="0042083A">
        <w:rPr>
          <w:rFonts w:ascii="Calibri" w:hAnsi="Calibri" w:cs="Calibri"/>
          <w:color w:val="auto"/>
          <w:sz w:val="22"/>
          <w:szCs w:val="22"/>
        </w:rPr>
        <w:t>.</w:t>
      </w:r>
      <w:r w:rsidRPr="0042083A">
        <w:rPr>
          <w:rFonts w:ascii="Calibri" w:hAnsi="Calibri" w:cs="Calibri"/>
          <w:color w:val="auto"/>
          <w:sz w:val="22"/>
          <w:szCs w:val="22"/>
        </w:rPr>
        <w:t xml:space="preserve">  The high renewable penetration scenario adds much more wind and solar generation to explore the implications of understating renewable penetration in 202</w:t>
      </w:r>
      <w:r w:rsidR="0042083A" w:rsidRPr="0042083A">
        <w:rPr>
          <w:rFonts w:ascii="Calibri" w:hAnsi="Calibri" w:cs="Calibri"/>
          <w:color w:val="auto"/>
          <w:sz w:val="22"/>
          <w:szCs w:val="22"/>
        </w:rPr>
        <w:t>4</w:t>
      </w:r>
      <w:r w:rsidRPr="0042083A">
        <w:rPr>
          <w:rFonts w:ascii="Calibri" w:hAnsi="Calibri" w:cs="Calibri"/>
          <w:color w:val="auto"/>
          <w:sz w:val="22"/>
          <w:szCs w:val="22"/>
        </w:rPr>
        <w:t xml:space="preserve"> (or beyond).  </w:t>
      </w:r>
      <w:r w:rsidRPr="009163BD">
        <w:rPr>
          <w:rFonts w:ascii="Calibri" w:hAnsi="Calibri" w:cs="Calibri"/>
          <w:color w:val="auto"/>
          <w:sz w:val="22"/>
          <w:szCs w:val="22"/>
        </w:rPr>
        <w:t xml:space="preserve">The </w:t>
      </w:r>
      <w:r w:rsidR="000A7ED8" w:rsidRPr="009163BD">
        <w:rPr>
          <w:rFonts w:ascii="Calibri" w:hAnsi="Calibri" w:cs="Calibri"/>
          <w:color w:val="auto"/>
          <w:sz w:val="22"/>
          <w:szCs w:val="22"/>
        </w:rPr>
        <w:t xml:space="preserve">storage </w:t>
      </w:r>
      <w:r w:rsidR="00D91D84" w:rsidRPr="009163BD">
        <w:rPr>
          <w:rFonts w:ascii="Calibri" w:hAnsi="Calibri" w:cs="Calibri"/>
          <w:color w:val="auto"/>
          <w:sz w:val="22"/>
          <w:szCs w:val="22"/>
        </w:rPr>
        <w:t>scenario evaluates the economic potential for batteries using the renewable penetrations in the high renewable scenario</w:t>
      </w:r>
      <w:r w:rsidR="000A7ED8" w:rsidRPr="009163BD">
        <w:rPr>
          <w:rFonts w:ascii="Calibri" w:hAnsi="Calibri" w:cs="Calibri"/>
          <w:color w:val="auto"/>
          <w:sz w:val="22"/>
          <w:szCs w:val="22"/>
        </w:rPr>
        <w:t xml:space="preserve">. </w:t>
      </w:r>
      <w:r w:rsidR="00383359" w:rsidRPr="003F6A8E">
        <w:rPr>
          <w:rFonts w:ascii="Calibri" w:hAnsi="Calibri" w:cs="Calibri"/>
          <w:color w:val="auto"/>
          <w:sz w:val="22"/>
          <w:szCs w:val="22"/>
        </w:rPr>
        <w:t xml:space="preserve">The </w:t>
      </w:r>
      <w:r w:rsidR="00383359" w:rsidRPr="00E6061F">
        <w:rPr>
          <w:rFonts w:ascii="Calibri" w:hAnsi="Calibri" w:cs="Calibri"/>
          <w:color w:val="auto"/>
          <w:sz w:val="22"/>
          <w:szCs w:val="22"/>
        </w:rPr>
        <w:t>Lower EFOR study uses the class average forced outage rate assumptions from the 2018 study to isolate the impact of more recent outage data.</w:t>
      </w:r>
      <w:r w:rsidRPr="00E6061F">
        <w:rPr>
          <w:rFonts w:ascii="Calibri" w:hAnsi="Calibri" w:cs="Calibri"/>
          <w:color w:val="auto"/>
          <w:sz w:val="22"/>
          <w:szCs w:val="22"/>
        </w:rPr>
        <w:t xml:space="preserve">  The </w:t>
      </w:r>
      <w:r w:rsidRPr="0042083A">
        <w:rPr>
          <w:rFonts w:ascii="Calibri" w:hAnsi="Calibri" w:cs="Calibri"/>
          <w:color w:val="auto"/>
          <w:sz w:val="22"/>
          <w:szCs w:val="22"/>
        </w:rPr>
        <w:t xml:space="preserve">assumptions for each scenario are summarized in </w:t>
      </w:r>
      <w:r w:rsidRPr="0042083A">
        <w:rPr>
          <w:rFonts w:ascii="Calibri" w:hAnsi="Calibri" w:cs="Calibri"/>
          <w:color w:val="auto"/>
          <w:sz w:val="22"/>
          <w:szCs w:val="22"/>
        </w:rPr>
        <w:fldChar w:fldCharType="begin"/>
      </w:r>
      <w:r w:rsidRPr="0042083A">
        <w:rPr>
          <w:rFonts w:ascii="Calibri" w:hAnsi="Calibri" w:cs="Calibri"/>
          <w:color w:val="auto"/>
          <w:sz w:val="22"/>
          <w:szCs w:val="22"/>
        </w:rPr>
        <w:instrText xml:space="preserve"> REF _Ref526239909 \h </w:instrText>
      </w:r>
      <w:r w:rsidR="00165615" w:rsidRPr="0042083A">
        <w:rPr>
          <w:rFonts w:ascii="Calibri" w:hAnsi="Calibri" w:cs="Calibri"/>
          <w:color w:val="auto"/>
          <w:sz w:val="22"/>
          <w:szCs w:val="22"/>
        </w:rPr>
        <w:instrText xml:space="preserve"> \* MERGEFORMAT </w:instrText>
      </w:r>
      <w:r w:rsidRPr="0042083A">
        <w:rPr>
          <w:rFonts w:ascii="Calibri" w:hAnsi="Calibri" w:cs="Calibri"/>
          <w:color w:val="auto"/>
          <w:sz w:val="22"/>
          <w:szCs w:val="22"/>
        </w:rPr>
      </w:r>
      <w:r w:rsidRPr="0042083A">
        <w:rPr>
          <w:rFonts w:ascii="Calibri" w:hAnsi="Calibri" w:cs="Calibri"/>
          <w:color w:val="auto"/>
          <w:sz w:val="22"/>
          <w:szCs w:val="22"/>
        </w:rPr>
        <w:fldChar w:fldCharType="separate"/>
      </w:r>
      <w:r w:rsidR="003F6A8E" w:rsidRPr="009163BD">
        <w:rPr>
          <w:rFonts w:ascii="Calibri" w:hAnsi="Calibri" w:cs="Calibri"/>
          <w:color w:val="auto"/>
          <w:sz w:val="22"/>
          <w:szCs w:val="22"/>
        </w:rPr>
        <w:t xml:space="preserve">Table </w:t>
      </w:r>
      <w:r w:rsidR="003F6A8E" w:rsidRPr="009163BD">
        <w:rPr>
          <w:rFonts w:ascii="Calibri" w:hAnsi="Calibri" w:cs="Calibri"/>
          <w:noProof/>
          <w:color w:val="auto"/>
          <w:sz w:val="22"/>
          <w:szCs w:val="22"/>
        </w:rPr>
        <w:t>5</w:t>
      </w:r>
      <w:r w:rsidRPr="0042083A">
        <w:rPr>
          <w:rFonts w:ascii="Calibri" w:hAnsi="Calibri" w:cs="Calibri"/>
          <w:color w:val="auto"/>
          <w:sz w:val="22"/>
          <w:szCs w:val="22"/>
        </w:rPr>
        <w:fldChar w:fldCharType="end"/>
      </w:r>
      <w:r w:rsidRPr="0042083A">
        <w:rPr>
          <w:rFonts w:ascii="Calibri" w:hAnsi="Calibri" w:cs="Calibri"/>
          <w:color w:val="auto"/>
          <w:sz w:val="22"/>
          <w:szCs w:val="22"/>
        </w:rPr>
        <w:t xml:space="preserve"> below.</w:t>
      </w:r>
    </w:p>
    <w:p w14:paraId="0D637F2C" w14:textId="10DF7B9C" w:rsidR="00DD3E52" w:rsidRDefault="00DD3E52" w:rsidP="00DD3E52"/>
    <w:p w14:paraId="6895BA01" w14:textId="77777777" w:rsidR="00DD3E52" w:rsidRPr="00077409" w:rsidRDefault="00DD3E52" w:rsidP="00DD3E52"/>
    <w:p w14:paraId="53D30D67" w14:textId="4FAF15CB" w:rsidR="004B58AD" w:rsidRPr="0042083A" w:rsidRDefault="004B58AD" w:rsidP="00326E77">
      <w:pPr>
        <w:pStyle w:val="Caption"/>
        <w:jc w:val="center"/>
        <w:rPr>
          <w:b/>
          <w:bCs/>
          <w:i w:val="0"/>
          <w:iCs w:val="0"/>
          <w:color w:val="auto"/>
          <w:sz w:val="22"/>
          <w:szCs w:val="22"/>
        </w:rPr>
      </w:pPr>
      <w:bookmarkStart w:id="67" w:name="_Ref526239909"/>
      <w:r w:rsidRPr="0042083A">
        <w:rPr>
          <w:b/>
          <w:bCs/>
          <w:i w:val="0"/>
          <w:iCs w:val="0"/>
          <w:color w:val="auto"/>
          <w:sz w:val="22"/>
          <w:szCs w:val="22"/>
        </w:rPr>
        <w:t xml:space="preserve">Table </w:t>
      </w:r>
      <w:r w:rsidRPr="0042083A">
        <w:rPr>
          <w:b/>
          <w:bCs/>
          <w:i w:val="0"/>
          <w:iCs w:val="0"/>
          <w:noProof/>
          <w:color w:val="auto"/>
          <w:sz w:val="22"/>
          <w:szCs w:val="22"/>
        </w:rPr>
        <w:fldChar w:fldCharType="begin"/>
      </w:r>
      <w:r w:rsidRPr="0042083A">
        <w:rPr>
          <w:b/>
          <w:bCs/>
          <w:i w:val="0"/>
          <w:iCs w:val="0"/>
          <w:noProof/>
          <w:color w:val="auto"/>
          <w:sz w:val="22"/>
          <w:szCs w:val="22"/>
        </w:rPr>
        <w:instrText xml:space="preserve"> SEQ Table \* ARABIC </w:instrText>
      </w:r>
      <w:r w:rsidRPr="0042083A">
        <w:rPr>
          <w:b/>
          <w:bCs/>
          <w:i w:val="0"/>
          <w:iCs w:val="0"/>
          <w:noProof/>
          <w:color w:val="auto"/>
          <w:sz w:val="22"/>
          <w:szCs w:val="22"/>
        </w:rPr>
        <w:fldChar w:fldCharType="separate"/>
      </w:r>
      <w:r w:rsidR="003F6A8E">
        <w:rPr>
          <w:b/>
          <w:bCs/>
          <w:i w:val="0"/>
          <w:iCs w:val="0"/>
          <w:noProof/>
          <w:color w:val="auto"/>
          <w:sz w:val="22"/>
          <w:szCs w:val="22"/>
        </w:rPr>
        <w:t>5</w:t>
      </w:r>
      <w:r w:rsidRPr="0042083A">
        <w:rPr>
          <w:b/>
          <w:bCs/>
          <w:i w:val="0"/>
          <w:iCs w:val="0"/>
          <w:noProof/>
          <w:color w:val="auto"/>
          <w:sz w:val="22"/>
          <w:szCs w:val="22"/>
        </w:rPr>
        <w:fldChar w:fldCharType="end"/>
      </w:r>
      <w:bookmarkEnd w:id="67"/>
      <w:r w:rsidR="00326E77" w:rsidRPr="0042083A">
        <w:rPr>
          <w:b/>
          <w:bCs/>
          <w:i w:val="0"/>
          <w:iCs w:val="0"/>
          <w:noProof/>
          <w:color w:val="auto"/>
          <w:sz w:val="22"/>
          <w:szCs w:val="22"/>
        </w:rPr>
        <w:t xml:space="preserve">. </w:t>
      </w:r>
      <w:r w:rsidRPr="0042083A">
        <w:rPr>
          <w:b/>
          <w:bCs/>
          <w:i w:val="0"/>
          <w:iCs w:val="0"/>
          <w:color w:val="auto"/>
          <w:sz w:val="22"/>
          <w:szCs w:val="22"/>
        </w:rPr>
        <w:t>Description of Modeled Scenarios</w:t>
      </w:r>
    </w:p>
    <w:tbl>
      <w:tblPr>
        <w:tblW w:w="9360" w:type="dxa"/>
        <w:tblCellMar>
          <w:left w:w="0" w:type="dxa"/>
          <w:right w:w="0" w:type="dxa"/>
        </w:tblCellMar>
        <w:tblLook w:val="0420" w:firstRow="1" w:lastRow="0" w:firstColumn="0" w:lastColumn="0" w:noHBand="0" w:noVBand="1"/>
      </w:tblPr>
      <w:tblGrid>
        <w:gridCol w:w="1800"/>
        <w:gridCol w:w="2160"/>
        <w:gridCol w:w="3060"/>
        <w:gridCol w:w="2340"/>
      </w:tblGrid>
      <w:tr w:rsidR="0042083A" w:rsidRPr="0042083A" w14:paraId="6A5C4DFF" w14:textId="77777777" w:rsidTr="0042083A">
        <w:trPr>
          <w:trHeight w:val="584"/>
        </w:trPr>
        <w:tc>
          <w:tcPr>
            <w:tcW w:w="180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73A2463"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b/>
                <w:bCs/>
                <w:color w:val="000000"/>
                <w:sz w:val="20"/>
                <w:szCs w:val="20"/>
              </w:rPr>
              <w:t>Scenario Name</w:t>
            </w:r>
          </w:p>
        </w:tc>
        <w:tc>
          <w:tcPr>
            <w:tcW w:w="21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C92BDA8"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b/>
                <w:bCs/>
                <w:color w:val="000000"/>
                <w:sz w:val="20"/>
                <w:szCs w:val="20"/>
              </w:rPr>
              <w:t>Base Case Assumption</w:t>
            </w:r>
          </w:p>
        </w:tc>
        <w:tc>
          <w:tcPr>
            <w:tcW w:w="30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482D21D"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b/>
                <w:bCs/>
                <w:color w:val="000000"/>
                <w:sz w:val="20"/>
                <w:szCs w:val="20"/>
              </w:rPr>
              <w:t>Alternate Scenario Assumption</w:t>
            </w:r>
          </w:p>
        </w:tc>
        <w:tc>
          <w:tcPr>
            <w:tcW w:w="234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9C37495"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b/>
                <w:bCs/>
                <w:color w:val="000000"/>
                <w:sz w:val="20"/>
                <w:szCs w:val="20"/>
              </w:rPr>
              <w:t>Expected EORM Impact</w:t>
            </w:r>
          </w:p>
        </w:tc>
      </w:tr>
      <w:tr w:rsidR="0042083A" w:rsidRPr="0042083A" w14:paraId="526A1D8E" w14:textId="77777777" w:rsidTr="0042083A">
        <w:trPr>
          <w:trHeight w:val="584"/>
        </w:trPr>
        <w:tc>
          <w:tcPr>
            <w:tcW w:w="1800" w:type="dxa"/>
            <w:tcBorders>
              <w:top w:val="single" w:sz="8" w:space="0" w:color="000000"/>
              <w:left w:val="nil"/>
              <w:bottom w:val="nil"/>
              <w:right w:val="nil"/>
            </w:tcBorders>
            <w:shd w:val="clear" w:color="auto" w:fill="D9D9D9"/>
            <w:tcMar>
              <w:top w:w="72" w:type="dxa"/>
              <w:left w:w="144" w:type="dxa"/>
              <w:bottom w:w="72" w:type="dxa"/>
              <w:right w:w="144" w:type="dxa"/>
            </w:tcMar>
            <w:vAlign w:val="center"/>
            <w:hideMark/>
          </w:tcPr>
          <w:p w14:paraId="72290F9E"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color w:val="000000"/>
                <w:sz w:val="20"/>
                <w:szCs w:val="20"/>
              </w:rPr>
              <w:t>High Renewables Penetration</w:t>
            </w:r>
          </w:p>
        </w:tc>
        <w:tc>
          <w:tcPr>
            <w:tcW w:w="2160" w:type="dxa"/>
            <w:tcBorders>
              <w:top w:val="single" w:sz="8" w:space="0" w:color="000000"/>
              <w:left w:val="nil"/>
              <w:bottom w:val="nil"/>
              <w:right w:val="nil"/>
            </w:tcBorders>
            <w:shd w:val="clear" w:color="auto" w:fill="D9D9D9"/>
            <w:tcMar>
              <w:top w:w="72" w:type="dxa"/>
              <w:left w:w="144" w:type="dxa"/>
              <w:bottom w:w="72" w:type="dxa"/>
              <w:right w:w="144" w:type="dxa"/>
            </w:tcMar>
            <w:vAlign w:val="center"/>
            <w:hideMark/>
          </w:tcPr>
          <w:p w14:paraId="2C491464" w14:textId="7AE311D7" w:rsidR="0042083A" w:rsidRPr="0042083A" w:rsidRDefault="0042083A" w:rsidP="00C933B4">
            <w:pPr>
              <w:spacing w:after="0" w:line="240" w:lineRule="auto"/>
              <w:jc w:val="center"/>
              <w:rPr>
                <w:rFonts w:eastAsia="Times New Roman" w:cs="Calibri"/>
                <w:kern w:val="0"/>
                <w:sz w:val="20"/>
                <w:szCs w:val="20"/>
              </w:rPr>
            </w:pPr>
            <w:r w:rsidRPr="0042083A">
              <w:rPr>
                <w:rFonts w:eastAsia="Times New Roman" w:cs="Calibri"/>
                <w:color w:val="000000"/>
                <w:sz w:val="20"/>
                <w:szCs w:val="20"/>
              </w:rPr>
              <w:t xml:space="preserve">Only include </w:t>
            </w:r>
            <w:r w:rsidR="00C933B4">
              <w:rPr>
                <w:rFonts w:eastAsia="Times New Roman" w:cs="Calibri"/>
                <w:color w:val="000000"/>
                <w:sz w:val="20"/>
                <w:szCs w:val="20"/>
              </w:rPr>
              <w:t>CDR-eligible</w:t>
            </w:r>
            <w:r w:rsidRPr="0042083A">
              <w:rPr>
                <w:rFonts w:eastAsia="Times New Roman" w:cs="Calibri"/>
                <w:color w:val="000000"/>
                <w:sz w:val="20"/>
                <w:szCs w:val="20"/>
              </w:rPr>
              <w:t xml:space="preserve"> wind and solar from CDR</w:t>
            </w:r>
          </w:p>
        </w:tc>
        <w:tc>
          <w:tcPr>
            <w:tcW w:w="3060" w:type="dxa"/>
            <w:tcBorders>
              <w:top w:val="single" w:sz="8" w:space="0" w:color="000000"/>
              <w:left w:val="nil"/>
              <w:bottom w:val="nil"/>
              <w:right w:val="nil"/>
            </w:tcBorders>
            <w:shd w:val="clear" w:color="auto" w:fill="D9D9D9"/>
            <w:tcMar>
              <w:top w:w="72" w:type="dxa"/>
              <w:left w:w="144" w:type="dxa"/>
              <w:bottom w:w="72" w:type="dxa"/>
              <w:right w:w="144" w:type="dxa"/>
            </w:tcMar>
            <w:vAlign w:val="center"/>
            <w:hideMark/>
          </w:tcPr>
          <w:p w14:paraId="0A9FFAB3" w14:textId="00049E46"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color w:val="000000"/>
                <w:sz w:val="20"/>
                <w:szCs w:val="20"/>
              </w:rPr>
              <w:t>Include some of the wind and solar from the interconnection queue that has not met all requirements for CDR (15 GW of new solar, 5 GW of new wind)</w:t>
            </w:r>
          </w:p>
        </w:tc>
        <w:tc>
          <w:tcPr>
            <w:tcW w:w="2340" w:type="dxa"/>
            <w:tcBorders>
              <w:top w:val="single" w:sz="8" w:space="0" w:color="000000"/>
              <w:left w:val="nil"/>
              <w:bottom w:val="nil"/>
              <w:right w:val="nil"/>
            </w:tcBorders>
            <w:shd w:val="clear" w:color="auto" w:fill="D9D9D9"/>
            <w:tcMar>
              <w:top w:w="72" w:type="dxa"/>
              <w:left w:w="144" w:type="dxa"/>
              <w:bottom w:w="72" w:type="dxa"/>
              <w:right w:w="144" w:type="dxa"/>
            </w:tcMar>
            <w:vAlign w:val="center"/>
            <w:hideMark/>
          </w:tcPr>
          <w:p w14:paraId="36616B9C"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color w:val="000000"/>
                <w:sz w:val="20"/>
                <w:szCs w:val="20"/>
              </w:rPr>
              <w:t>Downward pressure on prices and therefore lower EORM</w:t>
            </w:r>
          </w:p>
        </w:tc>
      </w:tr>
      <w:tr w:rsidR="0042083A" w:rsidRPr="0042083A" w14:paraId="73EDE43A" w14:textId="77777777" w:rsidTr="0042083A">
        <w:trPr>
          <w:trHeight w:val="584"/>
        </w:trPr>
        <w:tc>
          <w:tcPr>
            <w:tcW w:w="1800" w:type="dxa"/>
            <w:tcBorders>
              <w:top w:val="nil"/>
              <w:left w:val="nil"/>
              <w:bottom w:val="nil"/>
              <w:right w:val="nil"/>
            </w:tcBorders>
            <w:shd w:val="clear" w:color="auto" w:fill="auto"/>
            <w:tcMar>
              <w:top w:w="72" w:type="dxa"/>
              <w:left w:w="144" w:type="dxa"/>
              <w:bottom w:w="72" w:type="dxa"/>
              <w:right w:w="144" w:type="dxa"/>
            </w:tcMar>
            <w:vAlign w:val="center"/>
            <w:hideMark/>
          </w:tcPr>
          <w:p w14:paraId="4BFCC147" w14:textId="0AE3DA60"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color w:val="000000"/>
                <w:sz w:val="20"/>
                <w:szCs w:val="20"/>
              </w:rPr>
              <w:t xml:space="preserve">Storage </w:t>
            </w:r>
            <w:r w:rsidR="00C80117">
              <w:rPr>
                <w:rFonts w:eastAsia="Times New Roman" w:cs="Calibri"/>
                <w:color w:val="000000"/>
                <w:sz w:val="20"/>
                <w:szCs w:val="20"/>
              </w:rPr>
              <w:t>Potential at the High Renewables Penetration</w:t>
            </w:r>
          </w:p>
        </w:tc>
        <w:tc>
          <w:tcPr>
            <w:tcW w:w="2160" w:type="dxa"/>
            <w:tcBorders>
              <w:top w:val="nil"/>
              <w:left w:val="nil"/>
              <w:bottom w:val="nil"/>
              <w:right w:val="nil"/>
            </w:tcBorders>
            <w:shd w:val="clear" w:color="auto" w:fill="auto"/>
            <w:tcMar>
              <w:top w:w="72" w:type="dxa"/>
              <w:left w:w="144" w:type="dxa"/>
              <w:bottom w:w="72" w:type="dxa"/>
              <w:right w:w="144" w:type="dxa"/>
            </w:tcMar>
            <w:vAlign w:val="center"/>
            <w:hideMark/>
          </w:tcPr>
          <w:p w14:paraId="3A8FA1D3" w14:textId="6515EA78" w:rsidR="0042083A" w:rsidRPr="0042083A" w:rsidRDefault="00D91D84" w:rsidP="0042083A">
            <w:pPr>
              <w:spacing w:after="0" w:line="240" w:lineRule="auto"/>
              <w:jc w:val="center"/>
              <w:rPr>
                <w:rFonts w:eastAsia="Times New Roman" w:cs="Calibri"/>
                <w:kern w:val="0"/>
                <w:sz w:val="20"/>
                <w:szCs w:val="20"/>
              </w:rPr>
            </w:pPr>
            <w:r>
              <w:rPr>
                <w:rFonts w:eastAsia="Times New Roman" w:cs="Calibri"/>
                <w:color w:val="000000"/>
                <w:sz w:val="20"/>
                <w:szCs w:val="20"/>
              </w:rPr>
              <w:t>1,100 MW of battery storage</w:t>
            </w:r>
          </w:p>
        </w:tc>
        <w:tc>
          <w:tcPr>
            <w:tcW w:w="3060" w:type="dxa"/>
            <w:tcBorders>
              <w:top w:val="nil"/>
              <w:left w:val="nil"/>
              <w:bottom w:val="nil"/>
              <w:right w:val="nil"/>
            </w:tcBorders>
            <w:shd w:val="clear" w:color="auto" w:fill="auto"/>
            <w:tcMar>
              <w:top w:w="72" w:type="dxa"/>
              <w:left w:w="144" w:type="dxa"/>
              <w:bottom w:w="72" w:type="dxa"/>
              <w:right w:w="144" w:type="dxa"/>
            </w:tcMar>
            <w:vAlign w:val="center"/>
            <w:hideMark/>
          </w:tcPr>
          <w:p w14:paraId="333FFE1C" w14:textId="2B80C804" w:rsidR="0042083A" w:rsidRPr="0042083A" w:rsidRDefault="00D91D84" w:rsidP="0042083A">
            <w:pPr>
              <w:spacing w:after="0" w:line="240" w:lineRule="auto"/>
              <w:jc w:val="center"/>
              <w:rPr>
                <w:rFonts w:eastAsia="Times New Roman" w:cs="Calibri"/>
                <w:kern w:val="0"/>
                <w:sz w:val="20"/>
                <w:szCs w:val="20"/>
              </w:rPr>
            </w:pPr>
            <w:r>
              <w:rPr>
                <w:rFonts w:eastAsia="Times New Roman" w:cs="Calibri"/>
                <w:color w:val="000000"/>
                <w:sz w:val="20"/>
                <w:szCs w:val="20"/>
              </w:rPr>
              <w:t>Test various battery penetrations at MERM from the High Renewables Scenario</w:t>
            </w:r>
          </w:p>
        </w:tc>
        <w:tc>
          <w:tcPr>
            <w:tcW w:w="2340" w:type="dxa"/>
            <w:tcBorders>
              <w:top w:val="nil"/>
              <w:left w:val="nil"/>
              <w:bottom w:val="nil"/>
              <w:right w:val="nil"/>
            </w:tcBorders>
            <w:shd w:val="clear" w:color="auto" w:fill="auto"/>
            <w:tcMar>
              <w:top w:w="72" w:type="dxa"/>
              <w:left w:w="144" w:type="dxa"/>
              <w:bottom w:w="72" w:type="dxa"/>
              <w:right w:w="144" w:type="dxa"/>
            </w:tcMar>
            <w:vAlign w:val="center"/>
            <w:hideMark/>
          </w:tcPr>
          <w:p w14:paraId="39044593" w14:textId="77777777" w:rsidR="0042083A" w:rsidRPr="0042083A" w:rsidRDefault="0042083A" w:rsidP="0042083A">
            <w:pPr>
              <w:spacing w:after="0" w:line="240" w:lineRule="auto"/>
              <w:rPr>
                <w:rFonts w:eastAsia="Times New Roman" w:cs="Calibri"/>
                <w:kern w:val="0"/>
                <w:sz w:val="20"/>
                <w:szCs w:val="20"/>
              </w:rPr>
            </w:pPr>
          </w:p>
        </w:tc>
      </w:tr>
      <w:tr w:rsidR="0042083A" w:rsidRPr="0042083A" w14:paraId="734DF0D7" w14:textId="77777777" w:rsidTr="0042083A">
        <w:trPr>
          <w:trHeight w:val="584"/>
        </w:trPr>
        <w:tc>
          <w:tcPr>
            <w:tcW w:w="1800" w:type="dxa"/>
            <w:tcBorders>
              <w:top w:val="nil"/>
              <w:left w:val="nil"/>
              <w:bottom w:val="single" w:sz="8" w:space="0" w:color="000000"/>
              <w:right w:val="nil"/>
            </w:tcBorders>
            <w:shd w:val="clear" w:color="auto" w:fill="D9D9D9"/>
            <w:tcMar>
              <w:top w:w="72" w:type="dxa"/>
              <w:left w:w="144" w:type="dxa"/>
              <w:bottom w:w="72" w:type="dxa"/>
              <w:right w:w="144" w:type="dxa"/>
            </w:tcMar>
            <w:vAlign w:val="center"/>
            <w:hideMark/>
          </w:tcPr>
          <w:p w14:paraId="08597E62" w14:textId="71C8FE96" w:rsidR="0042083A" w:rsidRPr="0042083A" w:rsidRDefault="00383359" w:rsidP="0042083A">
            <w:pPr>
              <w:spacing w:after="0" w:line="240" w:lineRule="auto"/>
              <w:jc w:val="center"/>
              <w:rPr>
                <w:rFonts w:eastAsia="Times New Roman" w:cs="Calibri"/>
                <w:kern w:val="0"/>
                <w:sz w:val="20"/>
                <w:szCs w:val="20"/>
              </w:rPr>
            </w:pPr>
            <w:r>
              <w:rPr>
                <w:rFonts w:eastAsia="Times New Roman" w:cs="Calibri"/>
                <w:color w:val="000000"/>
                <w:sz w:val="20"/>
                <w:szCs w:val="20"/>
              </w:rPr>
              <w:t xml:space="preserve">Lower </w:t>
            </w:r>
            <w:r w:rsidR="0042083A" w:rsidRPr="0042083A">
              <w:rPr>
                <w:rFonts w:eastAsia="Times New Roman" w:cs="Calibri"/>
                <w:color w:val="000000"/>
                <w:sz w:val="20"/>
                <w:szCs w:val="20"/>
              </w:rPr>
              <w:t>EFOR</w:t>
            </w:r>
          </w:p>
        </w:tc>
        <w:tc>
          <w:tcPr>
            <w:tcW w:w="2160" w:type="dxa"/>
            <w:tcBorders>
              <w:top w:val="nil"/>
              <w:left w:val="nil"/>
              <w:bottom w:val="single" w:sz="8" w:space="0" w:color="000000"/>
              <w:right w:val="nil"/>
            </w:tcBorders>
            <w:shd w:val="clear" w:color="auto" w:fill="D9D9D9"/>
            <w:tcMar>
              <w:top w:w="72" w:type="dxa"/>
              <w:left w:w="144" w:type="dxa"/>
              <w:bottom w:w="72" w:type="dxa"/>
              <w:right w:w="144" w:type="dxa"/>
            </w:tcMar>
            <w:vAlign w:val="center"/>
            <w:hideMark/>
          </w:tcPr>
          <w:p w14:paraId="6C522C12"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color w:val="000000"/>
                <w:sz w:val="20"/>
                <w:szCs w:val="20"/>
              </w:rPr>
              <w:t>Last 3 years used to populate outage rates for all units</w:t>
            </w:r>
          </w:p>
        </w:tc>
        <w:tc>
          <w:tcPr>
            <w:tcW w:w="3060" w:type="dxa"/>
            <w:tcBorders>
              <w:top w:val="nil"/>
              <w:left w:val="nil"/>
              <w:bottom w:val="single" w:sz="8" w:space="0" w:color="000000"/>
              <w:right w:val="nil"/>
            </w:tcBorders>
            <w:shd w:val="clear" w:color="auto" w:fill="D9D9D9"/>
            <w:tcMar>
              <w:top w:w="72" w:type="dxa"/>
              <w:left w:w="144" w:type="dxa"/>
              <w:bottom w:w="72" w:type="dxa"/>
              <w:right w:w="144" w:type="dxa"/>
            </w:tcMar>
            <w:vAlign w:val="center"/>
            <w:hideMark/>
          </w:tcPr>
          <w:p w14:paraId="2771B0C4" w14:textId="77777777"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color w:val="000000"/>
                <w:sz w:val="20"/>
                <w:szCs w:val="20"/>
              </w:rPr>
              <w:t>Use class average EFORs from 2018 study</w:t>
            </w:r>
          </w:p>
        </w:tc>
        <w:tc>
          <w:tcPr>
            <w:tcW w:w="2340" w:type="dxa"/>
            <w:tcBorders>
              <w:top w:val="nil"/>
              <w:left w:val="nil"/>
              <w:bottom w:val="single" w:sz="8" w:space="0" w:color="000000"/>
              <w:right w:val="nil"/>
            </w:tcBorders>
            <w:shd w:val="clear" w:color="auto" w:fill="D9D9D9"/>
            <w:tcMar>
              <w:top w:w="72" w:type="dxa"/>
              <w:left w:w="144" w:type="dxa"/>
              <w:bottom w:w="72" w:type="dxa"/>
              <w:right w:w="144" w:type="dxa"/>
            </w:tcMar>
            <w:vAlign w:val="center"/>
            <w:hideMark/>
          </w:tcPr>
          <w:p w14:paraId="4F971D5A" w14:textId="58C17DF5" w:rsidR="0042083A" w:rsidRPr="0042083A" w:rsidRDefault="0042083A" w:rsidP="0042083A">
            <w:pPr>
              <w:spacing w:after="0" w:line="240" w:lineRule="auto"/>
              <w:jc w:val="center"/>
              <w:rPr>
                <w:rFonts w:eastAsia="Times New Roman" w:cs="Calibri"/>
                <w:kern w:val="0"/>
                <w:sz w:val="20"/>
                <w:szCs w:val="20"/>
              </w:rPr>
            </w:pPr>
            <w:r w:rsidRPr="0042083A">
              <w:rPr>
                <w:rFonts w:eastAsia="Times New Roman" w:cs="Calibri"/>
                <w:color w:val="000000"/>
                <w:sz w:val="20"/>
                <w:szCs w:val="20"/>
              </w:rPr>
              <w:t xml:space="preserve">2018 modeled EFOR was lower, so the </w:t>
            </w:r>
            <w:r w:rsidR="00383359">
              <w:rPr>
                <w:rFonts w:eastAsia="Times New Roman" w:cs="Calibri"/>
                <w:color w:val="000000"/>
                <w:sz w:val="20"/>
                <w:szCs w:val="20"/>
              </w:rPr>
              <w:t xml:space="preserve">reversion will decrease </w:t>
            </w:r>
            <w:r w:rsidRPr="0042083A">
              <w:rPr>
                <w:rFonts w:eastAsia="Times New Roman" w:cs="Calibri"/>
                <w:color w:val="000000"/>
                <w:sz w:val="20"/>
                <w:szCs w:val="20"/>
              </w:rPr>
              <w:t>EORM</w:t>
            </w:r>
          </w:p>
        </w:tc>
      </w:tr>
    </w:tbl>
    <w:p w14:paraId="4CFE6C57" w14:textId="229F2B41" w:rsidR="004B58AD" w:rsidRPr="00E6061F" w:rsidRDefault="004B58AD" w:rsidP="00DD3E52">
      <w:pPr>
        <w:pStyle w:val="BGNormal125"/>
        <w:spacing w:after="240"/>
        <w:rPr>
          <w:rFonts w:ascii="Calibri" w:hAnsi="Calibri" w:cs="Calibri"/>
          <w:color w:val="auto"/>
          <w:sz w:val="28"/>
          <w:szCs w:val="28"/>
        </w:rPr>
      </w:pPr>
      <w:r w:rsidRPr="00E6061F">
        <w:rPr>
          <w:rFonts w:ascii="Calibri" w:hAnsi="Calibri" w:cs="Calibri"/>
          <w:color w:val="auto"/>
          <w:sz w:val="22"/>
          <w:szCs w:val="22"/>
        </w:rPr>
        <w:t>The other sensitivity analyses that we conducted</w:t>
      </w:r>
      <w:r w:rsidR="003F6A8E">
        <w:rPr>
          <w:rFonts w:ascii="Calibri" w:hAnsi="Calibri" w:cs="Calibri"/>
          <w:color w:val="auto"/>
          <w:sz w:val="22"/>
          <w:szCs w:val="22"/>
        </w:rPr>
        <w:t>, defined in Table 6,</w:t>
      </w:r>
      <w:r w:rsidRPr="00E6061F">
        <w:rPr>
          <w:rFonts w:ascii="Calibri" w:hAnsi="Calibri" w:cs="Calibri"/>
          <w:color w:val="auto"/>
          <w:sz w:val="22"/>
          <w:szCs w:val="22"/>
        </w:rPr>
        <w:t xml:space="preserve"> examine the impacts of: (a) varying the assumed cost of building new plants; (b) adjusting the value of lost load (VOLL);</w:t>
      </w:r>
      <w:r w:rsidRPr="00E6061F">
        <w:rPr>
          <w:rStyle w:val="FootnoteReference"/>
          <w:rFonts w:ascii="Calibri" w:hAnsi="Calibri" w:cs="Calibri"/>
          <w:color w:val="auto"/>
          <w:sz w:val="22"/>
          <w:szCs w:val="22"/>
        </w:rPr>
        <w:footnoteReference w:id="21"/>
      </w:r>
      <w:r w:rsidRPr="00E6061F">
        <w:rPr>
          <w:rFonts w:ascii="Calibri" w:hAnsi="Calibri" w:cs="Calibri"/>
          <w:color w:val="auto"/>
          <w:sz w:val="22"/>
          <w:szCs w:val="22"/>
        </w:rPr>
        <w:t xml:space="preserve"> (c) adjusting the likelihood of recent weather years compared to historic values; and (d) varying the associated load forecast uncertainty not attributable to weather conditions. </w:t>
      </w:r>
    </w:p>
    <w:p w14:paraId="578F110F" w14:textId="0685FC20" w:rsidR="004B58AD" w:rsidRPr="00D7719A" w:rsidRDefault="004B58AD" w:rsidP="00D7719A">
      <w:pPr>
        <w:pStyle w:val="Caption"/>
        <w:keepLines/>
        <w:jc w:val="center"/>
        <w:rPr>
          <w:b/>
          <w:bCs/>
          <w:i w:val="0"/>
          <w:iCs w:val="0"/>
          <w:color w:val="auto"/>
          <w:sz w:val="22"/>
          <w:szCs w:val="22"/>
        </w:rPr>
      </w:pPr>
      <w:r w:rsidRPr="00D7719A">
        <w:rPr>
          <w:b/>
          <w:bCs/>
          <w:i w:val="0"/>
          <w:iCs w:val="0"/>
          <w:color w:val="auto"/>
          <w:sz w:val="22"/>
          <w:szCs w:val="22"/>
        </w:rPr>
        <w:t xml:space="preserve">Table </w:t>
      </w:r>
      <w:r w:rsidRPr="00D7719A">
        <w:rPr>
          <w:b/>
          <w:bCs/>
          <w:i w:val="0"/>
          <w:iCs w:val="0"/>
          <w:noProof/>
          <w:color w:val="auto"/>
          <w:sz w:val="22"/>
          <w:szCs w:val="22"/>
        </w:rPr>
        <w:fldChar w:fldCharType="begin"/>
      </w:r>
      <w:r w:rsidRPr="00D7719A">
        <w:rPr>
          <w:b/>
          <w:bCs/>
          <w:i w:val="0"/>
          <w:iCs w:val="0"/>
          <w:noProof/>
          <w:color w:val="auto"/>
          <w:sz w:val="22"/>
          <w:szCs w:val="22"/>
        </w:rPr>
        <w:instrText xml:space="preserve"> SEQ Table \* ARABIC </w:instrText>
      </w:r>
      <w:r w:rsidRPr="00D7719A">
        <w:rPr>
          <w:b/>
          <w:bCs/>
          <w:i w:val="0"/>
          <w:iCs w:val="0"/>
          <w:noProof/>
          <w:color w:val="auto"/>
          <w:sz w:val="22"/>
          <w:szCs w:val="22"/>
        </w:rPr>
        <w:fldChar w:fldCharType="separate"/>
      </w:r>
      <w:r w:rsidR="003F6A8E">
        <w:rPr>
          <w:b/>
          <w:bCs/>
          <w:i w:val="0"/>
          <w:iCs w:val="0"/>
          <w:noProof/>
          <w:color w:val="auto"/>
          <w:sz w:val="22"/>
          <w:szCs w:val="22"/>
        </w:rPr>
        <w:t>6</w:t>
      </w:r>
      <w:r w:rsidRPr="00D7719A">
        <w:rPr>
          <w:b/>
          <w:bCs/>
          <w:i w:val="0"/>
          <w:iCs w:val="0"/>
          <w:noProof/>
          <w:color w:val="auto"/>
          <w:sz w:val="22"/>
          <w:szCs w:val="22"/>
        </w:rPr>
        <w:fldChar w:fldCharType="end"/>
      </w:r>
      <w:r w:rsidR="00D7719A" w:rsidRPr="00D7719A">
        <w:rPr>
          <w:b/>
          <w:bCs/>
          <w:i w:val="0"/>
          <w:iCs w:val="0"/>
          <w:noProof/>
          <w:color w:val="auto"/>
          <w:sz w:val="22"/>
          <w:szCs w:val="22"/>
        </w:rPr>
        <w:t xml:space="preserve">. </w:t>
      </w:r>
      <w:r w:rsidRPr="00D7719A">
        <w:rPr>
          <w:b/>
          <w:bCs/>
          <w:i w:val="0"/>
          <w:iCs w:val="0"/>
          <w:color w:val="auto"/>
          <w:sz w:val="22"/>
          <w:szCs w:val="22"/>
        </w:rPr>
        <w:t>Definition of Non-Modeled Sensitivities</w:t>
      </w:r>
    </w:p>
    <w:tbl>
      <w:tblPr>
        <w:tblW w:w="0" w:type="auto"/>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895"/>
        <w:gridCol w:w="3090"/>
        <w:gridCol w:w="3375"/>
      </w:tblGrid>
      <w:tr w:rsidR="00D7719A" w:rsidRPr="00D7719A" w14:paraId="107251ED" w14:textId="77777777" w:rsidTr="00D7719A">
        <w:trPr>
          <w:trHeight w:val="288"/>
        </w:trPr>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268E42EB" w14:textId="77777777" w:rsidR="004B58AD" w:rsidRPr="00D7719A" w:rsidRDefault="004B58AD" w:rsidP="004B58AD">
            <w:pPr>
              <w:pStyle w:val="BGInsertGraphic"/>
              <w:keepNext/>
              <w:keepLines/>
              <w:rPr>
                <w:rFonts w:ascii="Calibri" w:hAnsi="Calibri" w:cs="Calibri"/>
                <w:color w:val="auto"/>
                <w:sz w:val="20"/>
                <w:szCs w:val="20"/>
              </w:rPr>
            </w:pPr>
            <w:r w:rsidRPr="00D7719A">
              <w:rPr>
                <w:rFonts w:ascii="Calibri" w:hAnsi="Calibri" w:cs="Calibri"/>
                <w:b/>
                <w:bCs/>
                <w:color w:val="auto"/>
                <w:sz w:val="20"/>
                <w:szCs w:val="20"/>
              </w:rPr>
              <w:t>Sensitivity</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3AA9FC60" w14:textId="77777777" w:rsidR="004B58AD" w:rsidRPr="00D7719A" w:rsidRDefault="004B58AD" w:rsidP="004B58AD">
            <w:pPr>
              <w:pStyle w:val="BGInsertGraphic"/>
              <w:keepNext/>
              <w:keepLines/>
              <w:rPr>
                <w:rFonts w:ascii="Calibri" w:hAnsi="Calibri" w:cs="Calibri"/>
                <w:color w:val="auto"/>
                <w:sz w:val="20"/>
                <w:szCs w:val="20"/>
              </w:rPr>
            </w:pPr>
            <w:r w:rsidRPr="00D7719A">
              <w:rPr>
                <w:rFonts w:ascii="Calibri" w:hAnsi="Calibri" w:cs="Calibri"/>
                <w:b/>
                <w:bCs/>
                <w:color w:val="auto"/>
                <w:sz w:val="20"/>
                <w:szCs w:val="20"/>
              </w:rPr>
              <w:t>Base Case Assumption</w:t>
            </w:r>
          </w:p>
        </w:tc>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2643C1E6" w14:textId="77777777" w:rsidR="004B58AD" w:rsidRPr="00D7719A" w:rsidRDefault="004B58AD" w:rsidP="004B58AD">
            <w:pPr>
              <w:pStyle w:val="BGInsertGraphic"/>
              <w:keepNext/>
              <w:keepLines/>
              <w:rPr>
                <w:rFonts w:ascii="Calibri" w:hAnsi="Calibri" w:cs="Calibri"/>
                <w:color w:val="auto"/>
                <w:sz w:val="20"/>
                <w:szCs w:val="20"/>
              </w:rPr>
            </w:pPr>
            <w:r w:rsidRPr="00D7719A">
              <w:rPr>
                <w:rFonts w:ascii="Calibri" w:hAnsi="Calibri" w:cs="Calibri"/>
                <w:b/>
                <w:bCs/>
                <w:color w:val="auto"/>
                <w:sz w:val="20"/>
                <w:szCs w:val="20"/>
              </w:rPr>
              <w:t>Sensitivity Range</w:t>
            </w:r>
          </w:p>
        </w:tc>
      </w:tr>
      <w:tr w:rsidR="00D7719A" w:rsidRPr="00D7719A" w14:paraId="5639040F" w14:textId="77777777" w:rsidTr="00D7719A">
        <w:trPr>
          <w:trHeight w:val="288"/>
        </w:trPr>
        <w:tc>
          <w:tcPr>
            <w:tcW w:w="0" w:type="auto"/>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0CBD9B83" w14:textId="74305738" w:rsidR="004B58AD" w:rsidRPr="00E6061F" w:rsidRDefault="004B58AD" w:rsidP="004B58AD">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CONE</w:t>
            </w:r>
          </w:p>
        </w:tc>
        <w:tc>
          <w:tcPr>
            <w:tcW w:w="0" w:type="auto"/>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62A03E85" w14:textId="555B945C" w:rsidR="004B58AD" w:rsidRPr="00E6061F" w:rsidRDefault="004B58AD" w:rsidP="00D7719A">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w:t>
            </w:r>
            <w:r w:rsidR="00D7719A" w:rsidRPr="00E6061F">
              <w:rPr>
                <w:rFonts w:ascii="Calibri" w:hAnsi="Calibri" w:cs="Calibri"/>
                <w:color w:val="auto"/>
                <w:sz w:val="20"/>
                <w:szCs w:val="20"/>
              </w:rPr>
              <w:t>93.5</w:t>
            </w:r>
            <w:r w:rsidRPr="00E6061F">
              <w:rPr>
                <w:rFonts w:ascii="Calibri" w:hAnsi="Calibri" w:cs="Calibri"/>
                <w:color w:val="auto"/>
                <w:sz w:val="20"/>
                <w:szCs w:val="20"/>
              </w:rPr>
              <w:t>/kW-year</w:t>
            </w:r>
          </w:p>
        </w:tc>
        <w:tc>
          <w:tcPr>
            <w:tcW w:w="0" w:type="auto"/>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388B61F0" w14:textId="0EFB8335" w:rsidR="004B58AD" w:rsidRPr="00E6061F" w:rsidRDefault="004B58AD" w:rsidP="004B58AD">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w:t>
            </w:r>
            <w:r w:rsidR="00E6061F" w:rsidRPr="00E6061F">
              <w:rPr>
                <w:rFonts w:ascii="Calibri" w:hAnsi="Calibri" w:cs="Calibri"/>
                <w:color w:val="auto"/>
                <w:sz w:val="20"/>
                <w:szCs w:val="20"/>
              </w:rPr>
              <w:t>25</w:t>
            </w:r>
            <w:r w:rsidRPr="00E6061F">
              <w:rPr>
                <w:rFonts w:ascii="Calibri" w:hAnsi="Calibri" w:cs="Calibri"/>
                <w:color w:val="auto"/>
                <w:sz w:val="20"/>
                <w:szCs w:val="20"/>
              </w:rPr>
              <w:t>% / +25%</w:t>
            </w:r>
          </w:p>
        </w:tc>
      </w:tr>
      <w:tr w:rsidR="00D7719A" w:rsidRPr="00D7719A" w14:paraId="745DAF69" w14:textId="77777777" w:rsidTr="00D7719A">
        <w:trPr>
          <w:trHeight w:val="288"/>
        </w:trPr>
        <w:tc>
          <w:tcPr>
            <w:tcW w:w="0" w:type="auto"/>
            <w:shd w:val="clear" w:color="auto" w:fill="auto"/>
            <w:tcMar>
              <w:top w:w="72" w:type="dxa"/>
              <w:left w:w="144" w:type="dxa"/>
              <w:bottom w:w="72" w:type="dxa"/>
              <w:right w:w="144" w:type="dxa"/>
            </w:tcMar>
            <w:vAlign w:val="center"/>
            <w:hideMark/>
          </w:tcPr>
          <w:p w14:paraId="645DA56A" w14:textId="77777777" w:rsidR="004B58AD" w:rsidRPr="00E6061F" w:rsidRDefault="004B58AD" w:rsidP="004B58AD">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VOLL</w:t>
            </w:r>
          </w:p>
        </w:tc>
        <w:tc>
          <w:tcPr>
            <w:tcW w:w="0" w:type="auto"/>
            <w:shd w:val="clear" w:color="auto" w:fill="auto"/>
            <w:tcMar>
              <w:top w:w="72" w:type="dxa"/>
              <w:left w:w="144" w:type="dxa"/>
              <w:bottom w:w="72" w:type="dxa"/>
              <w:right w:w="144" w:type="dxa"/>
            </w:tcMar>
            <w:vAlign w:val="center"/>
            <w:hideMark/>
          </w:tcPr>
          <w:p w14:paraId="779FB7E9" w14:textId="77777777" w:rsidR="004B58AD" w:rsidRPr="00E6061F" w:rsidRDefault="004B58AD" w:rsidP="004B58AD">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$9,000/MWh</w:t>
            </w:r>
          </w:p>
        </w:tc>
        <w:tc>
          <w:tcPr>
            <w:tcW w:w="0" w:type="auto"/>
            <w:shd w:val="clear" w:color="auto" w:fill="auto"/>
            <w:tcMar>
              <w:top w:w="72" w:type="dxa"/>
              <w:left w:w="144" w:type="dxa"/>
              <w:bottom w:w="72" w:type="dxa"/>
              <w:right w:w="144" w:type="dxa"/>
            </w:tcMar>
            <w:vAlign w:val="center"/>
            <w:hideMark/>
          </w:tcPr>
          <w:p w14:paraId="455F4EC5" w14:textId="77777777" w:rsidR="004B58AD" w:rsidRPr="00E6061F" w:rsidRDefault="004B58AD" w:rsidP="00D7719A">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$5,000 to $30,000/MWh</w:t>
            </w:r>
          </w:p>
        </w:tc>
      </w:tr>
      <w:tr w:rsidR="00D7719A" w:rsidRPr="00D7719A" w14:paraId="622BE1C8" w14:textId="77777777" w:rsidTr="00D7719A">
        <w:trPr>
          <w:trHeight w:val="288"/>
        </w:trPr>
        <w:tc>
          <w:tcPr>
            <w:tcW w:w="0" w:type="auto"/>
            <w:shd w:val="clear" w:color="auto" w:fill="D9D9D9" w:themeFill="background1" w:themeFillShade="D9"/>
            <w:tcMar>
              <w:top w:w="72" w:type="dxa"/>
              <w:left w:w="144" w:type="dxa"/>
              <w:bottom w:w="72" w:type="dxa"/>
              <w:right w:w="144" w:type="dxa"/>
            </w:tcMar>
            <w:vAlign w:val="center"/>
            <w:hideMark/>
          </w:tcPr>
          <w:p w14:paraId="491F32CD" w14:textId="77777777" w:rsidR="004B58AD" w:rsidRPr="00E6061F" w:rsidRDefault="004B58AD" w:rsidP="004B58AD">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Weighting of Historical Weather Years</w:t>
            </w:r>
          </w:p>
        </w:tc>
        <w:tc>
          <w:tcPr>
            <w:tcW w:w="0" w:type="auto"/>
            <w:shd w:val="clear" w:color="auto" w:fill="D9D9D9" w:themeFill="background1" w:themeFillShade="D9"/>
            <w:tcMar>
              <w:top w:w="72" w:type="dxa"/>
              <w:left w:w="144" w:type="dxa"/>
              <w:bottom w:w="72" w:type="dxa"/>
              <w:right w:w="144" w:type="dxa"/>
            </w:tcMar>
            <w:vAlign w:val="center"/>
            <w:hideMark/>
          </w:tcPr>
          <w:p w14:paraId="4CECAC6D" w14:textId="60BADA15" w:rsidR="004B58AD" w:rsidRPr="00E6061F" w:rsidRDefault="004B58AD" w:rsidP="004B58AD">
            <w:pPr>
              <w:pStyle w:val="BGInsertGraphic"/>
              <w:keepNext/>
              <w:keepLines/>
              <w:spacing w:before="0"/>
              <w:rPr>
                <w:rFonts w:ascii="Calibri" w:hAnsi="Calibri" w:cs="Calibri"/>
                <w:color w:val="auto"/>
                <w:sz w:val="20"/>
                <w:szCs w:val="20"/>
              </w:rPr>
            </w:pPr>
            <w:r w:rsidRPr="00E6061F">
              <w:rPr>
                <w:rFonts w:ascii="Calibri" w:hAnsi="Calibri" w:cs="Calibri"/>
                <w:color w:val="auto"/>
                <w:sz w:val="20"/>
                <w:szCs w:val="20"/>
              </w:rPr>
              <w:t xml:space="preserve">Equal probability assigned to all </w:t>
            </w:r>
            <w:r w:rsidR="00D7719A" w:rsidRPr="00E6061F">
              <w:rPr>
                <w:rFonts w:ascii="Calibri" w:hAnsi="Calibri" w:cs="Calibri"/>
                <w:color w:val="auto"/>
                <w:sz w:val="20"/>
                <w:szCs w:val="20"/>
              </w:rPr>
              <w:t>40</w:t>
            </w:r>
            <w:r w:rsidRPr="00E6061F">
              <w:rPr>
                <w:rFonts w:ascii="Calibri" w:hAnsi="Calibri" w:cs="Calibri"/>
                <w:color w:val="auto"/>
                <w:sz w:val="20"/>
                <w:szCs w:val="20"/>
              </w:rPr>
              <w:t xml:space="preserve"> weather years</w:t>
            </w:r>
          </w:p>
        </w:tc>
        <w:tc>
          <w:tcPr>
            <w:tcW w:w="0" w:type="auto"/>
            <w:shd w:val="clear" w:color="auto" w:fill="D9D9D9" w:themeFill="background1" w:themeFillShade="D9"/>
            <w:tcMar>
              <w:top w:w="72" w:type="dxa"/>
              <w:left w:w="144" w:type="dxa"/>
              <w:bottom w:w="72" w:type="dxa"/>
              <w:right w:w="144" w:type="dxa"/>
            </w:tcMar>
            <w:hideMark/>
          </w:tcPr>
          <w:p w14:paraId="04A8FE2E" w14:textId="004135F9" w:rsidR="004B58AD" w:rsidRPr="00E6061F" w:rsidRDefault="00D7719A" w:rsidP="00D7719A">
            <w:pPr>
              <w:pStyle w:val="BGNormal125"/>
              <w:keepNext/>
              <w:keepLines/>
              <w:spacing w:before="0"/>
              <w:contextualSpacing/>
              <w:jc w:val="center"/>
              <w:rPr>
                <w:rFonts w:ascii="Calibri" w:hAnsi="Calibri" w:cs="Calibri"/>
                <w:color w:val="auto"/>
                <w:sz w:val="20"/>
                <w:szCs w:val="20"/>
              </w:rPr>
            </w:pPr>
            <w:r w:rsidRPr="00E6061F">
              <w:rPr>
                <w:rFonts w:ascii="Calibri" w:hAnsi="Calibri" w:cs="Calibri"/>
                <w:color w:val="auto"/>
                <w:sz w:val="20"/>
                <w:szCs w:val="20"/>
              </w:rPr>
              <w:t>Equal probability assigned to the last 15 weather years</w:t>
            </w:r>
          </w:p>
        </w:tc>
      </w:tr>
      <w:tr w:rsidR="00D7719A" w:rsidRPr="00D7719A" w14:paraId="08B2659A" w14:textId="77777777" w:rsidTr="00D7719A">
        <w:trPr>
          <w:trHeight w:val="288"/>
        </w:trPr>
        <w:tc>
          <w:tcPr>
            <w:tcW w:w="0" w:type="auto"/>
            <w:shd w:val="clear" w:color="auto" w:fill="auto"/>
            <w:tcMar>
              <w:top w:w="72" w:type="dxa"/>
              <w:left w:w="144" w:type="dxa"/>
              <w:bottom w:w="72" w:type="dxa"/>
              <w:right w:w="144" w:type="dxa"/>
            </w:tcMar>
            <w:vAlign w:val="center"/>
            <w:hideMark/>
          </w:tcPr>
          <w:p w14:paraId="4881A2E7" w14:textId="5CEC9B6A" w:rsidR="004B58AD" w:rsidRPr="00E6061F" w:rsidRDefault="008C7603" w:rsidP="004B58AD">
            <w:pPr>
              <w:pStyle w:val="BGInsertGraphic"/>
              <w:spacing w:before="0"/>
              <w:rPr>
                <w:rFonts w:ascii="Calibri" w:hAnsi="Calibri" w:cs="Calibri"/>
                <w:color w:val="auto"/>
                <w:sz w:val="20"/>
                <w:szCs w:val="20"/>
              </w:rPr>
            </w:pPr>
            <w:r w:rsidRPr="00E6061F">
              <w:rPr>
                <w:rFonts w:ascii="Calibri" w:hAnsi="Calibri" w:cs="Calibri"/>
                <w:color w:val="auto"/>
                <w:sz w:val="20"/>
                <w:szCs w:val="20"/>
              </w:rPr>
              <w:t xml:space="preserve">Forward Period </w:t>
            </w:r>
            <w:r w:rsidR="00E6061F" w:rsidRPr="00E6061F">
              <w:rPr>
                <w:rFonts w:ascii="Calibri" w:hAnsi="Calibri" w:cs="Calibri"/>
                <w:color w:val="auto"/>
                <w:sz w:val="20"/>
                <w:szCs w:val="20"/>
              </w:rPr>
              <w:t>and Load Forecast Uncertainty</w:t>
            </w:r>
          </w:p>
        </w:tc>
        <w:tc>
          <w:tcPr>
            <w:tcW w:w="0" w:type="auto"/>
            <w:shd w:val="clear" w:color="auto" w:fill="auto"/>
            <w:tcMar>
              <w:top w:w="72" w:type="dxa"/>
              <w:left w:w="144" w:type="dxa"/>
              <w:bottom w:w="72" w:type="dxa"/>
              <w:right w:w="144" w:type="dxa"/>
            </w:tcMar>
            <w:vAlign w:val="center"/>
            <w:hideMark/>
          </w:tcPr>
          <w:p w14:paraId="30534B50" w14:textId="48EC01EE" w:rsidR="004B58AD" w:rsidRPr="00E6061F" w:rsidRDefault="00E6061F" w:rsidP="004B58AD">
            <w:pPr>
              <w:pStyle w:val="BGInsertGraphic"/>
              <w:spacing w:before="0"/>
              <w:rPr>
                <w:rFonts w:ascii="Calibri" w:hAnsi="Calibri" w:cs="Calibri"/>
                <w:color w:val="auto"/>
                <w:sz w:val="20"/>
                <w:szCs w:val="20"/>
              </w:rPr>
            </w:pPr>
            <w:r w:rsidRPr="00E6061F">
              <w:rPr>
                <w:rFonts w:ascii="Calibri" w:hAnsi="Calibri" w:cs="Calibri"/>
                <w:color w:val="auto"/>
                <w:sz w:val="20"/>
                <w:szCs w:val="20"/>
              </w:rPr>
              <w:t>4</w:t>
            </w:r>
            <w:r w:rsidR="004B58AD" w:rsidRPr="00E6061F">
              <w:rPr>
                <w:rFonts w:ascii="Calibri" w:hAnsi="Calibri" w:cs="Calibri"/>
                <w:color w:val="auto"/>
                <w:sz w:val="20"/>
                <w:szCs w:val="20"/>
              </w:rPr>
              <w:t xml:space="preserve"> years</w:t>
            </w:r>
          </w:p>
        </w:tc>
        <w:tc>
          <w:tcPr>
            <w:tcW w:w="0" w:type="auto"/>
            <w:shd w:val="clear" w:color="auto" w:fill="auto"/>
            <w:tcMar>
              <w:top w:w="72" w:type="dxa"/>
              <w:left w:w="144" w:type="dxa"/>
              <w:bottom w:w="72" w:type="dxa"/>
              <w:right w:w="144" w:type="dxa"/>
            </w:tcMar>
            <w:vAlign w:val="center"/>
            <w:hideMark/>
          </w:tcPr>
          <w:p w14:paraId="067D1C46" w14:textId="4B473DBB" w:rsidR="004B58AD" w:rsidRPr="00E6061F" w:rsidRDefault="004B58AD" w:rsidP="004B58AD">
            <w:pPr>
              <w:pStyle w:val="BGInsertGraphic"/>
              <w:spacing w:before="0"/>
              <w:rPr>
                <w:rFonts w:ascii="Calibri" w:hAnsi="Calibri" w:cs="Calibri"/>
                <w:color w:val="auto"/>
                <w:sz w:val="20"/>
                <w:szCs w:val="20"/>
              </w:rPr>
            </w:pPr>
            <w:r w:rsidRPr="00E6061F">
              <w:rPr>
                <w:rFonts w:ascii="Calibri" w:hAnsi="Calibri" w:cs="Calibri"/>
                <w:color w:val="auto"/>
                <w:sz w:val="20"/>
                <w:szCs w:val="20"/>
              </w:rPr>
              <w:t xml:space="preserve">0 years to </w:t>
            </w:r>
            <w:r w:rsidR="003A64E0">
              <w:rPr>
                <w:rFonts w:ascii="Calibri" w:hAnsi="Calibri" w:cs="Calibri"/>
                <w:color w:val="auto"/>
                <w:sz w:val="20"/>
                <w:szCs w:val="20"/>
              </w:rPr>
              <w:t>3</w:t>
            </w:r>
            <w:r w:rsidRPr="00E6061F">
              <w:rPr>
                <w:rFonts w:ascii="Calibri" w:hAnsi="Calibri" w:cs="Calibri"/>
                <w:color w:val="auto"/>
                <w:sz w:val="20"/>
                <w:szCs w:val="20"/>
              </w:rPr>
              <w:t xml:space="preserve"> years</w:t>
            </w:r>
          </w:p>
        </w:tc>
      </w:tr>
    </w:tbl>
    <w:p w14:paraId="3EF072F4" w14:textId="702E9908" w:rsidR="004B58AD" w:rsidRDefault="004B58AD" w:rsidP="00DA56F7">
      <w:pPr>
        <w:pStyle w:val="Heading2"/>
        <w:numPr>
          <w:ilvl w:val="0"/>
          <w:numId w:val="25"/>
        </w:numPr>
      </w:pPr>
      <w:bookmarkStart w:id="68" w:name="_Toc525851011"/>
      <w:bookmarkStart w:id="69" w:name="_Toc525938043"/>
      <w:bookmarkStart w:id="70" w:name="_Toc526279099"/>
      <w:bookmarkStart w:id="71" w:name="_Toc526437255"/>
      <w:bookmarkStart w:id="72" w:name="_Toc526439899"/>
      <w:bookmarkStart w:id="73" w:name="_Toc526440009"/>
      <w:bookmarkStart w:id="74" w:name="_Ref532824041"/>
      <w:bookmarkStart w:id="75" w:name="_Toc532834286"/>
      <w:bookmarkStart w:id="76" w:name="_Toc57193558"/>
      <w:r>
        <w:t>Model Validation</w:t>
      </w:r>
      <w:bookmarkEnd w:id="68"/>
      <w:bookmarkEnd w:id="69"/>
      <w:bookmarkEnd w:id="70"/>
      <w:bookmarkEnd w:id="71"/>
      <w:bookmarkEnd w:id="72"/>
      <w:bookmarkEnd w:id="73"/>
      <w:bookmarkEnd w:id="74"/>
      <w:bookmarkEnd w:id="75"/>
      <w:bookmarkEnd w:id="76"/>
    </w:p>
    <w:p w14:paraId="287C91DF" w14:textId="101AEA9B" w:rsidR="00DF0515" w:rsidRPr="00544ACB" w:rsidRDefault="004B58AD" w:rsidP="00544ACB">
      <w:pPr>
        <w:spacing w:before="300" w:line="300" w:lineRule="auto"/>
        <w:jc w:val="both"/>
        <w:rPr>
          <w:rFonts w:eastAsia="Calibri" w:cs="Calibri"/>
          <w:kern w:val="0"/>
        </w:rPr>
      </w:pPr>
      <w:bookmarkStart w:id="77" w:name="_Toc525079588"/>
      <w:r w:rsidRPr="00544ACB">
        <w:rPr>
          <w:rFonts w:cs="Calibri"/>
        </w:rPr>
        <w:t xml:space="preserve">In addition to carefully constructing realistic inputs to the model, we validated that the model’s outputs are reasonable by comparing them to real-world market observations. </w:t>
      </w:r>
      <w:r w:rsidR="00DF0515" w:rsidRPr="00544ACB">
        <w:rPr>
          <w:rFonts w:eastAsia="Calibri" w:cs="Calibri"/>
          <w:kern w:val="0"/>
        </w:rPr>
        <w:t xml:space="preserve">In the 2018 </w:t>
      </w:r>
      <w:r w:rsidR="00F27FFA">
        <w:rPr>
          <w:rFonts w:eastAsia="Calibri" w:cs="Calibri"/>
          <w:kern w:val="0"/>
        </w:rPr>
        <w:t>study</w:t>
      </w:r>
      <w:r w:rsidR="00DF0515" w:rsidRPr="00544ACB">
        <w:rPr>
          <w:rFonts w:eastAsia="Calibri" w:cs="Calibri"/>
          <w:kern w:val="0"/>
        </w:rPr>
        <w:t xml:space="preserve">, Astrapé and Brattle introduced calibration efforts to ensure modeled economic and reliability results corresponded to historical conditions. The approach primarily looked at </w:t>
      </w:r>
      <w:r w:rsidR="00161AC8">
        <w:rPr>
          <w:rFonts w:eastAsia="Calibri" w:cs="Calibri"/>
          <w:kern w:val="0"/>
        </w:rPr>
        <w:t>Peaker Net Margin (</w:t>
      </w:r>
      <w:r w:rsidR="00DF0515" w:rsidRPr="00544ACB">
        <w:rPr>
          <w:rFonts w:eastAsia="Calibri" w:cs="Calibri"/>
          <w:kern w:val="0"/>
        </w:rPr>
        <w:t>PNM</w:t>
      </w:r>
      <w:r w:rsidR="00161AC8">
        <w:rPr>
          <w:rFonts w:eastAsia="Calibri" w:cs="Calibri"/>
          <w:kern w:val="0"/>
        </w:rPr>
        <w:t>);</w:t>
      </w:r>
      <w:r w:rsidR="00DF0515" w:rsidRPr="00544ACB">
        <w:rPr>
          <w:rFonts w:eastAsia="Calibri" w:cs="Calibri"/>
          <w:kern w:val="0"/>
        </w:rPr>
        <w:t xml:space="preserve"> careful tuning of the annual market price duration curve was not performed. Since the economics of the marginal resource were primarily influenced by hours where the market cleared above the dispatch cost of </w:t>
      </w:r>
      <w:r w:rsidR="00161AC8">
        <w:rPr>
          <w:rFonts w:eastAsia="Calibri" w:cs="Calibri"/>
          <w:kern w:val="0"/>
        </w:rPr>
        <w:t>CTs</w:t>
      </w:r>
      <w:r w:rsidR="00DF0515" w:rsidRPr="00544ACB">
        <w:rPr>
          <w:rFonts w:eastAsia="Calibri" w:cs="Calibri"/>
          <w:kern w:val="0"/>
        </w:rPr>
        <w:t xml:space="preserve">, this was adequate. In the 2020 EORM study, hybrid battery and solar resources are a potential marginal resource, making the market prices throughout the year critical to the conclusions of this analysis. Also, the higher penetrations of renewable resources are expected to make low price conditions more impactful. For this calibration, a number of benchmarks were </w:t>
      </w:r>
      <w:r w:rsidR="00161AC8">
        <w:rPr>
          <w:rFonts w:eastAsia="Calibri" w:cs="Calibri"/>
          <w:kern w:val="0"/>
        </w:rPr>
        <w:t>considered</w:t>
      </w:r>
      <w:r w:rsidR="00DF0515" w:rsidRPr="00544ACB">
        <w:rPr>
          <w:rFonts w:eastAsia="Calibri" w:cs="Calibri"/>
          <w:kern w:val="0"/>
        </w:rPr>
        <w:t>:</w:t>
      </w:r>
    </w:p>
    <w:p w14:paraId="4DF4DC92" w14:textId="77777777" w:rsidR="00DF0515" w:rsidRPr="00544ACB" w:rsidRDefault="00DF0515" w:rsidP="00544ACB">
      <w:pPr>
        <w:numPr>
          <w:ilvl w:val="0"/>
          <w:numId w:val="23"/>
        </w:numPr>
        <w:spacing w:before="300" w:after="160" w:line="300" w:lineRule="auto"/>
        <w:contextualSpacing/>
        <w:jc w:val="both"/>
        <w:rPr>
          <w:rFonts w:eastAsia="Calibri" w:cs="Calibri"/>
          <w:kern w:val="0"/>
        </w:rPr>
      </w:pPr>
      <w:r w:rsidRPr="00544ACB">
        <w:rPr>
          <w:rFonts w:eastAsia="Calibri" w:cs="Calibri"/>
          <w:kern w:val="0"/>
        </w:rPr>
        <w:t>Market price duration curve</w:t>
      </w:r>
    </w:p>
    <w:p w14:paraId="45BEAE98" w14:textId="77777777" w:rsidR="00DF0515" w:rsidRPr="00544ACB" w:rsidRDefault="00DF0515" w:rsidP="00544ACB">
      <w:pPr>
        <w:numPr>
          <w:ilvl w:val="0"/>
          <w:numId w:val="23"/>
        </w:numPr>
        <w:spacing w:before="300" w:after="160" w:line="300" w:lineRule="auto"/>
        <w:contextualSpacing/>
        <w:jc w:val="both"/>
        <w:rPr>
          <w:rFonts w:eastAsia="Calibri" w:cs="Calibri"/>
          <w:kern w:val="0"/>
        </w:rPr>
      </w:pPr>
      <w:r w:rsidRPr="00544ACB">
        <w:rPr>
          <w:rFonts w:eastAsia="Calibri" w:cs="Calibri"/>
          <w:kern w:val="0"/>
        </w:rPr>
        <w:t>Monthly peak and off-peak pricing</w:t>
      </w:r>
    </w:p>
    <w:p w14:paraId="2564AFFD" w14:textId="065D2EB2" w:rsidR="0027021D" w:rsidRPr="00077409" w:rsidRDefault="00DF0515" w:rsidP="00077409">
      <w:pPr>
        <w:numPr>
          <w:ilvl w:val="0"/>
          <w:numId w:val="23"/>
        </w:numPr>
        <w:spacing w:before="300" w:after="160" w:line="300" w:lineRule="auto"/>
        <w:contextualSpacing/>
        <w:jc w:val="both"/>
        <w:rPr>
          <w:rFonts w:eastAsia="Calibri" w:cs="Calibri"/>
          <w:kern w:val="0"/>
        </w:rPr>
      </w:pPr>
      <w:r w:rsidRPr="00544ACB">
        <w:rPr>
          <w:rFonts w:eastAsia="Calibri" w:cs="Calibri"/>
          <w:kern w:val="0"/>
        </w:rPr>
        <w:t>Scarcity pricing timing, magnitude, and frequency</w:t>
      </w:r>
    </w:p>
    <w:p w14:paraId="1EED4B46" w14:textId="77777777" w:rsidR="00DF0515" w:rsidRPr="00544ACB" w:rsidRDefault="00DF0515" w:rsidP="00077409">
      <w:pPr>
        <w:spacing w:before="300" w:after="0" w:line="300" w:lineRule="auto"/>
        <w:jc w:val="both"/>
        <w:rPr>
          <w:rFonts w:eastAsia="Calibri" w:cs="Calibri"/>
          <w:kern w:val="0"/>
        </w:rPr>
      </w:pPr>
      <w:r w:rsidRPr="00544ACB">
        <w:rPr>
          <w:rFonts w:eastAsia="Calibri" w:cs="Calibri"/>
          <w:kern w:val="0"/>
        </w:rPr>
        <w:t xml:space="preserve">The typical drivers of the market prices throughout the year are fuel prices, the underlying reserve margin, the resource mix and economic parameters of generators, and generator forced outage rates. Through the calibration process, a number of other drivers were identified including planned and maintenance outages, day ahead load and wind forecast error, and generator bidding strategies. </w:t>
      </w:r>
    </w:p>
    <w:p w14:paraId="5E095D29" w14:textId="5D09975A" w:rsidR="00544ACB" w:rsidRDefault="00DF0515" w:rsidP="00544ACB">
      <w:pPr>
        <w:pStyle w:val="BGNormal125"/>
        <w:spacing w:after="240"/>
        <w:rPr>
          <w:rFonts w:ascii="Calibri" w:eastAsia="Calibri" w:hAnsi="Calibri" w:cs="Calibri"/>
          <w:sz w:val="22"/>
          <w:szCs w:val="22"/>
        </w:rPr>
      </w:pPr>
      <w:r w:rsidRPr="00544ACB">
        <w:rPr>
          <w:rFonts w:ascii="Calibri" w:eastAsia="Calibri" w:hAnsi="Calibri" w:cs="Calibri"/>
          <w:sz w:val="22"/>
          <w:szCs w:val="22"/>
        </w:rPr>
        <w:t>An example of the outcome of the SERVM calibration</w:t>
      </w:r>
      <w:r w:rsidR="00161AC8">
        <w:rPr>
          <w:rFonts w:ascii="Calibri" w:eastAsia="Calibri" w:hAnsi="Calibri" w:cs="Calibri"/>
          <w:sz w:val="22"/>
          <w:szCs w:val="22"/>
        </w:rPr>
        <w:t xml:space="preserve"> for 2019</w:t>
      </w:r>
      <w:r w:rsidRPr="00544ACB">
        <w:rPr>
          <w:rFonts w:ascii="Calibri" w:eastAsia="Calibri" w:hAnsi="Calibri" w:cs="Calibri"/>
          <w:sz w:val="22"/>
          <w:szCs w:val="22"/>
        </w:rPr>
        <w:t xml:space="preserve"> is shown below</w:t>
      </w:r>
      <w:r w:rsidR="00544ACB" w:rsidRPr="00544ACB">
        <w:rPr>
          <w:rFonts w:ascii="Calibri" w:hAnsi="Calibri" w:cs="Calibri"/>
          <w:color w:val="auto"/>
          <w:sz w:val="22"/>
          <w:szCs w:val="22"/>
        </w:rPr>
        <w:t xml:space="preserve"> in </w:t>
      </w:r>
      <w:r w:rsidR="003F6A8E">
        <w:rPr>
          <w:rFonts w:ascii="Calibri" w:hAnsi="Calibri" w:cs="Calibri"/>
          <w:color w:val="auto"/>
          <w:sz w:val="22"/>
          <w:szCs w:val="22"/>
        </w:rPr>
        <w:t>Figure 3</w:t>
      </w:r>
      <w:r w:rsidRPr="00544ACB">
        <w:rPr>
          <w:rFonts w:ascii="Calibri" w:eastAsia="Calibri" w:hAnsi="Calibri" w:cs="Calibri"/>
          <w:sz w:val="22"/>
          <w:szCs w:val="22"/>
        </w:rPr>
        <w:t xml:space="preserve">. The chart reflects the cumulative energy margin for </w:t>
      </w:r>
      <w:r w:rsidR="00161AC8">
        <w:rPr>
          <w:rFonts w:ascii="Calibri" w:eastAsia="Calibri" w:hAnsi="Calibri" w:cs="Calibri"/>
          <w:sz w:val="22"/>
          <w:szCs w:val="22"/>
        </w:rPr>
        <w:t>CTs</w:t>
      </w:r>
      <w:r w:rsidRPr="00544ACB">
        <w:rPr>
          <w:rFonts w:ascii="Calibri" w:eastAsia="Calibri" w:hAnsi="Calibri" w:cs="Calibri"/>
          <w:sz w:val="22"/>
          <w:szCs w:val="22"/>
        </w:rPr>
        <w:t xml:space="preserve"> with a 10,000 btu/kwh heat rate. The historical load, renewable profiles, and generators were input into the model. The simulations were run for </w:t>
      </w:r>
      <w:r w:rsidR="00161AC8">
        <w:rPr>
          <w:rFonts w:ascii="Calibri" w:eastAsia="Calibri" w:hAnsi="Calibri" w:cs="Calibri"/>
          <w:sz w:val="22"/>
          <w:szCs w:val="22"/>
        </w:rPr>
        <w:t>five</w:t>
      </w:r>
      <w:r w:rsidRPr="00544ACB">
        <w:rPr>
          <w:rFonts w:ascii="Calibri" w:eastAsia="Calibri" w:hAnsi="Calibri" w:cs="Calibri"/>
          <w:sz w:val="22"/>
          <w:szCs w:val="22"/>
        </w:rPr>
        <w:t xml:space="preserve"> iterations of random generator outages, market support, and day ahead forecast error. Planned and maintenance outages were modeled with historical averages rather than forcing exact 2019 conditions. The modest slope in most months of the years reflect limited energy margins for </w:t>
      </w:r>
      <w:r w:rsidR="00161AC8">
        <w:rPr>
          <w:rFonts w:ascii="Calibri" w:eastAsia="Calibri" w:hAnsi="Calibri" w:cs="Calibri"/>
          <w:sz w:val="22"/>
          <w:szCs w:val="22"/>
        </w:rPr>
        <w:t>CTs</w:t>
      </w:r>
      <w:r w:rsidRPr="00544ACB">
        <w:rPr>
          <w:rFonts w:ascii="Calibri" w:eastAsia="Calibri" w:hAnsi="Calibri" w:cs="Calibri"/>
          <w:sz w:val="22"/>
          <w:szCs w:val="22"/>
        </w:rPr>
        <w:t xml:space="preserve"> when scarcity is not present in the market. The steep ramp during the summer reflects the historical and modeled scarcity conditions where market prices approached $9,000/MWh. Another period of increasing energy margins starting around hour 5,800 reflects September conditions when loads remained high, but maintenance and planned outages began to take place. </w:t>
      </w:r>
    </w:p>
    <w:p w14:paraId="54002FBC" w14:textId="2634298C" w:rsidR="000F0C8B" w:rsidRDefault="000F0C8B" w:rsidP="00544ACB">
      <w:pPr>
        <w:pStyle w:val="BGNormal125"/>
        <w:spacing w:after="240"/>
        <w:rPr>
          <w:rFonts w:ascii="Calibri" w:eastAsia="Calibri" w:hAnsi="Calibri" w:cs="Calibri"/>
          <w:sz w:val="22"/>
          <w:szCs w:val="22"/>
        </w:rPr>
      </w:pPr>
    </w:p>
    <w:p w14:paraId="3A2AA911" w14:textId="11A4B66A" w:rsidR="000F0C8B" w:rsidRDefault="000F0C8B" w:rsidP="00544ACB">
      <w:pPr>
        <w:pStyle w:val="BGNormal125"/>
        <w:spacing w:after="240"/>
        <w:rPr>
          <w:rFonts w:ascii="Calibri" w:eastAsia="Calibri" w:hAnsi="Calibri" w:cs="Calibri"/>
          <w:sz w:val="22"/>
          <w:szCs w:val="22"/>
        </w:rPr>
      </w:pPr>
    </w:p>
    <w:p w14:paraId="76F6ADB0" w14:textId="70722714" w:rsidR="000F0C8B" w:rsidRDefault="000F0C8B" w:rsidP="00544ACB">
      <w:pPr>
        <w:pStyle w:val="BGNormal125"/>
        <w:spacing w:after="240"/>
        <w:rPr>
          <w:rFonts w:ascii="Calibri" w:eastAsia="Calibri" w:hAnsi="Calibri" w:cs="Calibri"/>
          <w:sz w:val="22"/>
          <w:szCs w:val="22"/>
        </w:rPr>
      </w:pPr>
    </w:p>
    <w:p w14:paraId="66522B11" w14:textId="77777777" w:rsidR="000F0C8B" w:rsidRPr="00544ACB" w:rsidRDefault="000F0C8B" w:rsidP="00544ACB">
      <w:pPr>
        <w:pStyle w:val="BGNormal125"/>
        <w:spacing w:after="240"/>
        <w:rPr>
          <w:rFonts w:ascii="Calibri" w:hAnsi="Calibri" w:cs="Calibri"/>
          <w:color w:val="C00000"/>
          <w:sz w:val="22"/>
          <w:szCs w:val="22"/>
        </w:rPr>
      </w:pPr>
    </w:p>
    <w:p w14:paraId="106D8AE2" w14:textId="2A39B517" w:rsidR="00DF0515" w:rsidRPr="00544ACB" w:rsidRDefault="00544ACB" w:rsidP="00544ACB">
      <w:pPr>
        <w:pStyle w:val="Caption"/>
        <w:spacing w:after="0"/>
        <w:jc w:val="center"/>
        <w:rPr>
          <w:rFonts w:cs="Calibri"/>
          <w:b/>
          <w:bCs/>
          <w:i w:val="0"/>
          <w:iCs w:val="0"/>
          <w:color w:val="auto"/>
          <w:sz w:val="22"/>
          <w:szCs w:val="22"/>
        </w:rPr>
      </w:pPr>
      <w:r w:rsidRPr="00E025BC">
        <w:rPr>
          <w:rFonts w:cs="Calibri"/>
          <w:b/>
          <w:bCs/>
          <w:i w:val="0"/>
          <w:iCs w:val="0"/>
          <w:color w:val="auto"/>
          <w:sz w:val="22"/>
          <w:szCs w:val="22"/>
        </w:rPr>
        <w:t xml:space="preserve">Figure </w:t>
      </w:r>
      <w:r w:rsidRPr="00E025BC">
        <w:rPr>
          <w:rFonts w:cs="Calibri"/>
          <w:b/>
          <w:bCs/>
          <w:i w:val="0"/>
          <w:iCs w:val="0"/>
          <w:noProof/>
          <w:color w:val="auto"/>
          <w:sz w:val="22"/>
          <w:szCs w:val="22"/>
        </w:rPr>
        <w:fldChar w:fldCharType="begin"/>
      </w:r>
      <w:r w:rsidRPr="00E025BC">
        <w:rPr>
          <w:rFonts w:cs="Calibri"/>
          <w:b/>
          <w:bCs/>
          <w:i w:val="0"/>
          <w:iCs w:val="0"/>
          <w:noProof/>
          <w:color w:val="auto"/>
          <w:sz w:val="22"/>
          <w:szCs w:val="22"/>
        </w:rPr>
        <w:instrText xml:space="preserve"> SEQ Figure \* ARABIC </w:instrText>
      </w:r>
      <w:r w:rsidRPr="00E025BC">
        <w:rPr>
          <w:rFonts w:cs="Calibri"/>
          <w:b/>
          <w:bCs/>
          <w:i w:val="0"/>
          <w:iCs w:val="0"/>
          <w:noProof/>
          <w:color w:val="auto"/>
          <w:sz w:val="22"/>
          <w:szCs w:val="22"/>
        </w:rPr>
        <w:fldChar w:fldCharType="separate"/>
      </w:r>
      <w:r w:rsidR="003F6A8E">
        <w:rPr>
          <w:rFonts w:cs="Calibri"/>
          <w:b/>
          <w:bCs/>
          <w:i w:val="0"/>
          <w:iCs w:val="0"/>
          <w:noProof/>
          <w:color w:val="auto"/>
          <w:sz w:val="22"/>
          <w:szCs w:val="22"/>
        </w:rPr>
        <w:t>3</w:t>
      </w:r>
      <w:r w:rsidRPr="00E025BC">
        <w:rPr>
          <w:rFonts w:cs="Calibri"/>
          <w:b/>
          <w:bCs/>
          <w:i w:val="0"/>
          <w:iCs w:val="0"/>
          <w:noProof/>
          <w:color w:val="auto"/>
          <w:sz w:val="22"/>
          <w:szCs w:val="22"/>
        </w:rPr>
        <w:fldChar w:fldCharType="end"/>
      </w:r>
      <w:r w:rsidRPr="00E025BC">
        <w:rPr>
          <w:rFonts w:cs="Calibri"/>
          <w:b/>
          <w:bCs/>
          <w:i w:val="0"/>
          <w:iCs w:val="0"/>
          <w:noProof/>
          <w:color w:val="auto"/>
          <w:sz w:val="22"/>
          <w:szCs w:val="22"/>
        </w:rPr>
        <w:t xml:space="preserve">. </w:t>
      </w:r>
      <w:r>
        <w:rPr>
          <w:rFonts w:cs="Calibri"/>
          <w:b/>
          <w:bCs/>
          <w:i w:val="0"/>
          <w:iCs w:val="0"/>
          <w:color w:val="auto"/>
          <w:sz w:val="22"/>
          <w:szCs w:val="22"/>
        </w:rPr>
        <w:t>SERVM Energy Margin Calibration for 2019</w:t>
      </w:r>
    </w:p>
    <w:p w14:paraId="5575BA65" w14:textId="77777777" w:rsidR="00DF0515" w:rsidRPr="00DF0515" w:rsidRDefault="00DF0515" w:rsidP="000F0C8B">
      <w:pPr>
        <w:spacing w:after="0" w:line="259" w:lineRule="auto"/>
        <w:rPr>
          <w:rFonts w:eastAsia="Calibri" w:cs="Times New Roman"/>
          <w:kern w:val="0"/>
        </w:rPr>
      </w:pPr>
      <w:r w:rsidRPr="00DF0515">
        <w:rPr>
          <w:rFonts w:eastAsia="Calibri" w:cs="Times New Roman"/>
          <w:noProof/>
          <w:kern w:val="0"/>
        </w:rPr>
        <w:drawing>
          <wp:inline distT="0" distB="0" distL="0" distR="0" wp14:anchorId="7B2D5C73" wp14:editId="164090FB">
            <wp:extent cx="5547995" cy="43224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995" cy="4322445"/>
                    </a:xfrm>
                    <a:prstGeom prst="rect">
                      <a:avLst/>
                    </a:prstGeom>
                    <a:noFill/>
                  </pic:spPr>
                </pic:pic>
              </a:graphicData>
            </a:graphic>
          </wp:inline>
        </w:drawing>
      </w:r>
    </w:p>
    <w:p w14:paraId="14E1DFF2" w14:textId="498F7F0C" w:rsidR="00DF0515" w:rsidRPr="00DF0515" w:rsidRDefault="00DF0515" w:rsidP="00D3585F">
      <w:pPr>
        <w:pStyle w:val="BGNormal125"/>
        <w:rPr>
          <w:rFonts w:eastAsia="Calibri"/>
        </w:rPr>
      </w:pPr>
      <w:r w:rsidRPr="00544ACB">
        <w:rPr>
          <w:rFonts w:ascii="Calibri" w:eastAsia="Calibri" w:hAnsi="Calibri" w:cs="Calibri"/>
          <w:sz w:val="22"/>
          <w:szCs w:val="22"/>
        </w:rPr>
        <w:t>Not all years calibrated this well, but the intent of the process was not to force the model to replicate history but to understand how random drivers may influence market prices. In 2018 for instance, reserve margins were relatively low, but energy margins did not reflect significant scarcity</w:t>
      </w:r>
      <w:r w:rsidR="00097C03">
        <w:rPr>
          <w:rFonts w:ascii="Calibri" w:eastAsia="Calibri" w:hAnsi="Calibri" w:cs="Calibri"/>
          <w:sz w:val="22"/>
          <w:szCs w:val="22"/>
        </w:rPr>
        <w:t xml:space="preserve">. This was primarily driven by better than expected performance of conventional generation as shown in Table </w:t>
      </w:r>
      <w:r w:rsidR="003F6A8E">
        <w:rPr>
          <w:rFonts w:ascii="Calibri" w:eastAsia="Calibri" w:hAnsi="Calibri" w:cs="Calibri"/>
          <w:sz w:val="22"/>
          <w:szCs w:val="22"/>
        </w:rPr>
        <w:t>7</w:t>
      </w:r>
      <w:r w:rsidR="00097C03">
        <w:rPr>
          <w:rFonts w:ascii="Calibri" w:eastAsia="Calibri" w:hAnsi="Calibri" w:cs="Calibri"/>
          <w:sz w:val="22"/>
          <w:szCs w:val="22"/>
        </w:rPr>
        <w:t>.</w:t>
      </w:r>
    </w:p>
    <w:p w14:paraId="4CB5E37D" w14:textId="1503B04F" w:rsidR="00EA2AC6" w:rsidRPr="00DF0515" w:rsidRDefault="00EA2AC6" w:rsidP="00077409">
      <w:pPr>
        <w:pStyle w:val="Caption"/>
        <w:spacing w:before="240"/>
        <w:jc w:val="center"/>
        <w:rPr>
          <w:rFonts w:cs="Calibri"/>
          <w:b/>
          <w:bCs/>
          <w:i w:val="0"/>
          <w:iCs w:val="0"/>
          <w:color w:val="auto"/>
          <w:sz w:val="22"/>
          <w:szCs w:val="22"/>
        </w:rPr>
      </w:pPr>
      <w:r w:rsidRPr="00DF0515">
        <w:rPr>
          <w:rFonts w:cs="Calibri"/>
          <w:b/>
          <w:bCs/>
          <w:i w:val="0"/>
          <w:iCs w:val="0"/>
          <w:color w:val="auto"/>
          <w:sz w:val="22"/>
          <w:szCs w:val="22"/>
        </w:rPr>
        <w:t xml:space="preserve">Table </w:t>
      </w:r>
      <w:r w:rsidRPr="00DF0515">
        <w:rPr>
          <w:rFonts w:cs="Calibri"/>
          <w:b/>
          <w:bCs/>
          <w:i w:val="0"/>
          <w:iCs w:val="0"/>
          <w:color w:val="auto"/>
          <w:sz w:val="22"/>
          <w:szCs w:val="22"/>
        </w:rPr>
        <w:fldChar w:fldCharType="begin"/>
      </w:r>
      <w:r w:rsidRPr="00DF0515">
        <w:rPr>
          <w:rFonts w:cs="Calibri"/>
          <w:b/>
          <w:bCs/>
          <w:i w:val="0"/>
          <w:iCs w:val="0"/>
          <w:color w:val="auto"/>
          <w:sz w:val="22"/>
          <w:szCs w:val="22"/>
        </w:rPr>
        <w:instrText xml:space="preserve"> SEQ Table \* ARABIC </w:instrText>
      </w:r>
      <w:r w:rsidRPr="00DF0515">
        <w:rPr>
          <w:rFonts w:cs="Calibri"/>
          <w:b/>
          <w:bCs/>
          <w:i w:val="0"/>
          <w:iCs w:val="0"/>
          <w:color w:val="auto"/>
          <w:sz w:val="22"/>
          <w:szCs w:val="22"/>
        </w:rPr>
        <w:fldChar w:fldCharType="separate"/>
      </w:r>
      <w:r w:rsidR="0098195C">
        <w:rPr>
          <w:rFonts w:cs="Calibri"/>
          <w:b/>
          <w:bCs/>
          <w:i w:val="0"/>
          <w:iCs w:val="0"/>
          <w:noProof/>
          <w:color w:val="auto"/>
          <w:sz w:val="22"/>
          <w:szCs w:val="22"/>
        </w:rPr>
        <w:t>7</w:t>
      </w:r>
      <w:r w:rsidRPr="00DF0515">
        <w:rPr>
          <w:rFonts w:cs="Calibri"/>
          <w:b/>
          <w:bCs/>
          <w:i w:val="0"/>
          <w:iCs w:val="0"/>
          <w:color w:val="auto"/>
          <w:sz w:val="22"/>
          <w:szCs w:val="22"/>
        </w:rPr>
        <w:fldChar w:fldCharType="end"/>
      </w:r>
      <w:r w:rsidRPr="00DF0515">
        <w:rPr>
          <w:rFonts w:cs="Calibri"/>
          <w:b/>
          <w:bCs/>
          <w:i w:val="0"/>
          <w:iCs w:val="0"/>
          <w:color w:val="auto"/>
          <w:sz w:val="22"/>
          <w:szCs w:val="22"/>
        </w:rPr>
        <w:t xml:space="preserve">. </w:t>
      </w:r>
      <w:r>
        <w:rPr>
          <w:rFonts w:cs="Calibri"/>
          <w:b/>
          <w:bCs/>
          <w:i w:val="0"/>
          <w:iCs w:val="0"/>
          <w:color w:val="auto"/>
          <w:sz w:val="22"/>
          <w:szCs w:val="22"/>
        </w:rPr>
        <w:t>Average Megawatts Forced Offline for Modeled Versus Historical in Top 3 Load Days of 2018</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790"/>
        <w:gridCol w:w="2843"/>
      </w:tblGrid>
      <w:tr w:rsidR="00496E44" w:rsidRPr="00496E44" w14:paraId="5C47F53B" w14:textId="77777777" w:rsidTr="00F55D48">
        <w:trPr>
          <w:jc w:val="center"/>
        </w:trPr>
        <w:tc>
          <w:tcPr>
            <w:tcW w:w="1440" w:type="dxa"/>
            <w:tcBorders>
              <w:top w:val="single" w:sz="4" w:space="0" w:color="auto"/>
              <w:bottom w:val="single" w:sz="4" w:space="0" w:color="auto"/>
            </w:tcBorders>
            <w:vAlign w:val="center"/>
          </w:tcPr>
          <w:p w14:paraId="7CC82223" w14:textId="4F555C20" w:rsidR="00496E44" w:rsidRPr="00496E44" w:rsidRDefault="00496E44" w:rsidP="00F55D48">
            <w:pPr>
              <w:spacing w:after="0" w:line="259" w:lineRule="auto"/>
              <w:jc w:val="center"/>
              <w:rPr>
                <w:rFonts w:eastAsia="Calibri" w:cs="Times New Roman"/>
                <w:b/>
                <w:bCs/>
                <w:kern w:val="0"/>
              </w:rPr>
            </w:pPr>
            <w:r w:rsidRPr="00496E44">
              <w:rPr>
                <w:rFonts w:eastAsia="Calibri" w:cs="Times New Roman"/>
                <w:b/>
                <w:bCs/>
                <w:kern w:val="0"/>
              </w:rPr>
              <w:t>Date</w:t>
            </w:r>
          </w:p>
        </w:tc>
        <w:tc>
          <w:tcPr>
            <w:tcW w:w="2790" w:type="dxa"/>
            <w:tcBorders>
              <w:top w:val="single" w:sz="4" w:space="0" w:color="auto"/>
              <w:bottom w:val="single" w:sz="4" w:space="0" w:color="auto"/>
            </w:tcBorders>
            <w:vAlign w:val="center"/>
          </w:tcPr>
          <w:p w14:paraId="24D2A5F5" w14:textId="2F673323" w:rsidR="00496E44" w:rsidRPr="00496E44" w:rsidRDefault="00496E44" w:rsidP="00F55D48">
            <w:pPr>
              <w:spacing w:after="0" w:line="259" w:lineRule="auto"/>
              <w:jc w:val="center"/>
              <w:rPr>
                <w:rFonts w:eastAsia="Calibri" w:cs="Times New Roman"/>
                <w:b/>
                <w:bCs/>
                <w:kern w:val="0"/>
              </w:rPr>
            </w:pPr>
            <w:r w:rsidRPr="00496E44">
              <w:rPr>
                <w:rFonts w:eastAsia="Calibri" w:cs="Times New Roman"/>
                <w:b/>
                <w:bCs/>
                <w:kern w:val="0"/>
              </w:rPr>
              <w:t>Modeled Forced Outages (MW)</w:t>
            </w:r>
          </w:p>
        </w:tc>
        <w:tc>
          <w:tcPr>
            <w:tcW w:w="2843" w:type="dxa"/>
            <w:tcBorders>
              <w:top w:val="single" w:sz="4" w:space="0" w:color="auto"/>
              <w:bottom w:val="single" w:sz="4" w:space="0" w:color="auto"/>
            </w:tcBorders>
            <w:vAlign w:val="center"/>
          </w:tcPr>
          <w:p w14:paraId="4313C5EA" w14:textId="6FDD8766" w:rsidR="009163BD" w:rsidRDefault="005E7DDD" w:rsidP="00F55D48">
            <w:pPr>
              <w:spacing w:after="0" w:line="259" w:lineRule="auto"/>
              <w:jc w:val="center"/>
              <w:rPr>
                <w:rFonts w:eastAsia="Calibri" w:cs="Times New Roman"/>
                <w:b/>
                <w:bCs/>
                <w:kern w:val="0"/>
              </w:rPr>
            </w:pPr>
            <w:r>
              <w:rPr>
                <w:rFonts w:eastAsia="Calibri" w:cs="Times New Roman"/>
                <w:b/>
                <w:bCs/>
                <w:kern w:val="0"/>
              </w:rPr>
              <w:t>Historical</w:t>
            </w:r>
            <w:r w:rsidR="00613C13">
              <w:rPr>
                <w:rFonts w:eastAsia="Calibri" w:cs="Times New Roman"/>
                <w:b/>
                <w:bCs/>
                <w:kern w:val="0"/>
              </w:rPr>
              <w:t xml:space="preserve"> from NERC Generating Availability  Data System</w:t>
            </w:r>
            <w:r w:rsidR="00496E44" w:rsidRPr="00496E44">
              <w:rPr>
                <w:rFonts w:eastAsia="Calibri" w:cs="Times New Roman"/>
                <w:b/>
                <w:bCs/>
                <w:kern w:val="0"/>
              </w:rPr>
              <w:t xml:space="preserve"> </w:t>
            </w:r>
          </w:p>
          <w:p w14:paraId="091FE008" w14:textId="6F91AFD7" w:rsidR="00496E44" w:rsidRPr="00496E44" w:rsidRDefault="00496E44" w:rsidP="00F55D48">
            <w:pPr>
              <w:spacing w:after="0" w:line="259" w:lineRule="auto"/>
              <w:jc w:val="center"/>
              <w:rPr>
                <w:rFonts w:eastAsia="Calibri" w:cs="Times New Roman"/>
                <w:b/>
                <w:bCs/>
                <w:kern w:val="0"/>
              </w:rPr>
            </w:pPr>
            <w:r w:rsidRPr="00496E44">
              <w:rPr>
                <w:rFonts w:eastAsia="Calibri" w:cs="Times New Roman"/>
                <w:b/>
                <w:bCs/>
                <w:kern w:val="0"/>
              </w:rPr>
              <w:t>(MW)</w:t>
            </w:r>
          </w:p>
        </w:tc>
      </w:tr>
      <w:tr w:rsidR="00496E44" w14:paraId="073AC4FB" w14:textId="77777777" w:rsidTr="00F55D48">
        <w:trPr>
          <w:jc w:val="center"/>
        </w:trPr>
        <w:tc>
          <w:tcPr>
            <w:tcW w:w="1440" w:type="dxa"/>
            <w:tcBorders>
              <w:top w:val="single" w:sz="4" w:space="0" w:color="auto"/>
            </w:tcBorders>
            <w:shd w:val="clear" w:color="auto" w:fill="D9D9D9" w:themeFill="background1" w:themeFillShade="D9"/>
            <w:vAlign w:val="center"/>
          </w:tcPr>
          <w:p w14:paraId="4F97BD5D" w14:textId="566BA12A" w:rsidR="00496E44" w:rsidRDefault="00496E44" w:rsidP="00F55D48">
            <w:pPr>
              <w:spacing w:after="0" w:line="259" w:lineRule="auto"/>
              <w:jc w:val="center"/>
              <w:rPr>
                <w:rFonts w:eastAsia="Calibri" w:cs="Times New Roman"/>
                <w:kern w:val="0"/>
              </w:rPr>
            </w:pPr>
            <w:r>
              <w:rPr>
                <w:rFonts w:eastAsia="Calibri" w:cs="Times New Roman"/>
                <w:kern w:val="0"/>
              </w:rPr>
              <w:t>7/23/2018</w:t>
            </w:r>
          </w:p>
        </w:tc>
        <w:tc>
          <w:tcPr>
            <w:tcW w:w="2790" w:type="dxa"/>
            <w:tcBorders>
              <w:top w:val="single" w:sz="4" w:space="0" w:color="auto"/>
            </w:tcBorders>
            <w:shd w:val="clear" w:color="auto" w:fill="D9D9D9" w:themeFill="background1" w:themeFillShade="D9"/>
            <w:vAlign w:val="center"/>
          </w:tcPr>
          <w:p w14:paraId="0B4865F7" w14:textId="03AB39B0" w:rsidR="00496E44" w:rsidRDefault="00496E44" w:rsidP="00F55D48">
            <w:pPr>
              <w:spacing w:after="0" w:line="259" w:lineRule="auto"/>
              <w:jc w:val="center"/>
              <w:rPr>
                <w:rFonts w:eastAsia="Calibri" w:cs="Times New Roman"/>
                <w:kern w:val="0"/>
              </w:rPr>
            </w:pPr>
            <w:r>
              <w:rPr>
                <w:rFonts w:eastAsia="Calibri" w:cs="Times New Roman"/>
                <w:kern w:val="0"/>
              </w:rPr>
              <w:t>3,231</w:t>
            </w:r>
          </w:p>
        </w:tc>
        <w:tc>
          <w:tcPr>
            <w:tcW w:w="2843" w:type="dxa"/>
            <w:tcBorders>
              <w:top w:val="single" w:sz="4" w:space="0" w:color="auto"/>
            </w:tcBorders>
            <w:shd w:val="clear" w:color="auto" w:fill="D9D9D9" w:themeFill="background1" w:themeFillShade="D9"/>
            <w:vAlign w:val="center"/>
          </w:tcPr>
          <w:p w14:paraId="52C1231E" w14:textId="40714457" w:rsidR="00496E44" w:rsidRDefault="00496E44" w:rsidP="00F55D48">
            <w:pPr>
              <w:spacing w:after="0" w:line="259" w:lineRule="auto"/>
              <w:jc w:val="center"/>
              <w:rPr>
                <w:rFonts w:eastAsia="Calibri" w:cs="Times New Roman"/>
                <w:kern w:val="0"/>
              </w:rPr>
            </w:pPr>
            <w:r>
              <w:rPr>
                <w:rFonts w:eastAsia="Calibri" w:cs="Times New Roman"/>
                <w:kern w:val="0"/>
              </w:rPr>
              <w:t>2,272</w:t>
            </w:r>
          </w:p>
        </w:tc>
      </w:tr>
      <w:tr w:rsidR="00496E44" w14:paraId="6F7B1F82" w14:textId="77777777" w:rsidTr="00F55D48">
        <w:trPr>
          <w:jc w:val="center"/>
        </w:trPr>
        <w:tc>
          <w:tcPr>
            <w:tcW w:w="1440" w:type="dxa"/>
            <w:vAlign w:val="center"/>
          </w:tcPr>
          <w:p w14:paraId="74A38674" w14:textId="0AED5B94" w:rsidR="00496E44" w:rsidRDefault="00496E44" w:rsidP="00F55D48">
            <w:pPr>
              <w:spacing w:after="0" w:line="259" w:lineRule="auto"/>
              <w:jc w:val="center"/>
              <w:rPr>
                <w:rFonts w:eastAsia="Calibri" w:cs="Times New Roman"/>
                <w:kern w:val="0"/>
              </w:rPr>
            </w:pPr>
            <w:r>
              <w:rPr>
                <w:rFonts w:eastAsia="Calibri" w:cs="Times New Roman"/>
                <w:kern w:val="0"/>
              </w:rPr>
              <w:t>7/19/2018</w:t>
            </w:r>
          </w:p>
        </w:tc>
        <w:tc>
          <w:tcPr>
            <w:tcW w:w="2790" w:type="dxa"/>
            <w:vAlign w:val="center"/>
          </w:tcPr>
          <w:p w14:paraId="406A15F6" w14:textId="4DD9B646" w:rsidR="00496E44" w:rsidRDefault="00496E44" w:rsidP="00F55D48">
            <w:pPr>
              <w:spacing w:after="0" w:line="259" w:lineRule="auto"/>
              <w:jc w:val="center"/>
              <w:rPr>
                <w:rFonts w:eastAsia="Calibri" w:cs="Times New Roman"/>
                <w:kern w:val="0"/>
              </w:rPr>
            </w:pPr>
            <w:r>
              <w:rPr>
                <w:rFonts w:eastAsia="Calibri" w:cs="Times New Roman"/>
                <w:kern w:val="0"/>
              </w:rPr>
              <w:t>3,383</w:t>
            </w:r>
          </w:p>
        </w:tc>
        <w:tc>
          <w:tcPr>
            <w:tcW w:w="2843" w:type="dxa"/>
            <w:vAlign w:val="center"/>
          </w:tcPr>
          <w:p w14:paraId="30609E93" w14:textId="4F0A3D76" w:rsidR="00496E44" w:rsidRDefault="00496E44" w:rsidP="00F55D48">
            <w:pPr>
              <w:spacing w:after="0" w:line="259" w:lineRule="auto"/>
              <w:jc w:val="center"/>
              <w:rPr>
                <w:rFonts w:eastAsia="Calibri" w:cs="Times New Roman"/>
                <w:kern w:val="0"/>
              </w:rPr>
            </w:pPr>
            <w:r>
              <w:rPr>
                <w:rFonts w:eastAsia="Calibri" w:cs="Times New Roman"/>
                <w:kern w:val="0"/>
              </w:rPr>
              <w:t>1,891</w:t>
            </w:r>
          </w:p>
        </w:tc>
      </w:tr>
      <w:tr w:rsidR="00496E44" w14:paraId="17F3A276" w14:textId="77777777" w:rsidTr="00F55D48">
        <w:trPr>
          <w:jc w:val="center"/>
        </w:trPr>
        <w:tc>
          <w:tcPr>
            <w:tcW w:w="1440" w:type="dxa"/>
            <w:shd w:val="clear" w:color="auto" w:fill="D9D9D9" w:themeFill="background1" w:themeFillShade="D9"/>
            <w:vAlign w:val="center"/>
          </w:tcPr>
          <w:p w14:paraId="112C01DA" w14:textId="7CC77E31" w:rsidR="00496E44" w:rsidRDefault="00496E44" w:rsidP="00F55D48">
            <w:pPr>
              <w:spacing w:after="0" w:line="259" w:lineRule="auto"/>
              <w:jc w:val="center"/>
              <w:rPr>
                <w:rFonts w:eastAsia="Calibri" w:cs="Times New Roman"/>
                <w:kern w:val="0"/>
              </w:rPr>
            </w:pPr>
            <w:r>
              <w:rPr>
                <w:rFonts w:eastAsia="Calibri" w:cs="Times New Roman"/>
                <w:kern w:val="0"/>
              </w:rPr>
              <w:t>7/20/2018</w:t>
            </w:r>
          </w:p>
        </w:tc>
        <w:tc>
          <w:tcPr>
            <w:tcW w:w="2790" w:type="dxa"/>
            <w:shd w:val="clear" w:color="auto" w:fill="D9D9D9" w:themeFill="background1" w:themeFillShade="D9"/>
            <w:vAlign w:val="center"/>
          </w:tcPr>
          <w:p w14:paraId="604FD1FF" w14:textId="0619FB29" w:rsidR="00496E44" w:rsidRDefault="00496E44" w:rsidP="00F55D48">
            <w:pPr>
              <w:spacing w:after="0" w:line="259" w:lineRule="auto"/>
              <w:jc w:val="center"/>
              <w:rPr>
                <w:rFonts w:eastAsia="Calibri" w:cs="Times New Roman"/>
                <w:kern w:val="0"/>
              </w:rPr>
            </w:pPr>
            <w:r>
              <w:rPr>
                <w:rFonts w:eastAsia="Calibri" w:cs="Times New Roman"/>
                <w:kern w:val="0"/>
              </w:rPr>
              <w:t>3,041</w:t>
            </w:r>
          </w:p>
        </w:tc>
        <w:tc>
          <w:tcPr>
            <w:tcW w:w="2843" w:type="dxa"/>
            <w:shd w:val="clear" w:color="auto" w:fill="D9D9D9" w:themeFill="background1" w:themeFillShade="D9"/>
            <w:vAlign w:val="center"/>
          </w:tcPr>
          <w:p w14:paraId="7138209D" w14:textId="491D7F42" w:rsidR="00496E44" w:rsidRDefault="00496E44" w:rsidP="00F55D48">
            <w:pPr>
              <w:spacing w:after="0" w:line="259" w:lineRule="auto"/>
              <w:jc w:val="center"/>
              <w:rPr>
                <w:rFonts w:eastAsia="Calibri" w:cs="Times New Roman"/>
                <w:kern w:val="0"/>
              </w:rPr>
            </w:pPr>
            <w:r>
              <w:rPr>
                <w:rFonts w:eastAsia="Calibri" w:cs="Times New Roman"/>
                <w:kern w:val="0"/>
              </w:rPr>
              <w:t>2,141</w:t>
            </w:r>
          </w:p>
        </w:tc>
      </w:tr>
    </w:tbl>
    <w:p w14:paraId="45EAE898" w14:textId="45E1A6B7" w:rsidR="00DF0515" w:rsidRPr="00077409" w:rsidRDefault="00DF0515" w:rsidP="00077409">
      <w:pPr>
        <w:pStyle w:val="BGNormal125"/>
        <w:rPr>
          <w:rFonts w:ascii="Calibri" w:hAnsi="Calibri" w:cs="Calibri"/>
          <w:color w:val="auto"/>
          <w:sz w:val="22"/>
          <w:szCs w:val="22"/>
        </w:rPr>
      </w:pPr>
      <w:r w:rsidRPr="00DF0515">
        <w:rPr>
          <w:rFonts w:ascii="Calibri" w:eastAsia="Calibri" w:hAnsi="Calibri" w:cs="Calibri"/>
          <w:color w:val="auto"/>
          <w:sz w:val="22"/>
          <w:szCs w:val="22"/>
        </w:rPr>
        <w:t>More distant history also did not calibrate as well. In 2011-2014, the modeled energy margins were mostly lower than those experienced in history. This may be due to the retirement of old generating capacity with high heat rates that may have set market prices for some hours in those years.</w:t>
      </w:r>
      <w:r w:rsidRPr="00DF0515">
        <w:rPr>
          <w:rFonts w:ascii="Calibri" w:hAnsi="Calibri" w:cs="Calibri"/>
          <w:color w:val="auto"/>
          <w:sz w:val="22"/>
          <w:szCs w:val="22"/>
        </w:rPr>
        <w:t xml:space="preserve"> </w:t>
      </w:r>
      <w:r w:rsidR="003F6A8E">
        <w:rPr>
          <w:rFonts w:ascii="Calibri" w:hAnsi="Calibri" w:cs="Calibri"/>
          <w:color w:val="auto"/>
          <w:sz w:val="22"/>
          <w:szCs w:val="22"/>
        </w:rPr>
        <w:t xml:space="preserve">Figure 4 </w:t>
      </w:r>
      <w:r w:rsidRPr="00DF0515">
        <w:rPr>
          <w:rFonts w:ascii="Calibri" w:hAnsi="Calibri" w:cs="Calibri"/>
          <w:color w:val="auto"/>
          <w:sz w:val="22"/>
          <w:szCs w:val="22"/>
        </w:rPr>
        <w:t xml:space="preserve">below compares the simulated and historical </w:t>
      </w:r>
      <w:r w:rsidR="009163BD">
        <w:rPr>
          <w:rFonts w:ascii="Calibri" w:hAnsi="Calibri" w:cs="Calibri"/>
          <w:color w:val="auto"/>
          <w:sz w:val="22"/>
          <w:szCs w:val="22"/>
        </w:rPr>
        <w:t>CT</w:t>
      </w:r>
      <w:r w:rsidRPr="00DF0515">
        <w:rPr>
          <w:rFonts w:ascii="Calibri" w:hAnsi="Calibri" w:cs="Calibri"/>
          <w:color w:val="auto"/>
          <w:sz w:val="22"/>
          <w:szCs w:val="22"/>
        </w:rPr>
        <w:t xml:space="preserve"> net energy revenues for 2011 to 2019.  </w:t>
      </w:r>
    </w:p>
    <w:p w14:paraId="217B79CB" w14:textId="6F7F7CF3" w:rsidR="00DF0515" w:rsidRPr="00DF0515" w:rsidRDefault="00DF0515" w:rsidP="00077409">
      <w:pPr>
        <w:pStyle w:val="Caption"/>
        <w:spacing w:before="240" w:after="0"/>
        <w:jc w:val="center"/>
        <w:rPr>
          <w:b/>
          <w:bCs/>
          <w:i w:val="0"/>
          <w:iCs w:val="0"/>
          <w:color w:val="auto"/>
          <w:sz w:val="22"/>
          <w:szCs w:val="22"/>
        </w:rPr>
      </w:pPr>
      <w:r w:rsidRPr="00584F42">
        <w:rPr>
          <w:b/>
          <w:bCs/>
          <w:i w:val="0"/>
          <w:iCs w:val="0"/>
          <w:color w:val="auto"/>
          <w:sz w:val="22"/>
          <w:szCs w:val="22"/>
        </w:rPr>
        <w:t xml:space="preserve">Figure </w:t>
      </w:r>
      <w:r w:rsidRPr="00584F42">
        <w:rPr>
          <w:b/>
          <w:bCs/>
          <w:i w:val="0"/>
          <w:iCs w:val="0"/>
          <w:noProof/>
          <w:color w:val="auto"/>
          <w:sz w:val="22"/>
          <w:szCs w:val="22"/>
        </w:rPr>
        <w:fldChar w:fldCharType="begin"/>
      </w:r>
      <w:r w:rsidRPr="00584F42">
        <w:rPr>
          <w:b/>
          <w:bCs/>
          <w:i w:val="0"/>
          <w:iCs w:val="0"/>
          <w:noProof/>
          <w:color w:val="auto"/>
          <w:sz w:val="22"/>
          <w:szCs w:val="22"/>
        </w:rPr>
        <w:instrText xml:space="preserve"> SEQ Figure \* ARABIC </w:instrText>
      </w:r>
      <w:r w:rsidRPr="00584F42">
        <w:rPr>
          <w:b/>
          <w:bCs/>
          <w:i w:val="0"/>
          <w:iCs w:val="0"/>
          <w:noProof/>
          <w:color w:val="auto"/>
          <w:sz w:val="22"/>
          <w:szCs w:val="22"/>
        </w:rPr>
        <w:fldChar w:fldCharType="separate"/>
      </w:r>
      <w:r w:rsidR="003F6A8E">
        <w:rPr>
          <w:b/>
          <w:bCs/>
          <w:i w:val="0"/>
          <w:iCs w:val="0"/>
          <w:noProof/>
          <w:color w:val="auto"/>
          <w:sz w:val="22"/>
          <w:szCs w:val="22"/>
        </w:rPr>
        <w:t>4</w:t>
      </w:r>
      <w:r w:rsidRPr="00584F42">
        <w:rPr>
          <w:b/>
          <w:bCs/>
          <w:i w:val="0"/>
          <w:iCs w:val="0"/>
          <w:noProof/>
          <w:color w:val="auto"/>
          <w:sz w:val="22"/>
          <w:szCs w:val="22"/>
        </w:rPr>
        <w:fldChar w:fldCharType="end"/>
      </w:r>
      <w:r w:rsidRPr="00584F42">
        <w:rPr>
          <w:b/>
          <w:bCs/>
          <w:i w:val="0"/>
          <w:iCs w:val="0"/>
          <w:noProof/>
          <w:color w:val="auto"/>
          <w:sz w:val="22"/>
          <w:szCs w:val="22"/>
        </w:rPr>
        <w:t xml:space="preserve">. </w:t>
      </w:r>
      <w:r w:rsidRPr="00584F42">
        <w:rPr>
          <w:b/>
          <w:bCs/>
          <w:i w:val="0"/>
          <w:iCs w:val="0"/>
          <w:color w:val="auto"/>
          <w:sz w:val="22"/>
          <w:szCs w:val="22"/>
        </w:rPr>
        <w:t xml:space="preserve">Modeled vs. Actual </w:t>
      </w:r>
      <w:r w:rsidR="00B96426">
        <w:rPr>
          <w:b/>
          <w:bCs/>
          <w:i w:val="0"/>
          <w:iCs w:val="0"/>
          <w:color w:val="auto"/>
          <w:sz w:val="22"/>
          <w:szCs w:val="22"/>
        </w:rPr>
        <w:t>Combustion Turbine</w:t>
      </w:r>
      <w:r w:rsidRPr="00584F42">
        <w:rPr>
          <w:b/>
          <w:bCs/>
          <w:i w:val="0"/>
          <w:iCs w:val="0"/>
          <w:color w:val="auto"/>
          <w:sz w:val="22"/>
          <w:szCs w:val="22"/>
        </w:rPr>
        <w:t xml:space="preserve"> Net Energy Revenues</w:t>
      </w:r>
    </w:p>
    <w:p w14:paraId="5FE9ED54" w14:textId="77777777" w:rsidR="00DF0515" w:rsidRPr="00DF0515" w:rsidRDefault="00DF0515" w:rsidP="00DF0515">
      <w:pPr>
        <w:spacing w:after="160" w:line="259" w:lineRule="auto"/>
        <w:rPr>
          <w:rFonts w:eastAsia="Calibri" w:cs="Times New Roman"/>
          <w:kern w:val="0"/>
        </w:rPr>
      </w:pPr>
      <w:r w:rsidRPr="00DF0515">
        <w:rPr>
          <w:rFonts w:eastAsia="Calibri" w:cs="Times New Roman"/>
          <w:noProof/>
          <w:kern w:val="0"/>
        </w:rPr>
        <w:drawing>
          <wp:inline distT="0" distB="0" distL="0" distR="0" wp14:anchorId="0C096D42" wp14:editId="7D41AD94">
            <wp:extent cx="6358890" cy="420370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3287"/>
                    <a:stretch/>
                  </pic:blipFill>
                  <pic:spPr bwMode="auto">
                    <a:xfrm>
                      <a:off x="0" y="0"/>
                      <a:ext cx="6358890" cy="4203700"/>
                    </a:xfrm>
                    <a:prstGeom prst="rect">
                      <a:avLst/>
                    </a:prstGeom>
                    <a:noFill/>
                    <a:ln>
                      <a:noFill/>
                    </a:ln>
                    <a:extLst>
                      <a:ext uri="{53640926-AAD7-44D8-BBD7-CCE9431645EC}">
                        <a14:shadowObscured xmlns:a14="http://schemas.microsoft.com/office/drawing/2010/main"/>
                      </a:ext>
                    </a:extLst>
                  </pic:spPr>
                </pic:pic>
              </a:graphicData>
            </a:graphic>
          </wp:inline>
        </w:drawing>
      </w:r>
    </w:p>
    <w:p w14:paraId="2C428EC0" w14:textId="77777777" w:rsidR="00DF0515" w:rsidRPr="00DF0515" w:rsidRDefault="00DF0515" w:rsidP="00DF0515">
      <w:pPr>
        <w:spacing w:after="160" w:line="259" w:lineRule="auto"/>
        <w:rPr>
          <w:rFonts w:eastAsia="Calibri" w:cs="Times New Roman"/>
          <w:kern w:val="0"/>
        </w:rPr>
      </w:pPr>
    </w:p>
    <w:p w14:paraId="10E322AB" w14:textId="106B306C" w:rsidR="00DF0515" w:rsidRDefault="00DF0515" w:rsidP="004B58AD">
      <w:pPr>
        <w:pStyle w:val="BGNormal125"/>
        <w:rPr>
          <w:rFonts w:ascii="Calibri" w:hAnsi="Calibri" w:cs="Calibri"/>
          <w:color w:val="auto"/>
          <w:sz w:val="22"/>
          <w:szCs w:val="22"/>
        </w:rPr>
      </w:pPr>
    </w:p>
    <w:p w14:paraId="6AB3907A" w14:textId="77777777" w:rsidR="00B96426" w:rsidRDefault="00B96426">
      <w:pPr>
        <w:spacing w:after="160" w:line="259" w:lineRule="auto"/>
        <w:rPr>
          <w:rFonts w:ascii="Century Gothic" w:eastAsiaTheme="majorEastAsia" w:hAnsi="Century Gothic" w:cstheme="majorBidi"/>
          <w:b/>
          <w:caps/>
          <w:color w:val="FFFFFF" w:themeColor="background1"/>
          <w:sz w:val="28"/>
          <w:szCs w:val="28"/>
        </w:rPr>
      </w:pPr>
      <w:bookmarkStart w:id="78" w:name="_Toc525851012"/>
      <w:bookmarkStart w:id="79" w:name="_Toc525938044"/>
      <w:bookmarkStart w:id="80" w:name="_Toc526279100"/>
      <w:bookmarkStart w:id="81" w:name="_Toc526437256"/>
      <w:bookmarkStart w:id="82" w:name="_Toc526439900"/>
      <w:bookmarkStart w:id="83" w:name="_Toc526440010"/>
      <w:bookmarkStart w:id="84" w:name="_Toc532834287"/>
      <w:r>
        <w:rPr>
          <w:sz w:val="28"/>
          <w:szCs w:val="28"/>
        </w:rPr>
        <w:br w:type="page"/>
      </w:r>
    </w:p>
    <w:p w14:paraId="5837A6F6" w14:textId="6D6C317E" w:rsidR="004B58AD" w:rsidRPr="00526044" w:rsidRDefault="004B58AD" w:rsidP="00FA0DFD">
      <w:pPr>
        <w:pStyle w:val="Heading1"/>
        <w:numPr>
          <w:ilvl w:val="0"/>
          <w:numId w:val="10"/>
        </w:numPr>
        <w:rPr>
          <w:sz w:val="28"/>
          <w:szCs w:val="28"/>
        </w:rPr>
      </w:pPr>
      <w:bookmarkStart w:id="85" w:name="_Toc57193559"/>
      <w:r w:rsidRPr="00526044">
        <w:rPr>
          <w:sz w:val="28"/>
          <w:szCs w:val="28"/>
        </w:rPr>
        <w:t>Results</w:t>
      </w:r>
      <w:bookmarkEnd w:id="77"/>
      <w:bookmarkEnd w:id="78"/>
      <w:bookmarkEnd w:id="79"/>
      <w:bookmarkEnd w:id="80"/>
      <w:bookmarkEnd w:id="81"/>
      <w:bookmarkEnd w:id="82"/>
      <w:bookmarkEnd w:id="83"/>
      <w:bookmarkEnd w:id="84"/>
      <w:bookmarkEnd w:id="85"/>
    </w:p>
    <w:p w14:paraId="6A0D190F" w14:textId="3EAA6E2A" w:rsidR="004B58AD" w:rsidRPr="00D57492" w:rsidRDefault="004B58AD" w:rsidP="004B58AD">
      <w:pPr>
        <w:pStyle w:val="BGNormal125"/>
        <w:rPr>
          <w:rFonts w:ascii="Calibri" w:hAnsi="Calibri" w:cs="Calibri"/>
          <w:color w:val="auto"/>
          <w:sz w:val="22"/>
          <w:szCs w:val="22"/>
        </w:rPr>
      </w:pPr>
      <w:r w:rsidRPr="00D57492">
        <w:rPr>
          <w:rFonts w:ascii="Calibri" w:hAnsi="Calibri" w:cs="Calibri"/>
          <w:color w:val="auto"/>
          <w:sz w:val="22"/>
          <w:szCs w:val="22"/>
        </w:rPr>
        <w:t>This</w:t>
      </w:r>
      <w:r w:rsidRPr="00D57492" w:rsidDel="00096DFC">
        <w:rPr>
          <w:rFonts w:ascii="Calibri" w:hAnsi="Calibri" w:cs="Calibri"/>
          <w:color w:val="auto"/>
          <w:sz w:val="22"/>
          <w:szCs w:val="22"/>
        </w:rPr>
        <w:t xml:space="preserve"> </w:t>
      </w:r>
      <w:r w:rsidRPr="00D57492">
        <w:rPr>
          <w:rFonts w:ascii="Calibri" w:hAnsi="Calibri" w:cs="Calibri"/>
          <w:color w:val="auto"/>
          <w:sz w:val="22"/>
          <w:szCs w:val="22"/>
        </w:rPr>
        <w:t>section first presents the results of our study under base case assumptions, including the estimated 202</w:t>
      </w:r>
      <w:r w:rsidR="00D57492" w:rsidRPr="00D57492">
        <w:rPr>
          <w:rFonts w:ascii="Calibri" w:hAnsi="Calibri" w:cs="Calibri"/>
          <w:color w:val="auto"/>
          <w:sz w:val="22"/>
          <w:szCs w:val="22"/>
        </w:rPr>
        <w:t>4</w:t>
      </w:r>
      <w:r w:rsidRPr="00D57492">
        <w:rPr>
          <w:rFonts w:ascii="Calibri" w:hAnsi="Calibri" w:cs="Calibri"/>
          <w:color w:val="auto"/>
          <w:sz w:val="22"/>
          <w:szCs w:val="22"/>
        </w:rPr>
        <w:t xml:space="preserve"> MERM and EORM and the associated reliability</w:t>
      </w:r>
      <w:r w:rsidR="00B6537B">
        <w:rPr>
          <w:rFonts w:ascii="Calibri" w:hAnsi="Calibri" w:cs="Calibri"/>
          <w:color w:val="auto"/>
          <w:sz w:val="22"/>
          <w:szCs w:val="22"/>
        </w:rPr>
        <w:t xml:space="preserve"> statistics</w:t>
      </w:r>
      <w:r w:rsidRPr="00D57492">
        <w:rPr>
          <w:rFonts w:ascii="Calibri" w:hAnsi="Calibri" w:cs="Calibri"/>
          <w:color w:val="auto"/>
          <w:sz w:val="22"/>
          <w:szCs w:val="22"/>
        </w:rPr>
        <w:t xml:space="preserve">, and then </w:t>
      </w:r>
      <w:r w:rsidR="009264B5">
        <w:rPr>
          <w:rFonts w:ascii="Calibri" w:hAnsi="Calibri" w:cs="Calibri"/>
          <w:color w:val="auto"/>
          <w:sz w:val="22"/>
          <w:szCs w:val="22"/>
        </w:rPr>
        <w:t xml:space="preserve">describes </w:t>
      </w:r>
      <w:r w:rsidRPr="00D57492">
        <w:rPr>
          <w:rFonts w:ascii="Calibri" w:hAnsi="Calibri" w:cs="Calibri"/>
          <w:color w:val="auto"/>
          <w:sz w:val="22"/>
          <w:szCs w:val="22"/>
        </w:rPr>
        <w:t>how the results could differ under alternative market conditions captured in the scenarios and sensitivities described above.  This section</w:t>
      </w:r>
      <w:r w:rsidRPr="00D57492" w:rsidDel="00DB4878">
        <w:rPr>
          <w:rFonts w:ascii="Calibri" w:hAnsi="Calibri" w:cs="Calibri"/>
          <w:color w:val="auto"/>
          <w:sz w:val="22"/>
          <w:szCs w:val="22"/>
        </w:rPr>
        <w:t xml:space="preserve"> </w:t>
      </w:r>
      <w:r w:rsidRPr="00D57492">
        <w:rPr>
          <w:rFonts w:ascii="Calibri" w:hAnsi="Calibri" w:cs="Calibri"/>
          <w:color w:val="auto"/>
          <w:sz w:val="22"/>
          <w:szCs w:val="22"/>
        </w:rPr>
        <w:t>explains why the MERM and EORM results differ with respect to the result from the 201</w:t>
      </w:r>
      <w:r w:rsidR="00D57492" w:rsidRPr="00D57492">
        <w:rPr>
          <w:rFonts w:ascii="Calibri" w:hAnsi="Calibri" w:cs="Calibri"/>
          <w:color w:val="auto"/>
          <w:sz w:val="22"/>
          <w:szCs w:val="22"/>
        </w:rPr>
        <w:t>8</w:t>
      </w:r>
      <w:r w:rsidRPr="00D57492">
        <w:rPr>
          <w:rFonts w:ascii="Calibri" w:hAnsi="Calibri" w:cs="Calibri"/>
          <w:color w:val="auto"/>
          <w:sz w:val="22"/>
          <w:szCs w:val="22"/>
        </w:rPr>
        <w:t xml:space="preserve"> study.</w:t>
      </w:r>
    </w:p>
    <w:p w14:paraId="138751A8" w14:textId="5634143F" w:rsidR="004B58AD" w:rsidRDefault="004B58AD" w:rsidP="00FA0DFD">
      <w:pPr>
        <w:pStyle w:val="Heading2"/>
        <w:numPr>
          <w:ilvl w:val="0"/>
          <w:numId w:val="12"/>
        </w:numPr>
      </w:pPr>
      <w:bookmarkStart w:id="86" w:name="_Toc525079592"/>
      <w:bookmarkStart w:id="87" w:name="_Ref525824995"/>
      <w:bookmarkStart w:id="88" w:name="_Toc525851024"/>
      <w:bookmarkStart w:id="89" w:name="_Toc525938045"/>
      <w:bookmarkStart w:id="90" w:name="_Toc526279101"/>
      <w:bookmarkStart w:id="91" w:name="_Toc526437257"/>
      <w:bookmarkStart w:id="92" w:name="_Toc526439901"/>
      <w:bookmarkStart w:id="93" w:name="_Toc526440011"/>
      <w:bookmarkStart w:id="94" w:name="_Toc532834288"/>
      <w:bookmarkStart w:id="95" w:name="_Toc57193560"/>
      <w:r>
        <w:t>Market Equilibrium Reserve Margin</w:t>
      </w:r>
      <w:bookmarkEnd w:id="86"/>
      <w:bookmarkEnd w:id="87"/>
      <w:bookmarkEnd w:id="88"/>
      <w:bookmarkEnd w:id="89"/>
      <w:bookmarkEnd w:id="90"/>
      <w:bookmarkEnd w:id="91"/>
      <w:bookmarkEnd w:id="92"/>
      <w:bookmarkEnd w:id="93"/>
      <w:bookmarkEnd w:id="94"/>
      <w:bookmarkEnd w:id="95"/>
    </w:p>
    <w:p w14:paraId="39AD8CFF" w14:textId="5E6FA55E" w:rsidR="006C2BFD" w:rsidRPr="00D57492" w:rsidRDefault="004B58AD" w:rsidP="00077409">
      <w:pPr>
        <w:pStyle w:val="BGNormal125"/>
        <w:spacing w:after="240"/>
        <w:rPr>
          <w:rFonts w:ascii="Calibri" w:hAnsi="Calibri" w:cs="Calibri"/>
          <w:color w:val="auto"/>
          <w:sz w:val="22"/>
          <w:szCs w:val="22"/>
        </w:rPr>
      </w:pPr>
      <w:r w:rsidRPr="00D57492">
        <w:rPr>
          <w:rFonts w:ascii="Calibri" w:hAnsi="Calibri" w:cs="Calibri"/>
          <w:color w:val="auto"/>
          <w:sz w:val="22"/>
          <w:szCs w:val="22"/>
        </w:rPr>
        <w:t>We describe here the anticipated equilibrium conditions under ERCOT’s current market design by: (1) estimating the market equilibrium for our base case assumptions and several sensitivity cases; (2) summarizing the volatility in realized prices and net revenues across reserve margins; and (3) describing the likely year-to-year variation in realized reserve margins.</w:t>
      </w:r>
    </w:p>
    <w:p w14:paraId="452DC35E" w14:textId="062B6473" w:rsidR="004B58AD" w:rsidRDefault="004B58AD" w:rsidP="00FA0DFD">
      <w:pPr>
        <w:pStyle w:val="Heading3"/>
        <w:numPr>
          <w:ilvl w:val="0"/>
          <w:numId w:val="13"/>
        </w:numPr>
      </w:pPr>
      <w:bookmarkStart w:id="96" w:name="_Toc525079593"/>
      <w:bookmarkStart w:id="97" w:name="_Toc525851025"/>
      <w:bookmarkStart w:id="98" w:name="_Toc525938046"/>
      <w:bookmarkStart w:id="99" w:name="_Toc526279102"/>
      <w:bookmarkStart w:id="100" w:name="_Toc526437258"/>
      <w:bookmarkStart w:id="101" w:name="_Toc526439902"/>
      <w:bookmarkStart w:id="102" w:name="_Toc526440012"/>
      <w:bookmarkStart w:id="103" w:name="_Toc532834289"/>
      <w:bookmarkStart w:id="104" w:name="_Toc57193561"/>
      <w:r>
        <w:t>Average Equilibrium Reserve Margin</w:t>
      </w:r>
      <w:bookmarkEnd w:id="96"/>
      <w:bookmarkEnd w:id="97"/>
      <w:bookmarkEnd w:id="98"/>
      <w:bookmarkEnd w:id="99"/>
      <w:bookmarkEnd w:id="100"/>
      <w:bookmarkEnd w:id="101"/>
      <w:bookmarkEnd w:id="102"/>
      <w:bookmarkEnd w:id="103"/>
      <w:bookmarkEnd w:id="104"/>
    </w:p>
    <w:p w14:paraId="07ACD2C1" w14:textId="4A44D44B" w:rsidR="004B58AD" w:rsidRPr="002F5746" w:rsidRDefault="004B58AD" w:rsidP="004B58AD">
      <w:pPr>
        <w:pStyle w:val="BGNormal125"/>
        <w:rPr>
          <w:rFonts w:ascii="Calibri" w:hAnsi="Calibri" w:cs="Calibri"/>
          <w:color w:val="auto"/>
          <w:sz w:val="22"/>
          <w:szCs w:val="22"/>
        </w:rPr>
      </w:pPr>
      <w:r w:rsidRPr="00D57492">
        <w:rPr>
          <w:rFonts w:ascii="Calibri" w:hAnsi="Calibri" w:cs="Calibri"/>
          <w:color w:val="auto"/>
          <w:sz w:val="22"/>
          <w:szCs w:val="22"/>
        </w:rPr>
        <w:t xml:space="preserve">As described above, the </w:t>
      </w:r>
      <w:r w:rsidR="003232EA">
        <w:rPr>
          <w:rFonts w:ascii="Calibri" w:hAnsi="Calibri" w:cs="Calibri"/>
          <w:color w:val="auto"/>
          <w:sz w:val="22"/>
          <w:szCs w:val="22"/>
        </w:rPr>
        <w:t>MERM</w:t>
      </w:r>
      <w:r w:rsidRPr="00D57492">
        <w:rPr>
          <w:rFonts w:ascii="Calibri" w:hAnsi="Calibri" w:cs="Calibri"/>
          <w:color w:val="auto"/>
          <w:sz w:val="22"/>
          <w:szCs w:val="22"/>
        </w:rPr>
        <w:t xml:space="preserve"> occurs at the level of capacity where the net revenues of new capacity from our simulations just equal the marginal costs of capacity, which is equal to CONE.  As shown in </w:t>
      </w:r>
      <w:r w:rsidRPr="00D57492">
        <w:rPr>
          <w:rFonts w:ascii="Calibri" w:hAnsi="Calibri" w:cs="Calibri"/>
          <w:color w:val="auto"/>
          <w:sz w:val="22"/>
          <w:szCs w:val="22"/>
        </w:rPr>
        <w:fldChar w:fldCharType="begin"/>
      </w:r>
      <w:r w:rsidRPr="00D57492">
        <w:rPr>
          <w:rFonts w:ascii="Calibri" w:hAnsi="Calibri" w:cs="Calibri"/>
          <w:color w:val="auto"/>
          <w:sz w:val="22"/>
          <w:szCs w:val="22"/>
        </w:rPr>
        <w:instrText xml:space="preserve"> REF _Ref378792941 \h  \* MERGEFORMAT </w:instrText>
      </w:r>
      <w:r w:rsidRPr="00D57492">
        <w:rPr>
          <w:rFonts w:ascii="Calibri" w:hAnsi="Calibri" w:cs="Calibri"/>
          <w:color w:val="auto"/>
          <w:sz w:val="22"/>
          <w:szCs w:val="22"/>
        </w:rPr>
      </w:r>
      <w:r w:rsidRPr="00D57492">
        <w:rPr>
          <w:rFonts w:ascii="Calibri" w:hAnsi="Calibri" w:cs="Calibri"/>
          <w:color w:val="auto"/>
          <w:sz w:val="22"/>
          <w:szCs w:val="22"/>
        </w:rPr>
        <w:fldChar w:fldCharType="separate"/>
      </w:r>
      <w:r w:rsidRPr="00D57492">
        <w:rPr>
          <w:rFonts w:ascii="Calibri" w:hAnsi="Calibri" w:cs="Calibri"/>
          <w:color w:val="auto"/>
          <w:sz w:val="22"/>
          <w:szCs w:val="22"/>
        </w:rPr>
        <w:t xml:space="preserve">Figure </w:t>
      </w:r>
      <w:r w:rsidRPr="00D57492">
        <w:rPr>
          <w:rFonts w:ascii="Calibri" w:hAnsi="Calibri" w:cs="Calibri"/>
          <w:noProof/>
          <w:color w:val="auto"/>
          <w:sz w:val="22"/>
          <w:szCs w:val="22"/>
        </w:rPr>
        <w:t>5</w:t>
      </w:r>
      <w:r w:rsidRPr="00D57492">
        <w:rPr>
          <w:rFonts w:ascii="Calibri" w:hAnsi="Calibri" w:cs="Calibri"/>
          <w:color w:val="auto"/>
          <w:sz w:val="22"/>
          <w:szCs w:val="22"/>
        </w:rPr>
        <w:fldChar w:fldCharType="end"/>
      </w:r>
      <w:r w:rsidRPr="00D57492">
        <w:rPr>
          <w:rFonts w:ascii="Calibri" w:hAnsi="Calibri" w:cs="Calibri"/>
          <w:color w:val="auto"/>
          <w:sz w:val="22"/>
          <w:szCs w:val="22"/>
        </w:rPr>
        <w:t xml:space="preserve"> below, CT net energy revenues tend to decrease with higher reserve margins due to lower energy prices </w:t>
      </w:r>
      <w:r w:rsidRPr="002F5746">
        <w:rPr>
          <w:rFonts w:ascii="Calibri" w:hAnsi="Calibri" w:cs="Calibri"/>
          <w:color w:val="auto"/>
          <w:sz w:val="22"/>
          <w:szCs w:val="22"/>
        </w:rPr>
        <w:t xml:space="preserve">and few scarcity hours that occur when there is additional supply available on the system.  We find that the </w:t>
      </w:r>
      <w:r w:rsidR="003232EA">
        <w:rPr>
          <w:rFonts w:ascii="Calibri" w:hAnsi="Calibri" w:cs="Calibri"/>
          <w:color w:val="auto"/>
          <w:sz w:val="22"/>
          <w:szCs w:val="22"/>
        </w:rPr>
        <w:t>MERM</w:t>
      </w:r>
      <w:r w:rsidRPr="002F5746">
        <w:rPr>
          <w:rFonts w:ascii="Calibri" w:hAnsi="Calibri" w:cs="Calibri"/>
          <w:color w:val="auto"/>
          <w:sz w:val="22"/>
          <w:szCs w:val="22"/>
        </w:rPr>
        <w:t>, where marginal costs of new capacity intersect with the marginal revenues for that capacity, is 1</w:t>
      </w:r>
      <w:r w:rsidR="00BA77B7">
        <w:rPr>
          <w:rFonts w:ascii="Calibri" w:hAnsi="Calibri" w:cs="Calibri"/>
          <w:color w:val="auto"/>
          <w:sz w:val="22"/>
          <w:szCs w:val="22"/>
        </w:rPr>
        <w:t>2</w:t>
      </w:r>
      <w:r w:rsidR="00AB530C">
        <w:rPr>
          <w:rFonts w:ascii="Calibri" w:hAnsi="Calibri" w:cs="Calibri"/>
          <w:color w:val="auto"/>
          <w:sz w:val="22"/>
          <w:szCs w:val="22"/>
        </w:rPr>
        <w:t>.25</w:t>
      </w:r>
      <w:r w:rsidRPr="002F5746">
        <w:rPr>
          <w:rFonts w:ascii="Calibri" w:hAnsi="Calibri" w:cs="Calibri"/>
          <w:color w:val="auto"/>
          <w:sz w:val="22"/>
          <w:szCs w:val="22"/>
        </w:rPr>
        <w:t>%.</w:t>
      </w:r>
      <w:bookmarkStart w:id="105" w:name="_Ref378332668"/>
    </w:p>
    <w:p w14:paraId="0C1DF548" w14:textId="7E004F2F" w:rsidR="004B58AD" w:rsidRPr="002F5746" w:rsidRDefault="004B58AD" w:rsidP="00326E77">
      <w:pPr>
        <w:pStyle w:val="Caption"/>
        <w:tabs>
          <w:tab w:val="left" w:pos="0"/>
        </w:tabs>
        <w:jc w:val="center"/>
        <w:rPr>
          <w:rFonts w:cs="Calibri"/>
          <w:b/>
          <w:bCs/>
          <w:i w:val="0"/>
          <w:iCs w:val="0"/>
          <w:color w:val="auto"/>
          <w:sz w:val="22"/>
          <w:szCs w:val="22"/>
        </w:rPr>
      </w:pPr>
      <w:bookmarkStart w:id="106" w:name="_Ref378792941"/>
      <w:r w:rsidRPr="002F5746">
        <w:rPr>
          <w:rFonts w:cs="Calibri"/>
          <w:b/>
          <w:bCs/>
          <w:i w:val="0"/>
          <w:iCs w:val="0"/>
          <w:color w:val="auto"/>
          <w:sz w:val="22"/>
          <w:szCs w:val="22"/>
        </w:rPr>
        <w:t xml:space="preserve">Figure </w:t>
      </w:r>
      <w:r w:rsidRPr="002F5746">
        <w:rPr>
          <w:rFonts w:cs="Calibri"/>
          <w:b/>
          <w:bCs/>
          <w:i w:val="0"/>
          <w:iCs w:val="0"/>
          <w:color w:val="auto"/>
          <w:sz w:val="22"/>
          <w:szCs w:val="22"/>
        </w:rPr>
        <w:fldChar w:fldCharType="begin"/>
      </w:r>
      <w:r w:rsidRPr="002F5746">
        <w:rPr>
          <w:rFonts w:cs="Calibri"/>
          <w:b/>
          <w:bCs/>
          <w:i w:val="0"/>
          <w:iCs w:val="0"/>
          <w:color w:val="auto"/>
          <w:sz w:val="22"/>
          <w:szCs w:val="22"/>
        </w:rPr>
        <w:instrText xml:space="preserve"> SEQ Figure \* ARABIC </w:instrText>
      </w:r>
      <w:r w:rsidRPr="002F5746">
        <w:rPr>
          <w:rFonts w:cs="Calibri"/>
          <w:b/>
          <w:bCs/>
          <w:i w:val="0"/>
          <w:iCs w:val="0"/>
          <w:color w:val="auto"/>
          <w:sz w:val="22"/>
          <w:szCs w:val="22"/>
        </w:rPr>
        <w:fldChar w:fldCharType="separate"/>
      </w:r>
      <w:r w:rsidR="003F6A8E">
        <w:rPr>
          <w:rFonts w:cs="Calibri"/>
          <w:b/>
          <w:bCs/>
          <w:i w:val="0"/>
          <w:iCs w:val="0"/>
          <w:noProof/>
          <w:color w:val="auto"/>
          <w:sz w:val="22"/>
          <w:szCs w:val="22"/>
        </w:rPr>
        <w:t>5</w:t>
      </w:r>
      <w:r w:rsidRPr="002F5746">
        <w:rPr>
          <w:rFonts w:cs="Calibri"/>
          <w:b/>
          <w:bCs/>
          <w:i w:val="0"/>
          <w:iCs w:val="0"/>
          <w:color w:val="auto"/>
          <w:sz w:val="22"/>
          <w:szCs w:val="22"/>
        </w:rPr>
        <w:fldChar w:fldCharType="end"/>
      </w:r>
      <w:bookmarkEnd w:id="106"/>
      <w:r w:rsidR="00326E77" w:rsidRPr="002F5746">
        <w:rPr>
          <w:rFonts w:cs="Calibri"/>
          <w:b/>
          <w:bCs/>
          <w:i w:val="0"/>
          <w:iCs w:val="0"/>
          <w:color w:val="auto"/>
          <w:sz w:val="22"/>
          <w:szCs w:val="22"/>
        </w:rPr>
        <w:t xml:space="preserve">. </w:t>
      </w:r>
      <w:r w:rsidRPr="002F5746">
        <w:rPr>
          <w:rFonts w:cs="Calibri"/>
          <w:b/>
          <w:bCs/>
          <w:i w:val="0"/>
          <w:iCs w:val="0"/>
          <w:color w:val="auto"/>
          <w:sz w:val="22"/>
          <w:szCs w:val="22"/>
        </w:rPr>
        <w:t>ERCOT Projected 202</w:t>
      </w:r>
      <w:r w:rsidR="008D0388">
        <w:rPr>
          <w:rFonts w:cs="Calibri"/>
          <w:b/>
          <w:bCs/>
          <w:i w:val="0"/>
          <w:iCs w:val="0"/>
          <w:color w:val="auto"/>
          <w:sz w:val="22"/>
          <w:szCs w:val="22"/>
        </w:rPr>
        <w:t>4</w:t>
      </w:r>
      <w:r w:rsidRPr="002F5746">
        <w:rPr>
          <w:rFonts w:cs="Calibri"/>
          <w:b/>
          <w:bCs/>
          <w:i w:val="0"/>
          <w:iCs w:val="0"/>
          <w:color w:val="auto"/>
          <w:sz w:val="22"/>
          <w:szCs w:val="22"/>
        </w:rPr>
        <w:t xml:space="preserve"> Market Equilibrium Reserve Margin</w:t>
      </w:r>
    </w:p>
    <w:bookmarkEnd w:id="105"/>
    <w:p w14:paraId="74578359" w14:textId="5966C447" w:rsidR="004B58AD" w:rsidRDefault="00A97591" w:rsidP="004B58AD">
      <w:pPr>
        <w:pStyle w:val="BGInsertGraphic"/>
        <w:rPr>
          <w:rStyle w:val="CommentReference"/>
        </w:rPr>
      </w:pPr>
      <w:r>
        <w:rPr>
          <w:rStyle w:val="CommentReference"/>
          <w:noProof/>
        </w:rPr>
        <w:drawing>
          <wp:inline distT="0" distB="0" distL="0" distR="0" wp14:anchorId="4D98A07B" wp14:editId="659A3980">
            <wp:extent cx="5005070" cy="335915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070" cy="3359150"/>
                    </a:xfrm>
                    <a:prstGeom prst="rect">
                      <a:avLst/>
                    </a:prstGeom>
                    <a:noFill/>
                  </pic:spPr>
                </pic:pic>
              </a:graphicData>
            </a:graphic>
          </wp:inline>
        </w:drawing>
      </w:r>
    </w:p>
    <w:p w14:paraId="0F36A342" w14:textId="05C60DC8" w:rsidR="004B58AD" w:rsidRPr="00AF772D" w:rsidRDefault="004B58AD" w:rsidP="004B58AD">
      <w:pPr>
        <w:pStyle w:val="BGNormal125"/>
        <w:rPr>
          <w:rFonts w:ascii="Calibri" w:hAnsi="Calibri" w:cs="Calibri"/>
          <w:color w:val="auto"/>
          <w:sz w:val="22"/>
          <w:szCs w:val="22"/>
        </w:rPr>
      </w:pPr>
      <w:r w:rsidRPr="00AF772D">
        <w:rPr>
          <w:rFonts w:ascii="Calibri" w:hAnsi="Calibri" w:cs="Calibri"/>
          <w:color w:val="auto"/>
          <w:sz w:val="22"/>
          <w:szCs w:val="22"/>
        </w:rPr>
        <w:t>However,</w:t>
      </w:r>
      <w:r w:rsidRPr="00AF772D" w:rsidDel="00E52963">
        <w:rPr>
          <w:rFonts w:ascii="Calibri" w:hAnsi="Calibri" w:cs="Calibri"/>
          <w:color w:val="auto"/>
          <w:sz w:val="22"/>
          <w:szCs w:val="22"/>
        </w:rPr>
        <w:t xml:space="preserve"> </w:t>
      </w:r>
      <w:r w:rsidRPr="00AF772D">
        <w:rPr>
          <w:rFonts w:ascii="Calibri" w:hAnsi="Calibri" w:cs="Calibri"/>
          <w:color w:val="auto"/>
          <w:sz w:val="22"/>
          <w:szCs w:val="22"/>
        </w:rPr>
        <w:t xml:space="preserve">the single average </w:t>
      </w:r>
      <w:r w:rsidR="00EF44A3">
        <w:rPr>
          <w:rFonts w:ascii="Calibri" w:hAnsi="Calibri" w:cs="Calibri"/>
          <w:color w:val="auto"/>
          <w:sz w:val="22"/>
          <w:szCs w:val="22"/>
        </w:rPr>
        <w:t>MERM</w:t>
      </w:r>
      <w:r w:rsidRPr="00AF772D">
        <w:rPr>
          <w:rFonts w:ascii="Calibri" w:hAnsi="Calibri" w:cs="Calibri"/>
          <w:color w:val="auto"/>
          <w:sz w:val="22"/>
          <w:szCs w:val="22"/>
        </w:rPr>
        <w:t xml:space="preserve"> of 1</w:t>
      </w:r>
      <w:r w:rsidR="00BA77B7">
        <w:rPr>
          <w:rFonts w:ascii="Calibri" w:hAnsi="Calibri" w:cs="Calibri"/>
          <w:color w:val="auto"/>
          <w:sz w:val="22"/>
          <w:szCs w:val="22"/>
        </w:rPr>
        <w:t>2</w:t>
      </w:r>
      <w:r w:rsidRPr="00AF772D">
        <w:rPr>
          <w:rFonts w:ascii="Calibri" w:hAnsi="Calibri" w:cs="Calibri"/>
          <w:color w:val="auto"/>
          <w:sz w:val="22"/>
          <w:szCs w:val="22"/>
        </w:rPr>
        <w:t xml:space="preserve">.25% does not provide a complete story of the expected reliability of the ERCOT system or the expected revenues for new entrants.  In the remainder of this section we discuss the volatility in realized prices in our simulations and the year-to-year variability in the reserve margin.  In Section </w:t>
      </w:r>
      <w:r w:rsidRPr="00AF772D">
        <w:rPr>
          <w:rFonts w:ascii="Calibri" w:hAnsi="Calibri" w:cs="Calibri"/>
          <w:color w:val="auto"/>
          <w:sz w:val="22"/>
          <w:szCs w:val="22"/>
        </w:rPr>
        <w:fldChar w:fldCharType="begin"/>
      </w:r>
      <w:r w:rsidRPr="00AF772D">
        <w:rPr>
          <w:rFonts w:ascii="Calibri" w:hAnsi="Calibri" w:cs="Calibri"/>
          <w:color w:val="auto"/>
          <w:sz w:val="22"/>
          <w:szCs w:val="22"/>
        </w:rPr>
        <w:instrText xml:space="preserve"> REF _Ref526330846 \w \h </w:instrText>
      </w:r>
      <w:r w:rsidR="00326E77" w:rsidRPr="00AF772D">
        <w:rPr>
          <w:rFonts w:ascii="Calibri" w:hAnsi="Calibri" w:cs="Calibri"/>
          <w:color w:val="auto"/>
          <w:sz w:val="22"/>
          <w:szCs w:val="22"/>
        </w:rPr>
        <w:instrText xml:space="preserve"> \* MERGEFORMAT </w:instrText>
      </w:r>
      <w:r w:rsidRPr="00AF772D">
        <w:rPr>
          <w:rFonts w:ascii="Calibri" w:hAnsi="Calibri" w:cs="Calibri"/>
          <w:color w:val="auto"/>
          <w:sz w:val="22"/>
          <w:szCs w:val="22"/>
        </w:rPr>
      </w:r>
      <w:r w:rsidRPr="00AF772D">
        <w:rPr>
          <w:rFonts w:ascii="Calibri" w:hAnsi="Calibri" w:cs="Calibri"/>
          <w:color w:val="auto"/>
          <w:sz w:val="22"/>
          <w:szCs w:val="22"/>
        </w:rPr>
        <w:fldChar w:fldCharType="separate"/>
      </w:r>
      <w:r w:rsidRPr="00AF772D">
        <w:rPr>
          <w:rFonts w:ascii="Calibri" w:hAnsi="Calibri" w:cs="Calibri"/>
          <w:color w:val="auto"/>
          <w:sz w:val="22"/>
          <w:szCs w:val="22"/>
        </w:rPr>
        <w:t>III.B</w:t>
      </w:r>
      <w:r w:rsidRPr="00AF772D">
        <w:rPr>
          <w:rFonts w:ascii="Calibri" w:hAnsi="Calibri" w:cs="Calibri"/>
          <w:color w:val="auto"/>
          <w:sz w:val="22"/>
          <w:szCs w:val="22"/>
        </w:rPr>
        <w:fldChar w:fldCharType="end"/>
      </w:r>
      <w:r w:rsidRPr="00AF772D">
        <w:rPr>
          <w:rFonts w:ascii="Calibri" w:hAnsi="Calibri" w:cs="Calibri"/>
          <w:color w:val="auto"/>
          <w:sz w:val="22"/>
          <w:szCs w:val="22"/>
        </w:rPr>
        <w:t xml:space="preserve"> we compare this market equilibrium to an economically optimal reserve margin, and in Section </w:t>
      </w:r>
      <w:r w:rsidRPr="00AF772D">
        <w:rPr>
          <w:rFonts w:ascii="Calibri" w:hAnsi="Calibri" w:cs="Calibri"/>
          <w:color w:val="auto"/>
          <w:sz w:val="22"/>
          <w:szCs w:val="22"/>
          <w:highlight w:val="yellow"/>
        </w:rPr>
        <w:fldChar w:fldCharType="begin"/>
      </w:r>
      <w:r w:rsidRPr="00AF772D">
        <w:rPr>
          <w:rFonts w:ascii="Calibri" w:hAnsi="Calibri" w:cs="Calibri"/>
          <w:color w:val="auto"/>
          <w:sz w:val="22"/>
          <w:szCs w:val="22"/>
        </w:rPr>
        <w:instrText xml:space="preserve"> REF _Ref526330855 \w \h </w:instrText>
      </w:r>
      <w:r w:rsidR="00326E77" w:rsidRPr="00AF772D">
        <w:rPr>
          <w:rFonts w:ascii="Calibri" w:hAnsi="Calibri" w:cs="Calibri"/>
          <w:color w:val="auto"/>
          <w:sz w:val="22"/>
          <w:szCs w:val="22"/>
          <w:highlight w:val="yellow"/>
        </w:rPr>
        <w:instrText xml:space="preserve"> \* MERGEFORMAT </w:instrText>
      </w:r>
      <w:r w:rsidRPr="00AF772D">
        <w:rPr>
          <w:rFonts w:ascii="Calibri" w:hAnsi="Calibri" w:cs="Calibri"/>
          <w:color w:val="auto"/>
          <w:sz w:val="22"/>
          <w:szCs w:val="22"/>
          <w:highlight w:val="yellow"/>
        </w:rPr>
      </w:r>
      <w:r w:rsidRPr="00AF772D">
        <w:rPr>
          <w:rFonts w:ascii="Calibri" w:hAnsi="Calibri" w:cs="Calibri"/>
          <w:color w:val="auto"/>
          <w:sz w:val="22"/>
          <w:szCs w:val="22"/>
          <w:highlight w:val="yellow"/>
        </w:rPr>
        <w:fldChar w:fldCharType="separate"/>
      </w:r>
      <w:r w:rsidRPr="00AF772D">
        <w:rPr>
          <w:rFonts w:ascii="Calibri" w:hAnsi="Calibri" w:cs="Calibri"/>
          <w:color w:val="auto"/>
          <w:sz w:val="22"/>
          <w:szCs w:val="22"/>
        </w:rPr>
        <w:t>III.C</w:t>
      </w:r>
      <w:r w:rsidRPr="00AF772D">
        <w:rPr>
          <w:rFonts w:ascii="Calibri" w:hAnsi="Calibri" w:cs="Calibri"/>
          <w:color w:val="auto"/>
          <w:sz w:val="22"/>
          <w:szCs w:val="22"/>
          <w:highlight w:val="yellow"/>
        </w:rPr>
        <w:fldChar w:fldCharType="end"/>
      </w:r>
      <w:r w:rsidRPr="00AF772D">
        <w:rPr>
          <w:rFonts w:ascii="Calibri" w:hAnsi="Calibri" w:cs="Calibri"/>
          <w:color w:val="auto"/>
          <w:sz w:val="22"/>
          <w:szCs w:val="22"/>
        </w:rPr>
        <w:t xml:space="preserve"> we examine the sensitivity of our analysis to uncertainties in future market conditions.</w:t>
      </w:r>
    </w:p>
    <w:p w14:paraId="3E21E169" w14:textId="47F7D82C" w:rsidR="004B58AD" w:rsidRDefault="004B58AD" w:rsidP="00FA0DFD">
      <w:pPr>
        <w:pStyle w:val="Heading3"/>
        <w:numPr>
          <w:ilvl w:val="0"/>
          <w:numId w:val="13"/>
        </w:numPr>
      </w:pPr>
      <w:bookmarkStart w:id="107" w:name="_Ref523319987"/>
      <w:bookmarkStart w:id="108" w:name="_Toc525079594"/>
      <w:bookmarkStart w:id="109" w:name="_Toc525851026"/>
      <w:bookmarkStart w:id="110" w:name="_Toc525938047"/>
      <w:bookmarkStart w:id="111" w:name="_Toc526279103"/>
      <w:bookmarkStart w:id="112" w:name="_Toc526437259"/>
      <w:bookmarkStart w:id="113" w:name="_Toc526439903"/>
      <w:bookmarkStart w:id="114" w:name="_Toc526440013"/>
      <w:bookmarkStart w:id="115" w:name="_Toc532834290"/>
      <w:bookmarkStart w:id="116" w:name="_Toc57193562"/>
      <w:r>
        <w:t>Volatility in Realized Prices and Generator Revenues</w:t>
      </w:r>
      <w:bookmarkEnd w:id="107"/>
      <w:bookmarkEnd w:id="108"/>
      <w:bookmarkEnd w:id="109"/>
      <w:bookmarkEnd w:id="110"/>
      <w:bookmarkEnd w:id="111"/>
      <w:bookmarkEnd w:id="112"/>
      <w:bookmarkEnd w:id="113"/>
      <w:bookmarkEnd w:id="114"/>
      <w:bookmarkEnd w:id="115"/>
      <w:bookmarkEnd w:id="116"/>
    </w:p>
    <w:p w14:paraId="34D14918" w14:textId="1A0B5FBD" w:rsidR="004B58AD" w:rsidRPr="000072A6" w:rsidRDefault="004B58AD" w:rsidP="004B58AD">
      <w:pPr>
        <w:pStyle w:val="BGNormal125"/>
        <w:rPr>
          <w:rFonts w:ascii="Calibri" w:hAnsi="Calibri" w:cs="Calibri"/>
          <w:color w:val="auto"/>
          <w:sz w:val="22"/>
          <w:szCs w:val="22"/>
        </w:rPr>
      </w:pPr>
      <w:r w:rsidRPr="000072A6">
        <w:rPr>
          <w:rFonts w:ascii="Calibri" w:hAnsi="Calibri" w:cs="Calibri"/>
          <w:color w:val="auto"/>
          <w:sz w:val="22"/>
          <w:szCs w:val="22"/>
        </w:rPr>
        <w:t xml:space="preserve">Our estimate of the average </w:t>
      </w:r>
      <w:r w:rsidR="00E20E07">
        <w:rPr>
          <w:rFonts w:ascii="Calibri" w:hAnsi="Calibri" w:cs="Calibri"/>
          <w:color w:val="auto"/>
          <w:sz w:val="22"/>
          <w:szCs w:val="22"/>
        </w:rPr>
        <w:t>MERM</w:t>
      </w:r>
      <w:r w:rsidRPr="000072A6">
        <w:rPr>
          <w:rFonts w:ascii="Calibri" w:hAnsi="Calibri" w:cs="Calibri"/>
          <w:color w:val="auto"/>
          <w:sz w:val="22"/>
          <w:szCs w:val="22"/>
        </w:rPr>
        <w:t xml:space="preserve"> is strongly influenced by the assumed peak load and generator outage probability distributions, especially the most extreme scarcity events at the tails of those distributions.  As the reserve margin declines, these tails become more likely to produce scarcity resulting in high prices, high system-wide costs, and high generator margins.</w:t>
      </w:r>
    </w:p>
    <w:p w14:paraId="5BEDF04A" w14:textId="77777777" w:rsidR="004B58AD" w:rsidRPr="000072A6" w:rsidRDefault="004B58AD" w:rsidP="00077409">
      <w:pPr>
        <w:pStyle w:val="BGNormal125"/>
        <w:spacing w:after="240"/>
        <w:rPr>
          <w:rFonts w:ascii="Calibri" w:hAnsi="Calibri" w:cs="Calibri"/>
          <w:color w:val="auto"/>
          <w:sz w:val="22"/>
          <w:szCs w:val="22"/>
        </w:rPr>
      </w:pPr>
      <w:r w:rsidRPr="000072A6">
        <w:rPr>
          <w:rFonts w:ascii="Calibri" w:hAnsi="Calibri" w:cs="Calibri"/>
          <w:color w:val="auto"/>
          <w:sz w:val="22"/>
          <w:szCs w:val="22"/>
        </w:rPr>
        <w:fldChar w:fldCharType="begin"/>
      </w:r>
      <w:r w:rsidRPr="000072A6">
        <w:rPr>
          <w:rFonts w:ascii="Calibri" w:hAnsi="Calibri" w:cs="Calibri"/>
          <w:color w:val="auto"/>
          <w:sz w:val="22"/>
          <w:szCs w:val="22"/>
        </w:rPr>
        <w:instrText xml:space="preserve"> REF _Ref378511945 \h  \* MERGEFORMAT </w:instrText>
      </w:r>
      <w:r w:rsidRPr="000072A6">
        <w:rPr>
          <w:rFonts w:ascii="Calibri" w:hAnsi="Calibri" w:cs="Calibri"/>
          <w:color w:val="auto"/>
          <w:sz w:val="22"/>
          <w:szCs w:val="22"/>
        </w:rPr>
      </w:r>
      <w:r w:rsidRPr="000072A6">
        <w:rPr>
          <w:rFonts w:ascii="Calibri" w:hAnsi="Calibri" w:cs="Calibri"/>
          <w:color w:val="auto"/>
          <w:sz w:val="22"/>
          <w:szCs w:val="22"/>
        </w:rPr>
        <w:fldChar w:fldCharType="separate"/>
      </w:r>
      <w:r w:rsidRPr="000072A6">
        <w:rPr>
          <w:rFonts w:ascii="Calibri" w:hAnsi="Calibri" w:cs="Calibri"/>
          <w:color w:val="auto"/>
          <w:sz w:val="22"/>
          <w:szCs w:val="22"/>
        </w:rPr>
        <w:t xml:space="preserve">Figure </w:t>
      </w:r>
      <w:r w:rsidRPr="000072A6">
        <w:rPr>
          <w:rFonts w:ascii="Calibri" w:hAnsi="Calibri" w:cs="Calibri"/>
          <w:noProof/>
          <w:color w:val="auto"/>
          <w:sz w:val="22"/>
          <w:szCs w:val="22"/>
        </w:rPr>
        <w:t>6</w:t>
      </w:r>
      <w:r w:rsidRPr="000072A6">
        <w:rPr>
          <w:rFonts w:ascii="Calibri" w:hAnsi="Calibri" w:cs="Calibri"/>
          <w:color w:val="auto"/>
          <w:sz w:val="22"/>
          <w:szCs w:val="22"/>
        </w:rPr>
        <w:fldChar w:fldCharType="end"/>
      </w:r>
      <w:r w:rsidRPr="000072A6">
        <w:rPr>
          <w:rFonts w:ascii="Calibri" w:hAnsi="Calibri" w:cs="Calibri"/>
          <w:color w:val="auto"/>
          <w:sz w:val="22"/>
          <w:szCs w:val="22"/>
        </w:rPr>
        <w:t xml:space="preserve"> shows the range of annual energy prices (left) and marginal unit</w:t>
      </w:r>
      <w:r w:rsidRPr="000072A6" w:rsidDel="00577D18">
        <w:rPr>
          <w:rFonts w:ascii="Calibri" w:hAnsi="Calibri" w:cs="Calibri"/>
          <w:color w:val="auto"/>
          <w:sz w:val="22"/>
          <w:szCs w:val="22"/>
        </w:rPr>
        <w:t xml:space="preserve"> </w:t>
      </w:r>
      <w:r w:rsidRPr="000072A6">
        <w:rPr>
          <w:rFonts w:ascii="Calibri" w:hAnsi="Calibri" w:cs="Calibri"/>
          <w:color w:val="auto"/>
          <w:sz w:val="22"/>
          <w:szCs w:val="22"/>
        </w:rPr>
        <w:t>net energy revenues (right)</w:t>
      </w:r>
      <w:r w:rsidRPr="000072A6" w:rsidDel="00577D18">
        <w:rPr>
          <w:rFonts w:ascii="Calibri" w:hAnsi="Calibri" w:cs="Calibri"/>
          <w:color w:val="auto"/>
          <w:sz w:val="22"/>
          <w:szCs w:val="22"/>
        </w:rPr>
        <w:t xml:space="preserve"> </w:t>
      </w:r>
      <w:r w:rsidRPr="000072A6">
        <w:rPr>
          <w:rFonts w:ascii="Calibri" w:hAnsi="Calibri" w:cs="Calibri"/>
          <w:color w:val="auto"/>
          <w:sz w:val="22"/>
          <w:szCs w:val="22"/>
        </w:rPr>
        <w:t>for the base case across the reserve margins analyzed.</w:t>
      </w:r>
      <w:r w:rsidRPr="000072A6">
        <w:rPr>
          <w:rStyle w:val="FootnoteReference"/>
          <w:rFonts w:ascii="Calibri" w:hAnsi="Calibri" w:cs="Calibri"/>
          <w:color w:val="auto"/>
          <w:sz w:val="22"/>
          <w:szCs w:val="22"/>
        </w:rPr>
        <w:footnoteReference w:id="22"/>
      </w:r>
      <w:r w:rsidRPr="000072A6">
        <w:rPr>
          <w:rFonts w:ascii="Calibri" w:hAnsi="Calibri" w:cs="Calibri"/>
          <w:color w:val="auto"/>
          <w:sz w:val="22"/>
          <w:szCs w:val="22"/>
        </w:rPr>
        <w:t xml:space="preserve">  The upper percentile curves show that prices and supplier margins in the tails of the distribution can be much higher in any given year than their median or</w:t>
      </w:r>
      <w:r w:rsidRPr="000072A6" w:rsidDel="00686818">
        <w:rPr>
          <w:rFonts w:ascii="Calibri" w:hAnsi="Calibri" w:cs="Calibri"/>
          <w:color w:val="auto"/>
          <w:sz w:val="22"/>
          <w:szCs w:val="22"/>
        </w:rPr>
        <w:t xml:space="preserve"> </w:t>
      </w:r>
      <w:r w:rsidRPr="000072A6">
        <w:rPr>
          <w:rFonts w:ascii="Calibri" w:hAnsi="Calibri" w:cs="Calibri"/>
          <w:color w:val="auto"/>
          <w:sz w:val="22"/>
          <w:szCs w:val="22"/>
        </w:rPr>
        <w:t>overall weighted average values.</w:t>
      </w:r>
    </w:p>
    <w:p w14:paraId="633717A8" w14:textId="42B470F1" w:rsidR="00097924" w:rsidRPr="00EF44A3" w:rsidRDefault="004B58AD" w:rsidP="00077409">
      <w:pPr>
        <w:pStyle w:val="Caption"/>
        <w:spacing w:after="0"/>
        <w:jc w:val="center"/>
        <w:rPr>
          <w:rFonts w:cs="Calibri"/>
          <w:b/>
          <w:bCs/>
          <w:i w:val="0"/>
          <w:iCs w:val="0"/>
          <w:color w:val="auto"/>
          <w:sz w:val="22"/>
          <w:szCs w:val="22"/>
        </w:rPr>
      </w:pPr>
      <w:bookmarkStart w:id="117" w:name="_Ref378511945"/>
      <w:r w:rsidRPr="00E3176D">
        <w:rPr>
          <w:rFonts w:cs="Calibri"/>
          <w:b/>
          <w:bCs/>
          <w:i w:val="0"/>
          <w:iCs w:val="0"/>
          <w:color w:val="auto"/>
          <w:sz w:val="22"/>
          <w:szCs w:val="22"/>
        </w:rPr>
        <w:t xml:space="preserve">Figure </w:t>
      </w:r>
      <w:r w:rsidRPr="00E3176D">
        <w:rPr>
          <w:rFonts w:cs="Calibri"/>
          <w:b/>
          <w:bCs/>
          <w:i w:val="0"/>
          <w:iCs w:val="0"/>
          <w:color w:val="auto"/>
          <w:sz w:val="22"/>
          <w:szCs w:val="22"/>
        </w:rPr>
        <w:fldChar w:fldCharType="begin"/>
      </w:r>
      <w:r w:rsidRPr="00E3176D">
        <w:rPr>
          <w:rFonts w:cs="Calibri"/>
          <w:b/>
          <w:bCs/>
          <w:i w:val="0"/>
          <w:iCs w:val="0"/>
          <w:color w:val="auto"/>
          <w:sz w:val="22"/>
          <w:szCs w:val="22"/>
        </w:rPr>
        <w:instrText xml:space="preserve"> SEQ Figure \* ARABIC </w:instrText>
      </w:r>
      <w:r w:rsidRPr="00E3176D">
        <w:rPr>
          <w:rFonts w:cs="Calibri"/>
          <w:b/>
          <w:bCs/>
          <w:i w:val="0"/>
          <w:iCs w:val="0"/>
          <w:color w:val="auto"/>
          <w:sz w:val="22"/>
          <w:szCs w:val="22"/>
        </w:rPr>
        <w:fldChar w:fldCharType="separate"/>
      </w:r>
      <w:r w:rsidRPr="00E3176D">
        <w:rPr>
          <w:rFonts w:cs="Calibri"/>
          <w:b/>
          <w:bCs/>
          <w:i w:val="0"/>
          <w:iCs w:val="0"/>
          <w:noProof/>
          <w:color w:val="auto"/>
          <w:sz w:val="22"/>
          <w:szCs w:val="22"/>
        </w:rPr>
        <w:t>6</w:t>
      </w:r>
      <w:r w:rsidRPr="00E3176D">
        <w:rPr>
          <w:rFonts w:cs="Calibri"/>
          <w:b/>
          <w:bCs/>
          <w:i w:val="0"/>
          <w:iCs w:val="0"/>
          <w:color w:val="auto"/>
          <w:sz w:val="22"/>
          <w:szCs w:val="22"/>
        </w:rPr>
        <w:fldChar w:fldCharType="end"/>
      </w:r>
      <w:bookmarkEnd w:id="117"/>
      <w:r w:rsidR="00326E77" w:rsidRPr="00E3176D">
        <w:rPr>
          <w:rFonts w:cs="Calibri"/>
          <w:b/>
          <w:bCs/>
          <w:i w:val="0"/>
          <w:iCs w:val="0"/>
          <w:color w:val="auto"/>
          <w:sz w:val="22"/>
          <w:szCs w:val="22"/>
        </w:rPr>
        <w:t xml:space="preserve">. </w:t>
      </w:r>
      <w:r w:rsidRPr="00E3176D">
        <w:rPr>
          <w:rFonts w:cs="Calibri"/>
          <w:b/>
          <w:bCs/>
          <w:i w:val="0"/>
          <w:iCs w:val="0"/>
          <w:color w:val="auto"/>
          <w:sz w:val="22"/>
          <w:szCs w:val="22"/>
        </w:rPr>
        <w:t xml:space="preserve">Distribution of Spot Energy Prices (Left) and Net Energy Revenues for </w:t>
      </w:r>
      <w:r w:rsidRPr="00E3176D" w:rsidDel="002E7313">
        <w:rPr>
          <w:rFonts w:cs="Calibri"/>
          <w:b/>
          <w:bCs/>
          <w:i w:val="0"/>
          <w:iCs w:val="0"/>
          <w:color w:val="auto"/>
          <w:sz w:val="22"/>
          <w:szCs w:val="22"/>
        </w:rPr>
        <w:t xml:space="preserve">a </w:t>
      </w:r>
      <w:r w:rsidRPr="00E3176D">
        <w:rPr>
          <w:rFonts w:cs="Calibri"/>
          <w:b/>
          <w:bCs/>
          <w:i w:val="0"/>
          <w:iCs w:val="0"/>
          <w:color w:val="auto"/>
          <w:sz w:val="22"/>
          <w:szCs w:val="22"/>
        </w:rPr>
        <w:t>Marginal Unit (Right)</w:t>
      </w:r>
      <w:r w:rsidRPr="00326E77">
        <w:rPr>
          <w:rFonts w:cs="Calibri"/>
          <w:color w:val="C00000"/>
        </w:rPr>
        <w:t xml:space="preserve"> </w:t>
      </w:r>
    </w:p>
    <w:p w14:paraId="57C07F6A" w14:textId="3B82524F" w:rsidR="00A97591" w:rsidRPr="009163BD" w:rsidRDefault="00A97591" w:rsidP="00077409">
      <w:pPr>
        <w:pStyle w:val="BGNormal125"/>
        <w:spacing w:before="0"/>
      </w:pPr>
      <w:r>
        <w:rPr>
          <w:noProof/>
        </w:rPr>
        <w:drawing>
          <wp:inline distT="0" distB="0" distL="0" distR="0" wp14:anchorId="2FD796E3" wp14:editId="56A6C79F">
            <wp:extent cx="2926080" cy="3106683"/>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3106683"/>
                    </a:xfrm>
                    <a:prstGeom prst="rect">
                      <a:avLst/>
                    </a:prstGeom>
                    <a:noFill/>
                  </pic:spPr>
                </pic:pic>
              </a:graphicData>
            </a:graphic>
          </wp:inline>
        </w:drawing>
      </w:r>
      <w:r w:rsidR="005C6AD8">
        <w:rPr>
          <w:noProof/>
        </w:rPr>
        <w:drawing>
          <wp:inline distT="0" distB="0" distL="0" distR="0" wp14:anchorId="7C8E7869" wp14:editId="5ED23A2A">
            <wp:extent cx="2926843" cy="309981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843" cy="3099816"/>
                    </a:xfrm>
                    <a:prstGeom prst="rect">
                      <a:avLst/>
                    </a:prstGeom>
                    <a:noFill/>
                  </pic:spPr>
                </pic:pic>
              </a:graphicData>
            </a:graphic>
          </wp:inline>
        </w:drawing>
      </w:r>
    </w:p>
    <w:p w14:paraId="0A2D65BA" w14:textId="042D82E8" w:rsidR="004B58AD" w:rsidRPr="00E3176D" w:rsidRDefault="004B58AD" w:rsidP="004B58AD">
      <w:pPr>
        <w:pStyle w:val="BGNotesFiguresTables"/>
        <w:ind w:left="720" w:right="720"/>
        <w:rPr>
          <w:rFonts w:cs="Calibri"/>
          <w:color w:val="auto"/>
        </w:rPr>
      </w:pPr>
      <w:r w:rsidRPr="00E3176D">
        <w:rPr>
          <w:rFonts w:cs="Calibri"/>
          <w:color w:val="auto"/>
        </w:rPr>
        <w:t xml:space="preserve">Note: Marginal Unit Net Energy Revenues represent net revenues from </w:t>
      </w:r>
      <w:r w:rsidR="00E3176D" w:rsidRPr="00E3176D">
        <w:rPr>
          <w:rFonts w:cs="Calibri"/>
          <w:color w:val="auto"/>
        </w:rPr>
        <w:t>added CTs.</w:t>
      </w:r>
      <w:r w:rsidRPr="00E3176D" w:rsidDel="002E7313">
        <w:rPr>
          <w:rFonts w:cs="Calibri"/>
          <w:color w:val="auto"/>
        </w:rPr>
        <w:t xml:space="preserve"> </w:t>
      </w:r>
    </w:p>
    <w:p w14:paraId="4EF96405" w14:textId="5BC2453C" w:rsidR="00EF5279" w:rsidRPr="00077409" w:rsidRDefault="004B58AD" w:rsidP="00077409">
      <w:pPr>
        <w:pStyle w:val="BGNormal125"/>
        <w:spacing w:after="240"/>
        <w:rPr>
          <w:rFonts w:ascii="Calibri" w:hAnsi="Calibri" w:cs="Calibri"/>
          <w:color w:val="auto"/>
          <w:sz w:val="22"/>
          <w:szCs w:val="22"/>
        </w:rPr>
      </w:pPr>
      <w:r w:rsidRPr="000072A6">
        <w:rPr>
          <w:rFonts w:ascii="Calibri" w:hAnsi="Calibri" w:cs="Calibri"/>
          <w:color w:val="auto"/>
          <w:sz w:val="22"/>
          <w:szCs w:val="22"/>
        </w:rPr>
        <w:t xml:space="preserve">The years reflected in the tails of the distribution have a substantial effect on the </w:t>
      </w:r>
      <w:r w:rsidR="003232EA">
        <w:rPr>
          <w:rFonts w:ascii="Calibri" w:hAnsi="Calibri" w:cs="Calibri"/>
          <w:color w:val="auto"/>
          <w:sz w:val="22"/>
          <w:szCs w:val="22"/>
        </w:rPr>
        <w:t>MERM</w:t>
      </w:r>
      <w:r w:rsidRPr="000072A6">
        <w:rPr>
          <w:rFonts w:ascii="Calibri" w:hAnsi="Calibri" w:cs="Calibri"/>
          <w:color w:val="auto"/>
          <w:sz w:val="22"/>
          <w:szCs w:val="22"/>
        </w:rPr>
        <w:t xml:space="preserve">.  For example, at the base case </w:t>
      </w:r>
      <w:r w:rsidR="003232EA">
        <w:rPr>
          <w:rFonts w:ascii="Calibri" w:hAnsi="Calibri" w:cs="Calibri"/>
          <w:color w:val="auto"/>
          <w:sz w:val="22"/>
          <w:szCs w:val="22"/>
        </w:rPr>
        <w:t>MERM value</w:t>
      </w:r>
      <w:r w:rsidRPr="000072A6">
        <w:rPr>
          <w:rFonts w:ascii="Calibri" w:hAnsi="Calibri" w:cs="Calibri"/>
          <w:color w:val="auto"/>
          <w:sz w:val="22"/>
          <w:szCs w:val="22"/>
        </w:rPr>
        <w:t xml:space="preserve"> of 1</w:t>
      </w:r>
      <w:r w:rsidR="00097924">
        <w:rPr>
          <w:rFonts w:ascii="Calibri" w:hAnsi="Calibri" w:cs="Calibri"/>
          <w:color w:val="auto"/>
          <w:sz w:val="22"/>
          <w:szCs w:val="22"/>
        </w:rPr>
        <w:t>2</w:t>
      </w:r>
      <w:r w:rsidRPr="000072A6">
        <w:rPr>
          <w:rFonts w:ascii="Calibri" w:hAnsi="Calibri" w:cs="Calibri"/>
          <w:color w:val="auto"/>
          <w:sz w:val="22"/>
          <w:szCs w:val="22"/>
        </w:rPr>
        <w:t>.25%, we estimate that once per decade (90</w:t>
      </w:r>
      <w:r w:rsidRPr="000072A6">
        <w:rPr>
          <w:rFonts w:ascii="Calibri" w:hAnsi="Calibri" w:cs="Calibri"/>
          <w:color w:val="auto"/>
          <w:sz w:val="22"/>
          <w:szCs w:val="22"/>
          <w:vertAlign w:val="superscript"/>
        </w:rPr>
        <w:t>th</w:t>
      </w:r>
      <w:r w:rsidRPr="000072A6">
        <w:rPr>
          <w:rFonts w:ascii="Calibri" w:hAnsi="Calibri" w:cs="Calibri"/>
          <w:color w:val="auto"/>
          <w:sz w:val="22"/>
          <w:szCs w:val="22"/>
        </w:rPr>
        <w:t xml:space="preserve"> percentile) energy prices would exceed $</w:t>
      </w:r>
      <w:r w:rsidR="00EF1E19">
        <w:rPr>
          <w:rFonts w:ascii="Calibri" w:hAnsi="Calibri" w:cs="Calibri"/>
          <w:color w:val="auto"/>
          <w:sz w:val="22"/>
          <w:szCs w:val="22"/>
        </w:rPr>
        <w:t>65</w:t>
      </w:r>
      <w:r w:rsidRPr="000072A6">
        <w:rPr>
          <w:rFonts w:ascii="Calibri" w:hAnsi="Calibri" w:cs="Calibri"/>
          <w:color w:val="auto"/>
          <w:sz w:val="22"/>
          <w:szCs w:val="22"/>
        </w:rPr>
        <w:t>/MWh (</w:t>
      </w:r>
      <w:r w:rsidR="00EF1E19">
        <w:rPr>
          <w:rFonts w:ascii="Calibri" w:hAnsi="Calibri" w:cs="Calibri"/>
          <w:color w:val="auto"/>
          <w:sz w:val="22"/>
          <w:szCs w:val="22"/>
        </w:rPr>
        <w:t>78</w:t>
      </w:r>
      <w:r w:rsidRPr="000072A6">
        <w:rPr>
          <w:rFonts w:ascii="Calibri" w:hAnsi="Calibri" w:cs="Calibri"/>
          <w:color w:val="auto"/>
          <w:sz w:val="22"/>
          <w:szCs w:val="22"/>
        </w:rPr>
        <w:t xml:space="preserve">% higher than the median </w:t>
      </w:r>
      <w:r w:rsidRPr="009A69D1">
        <w:rPr>
          <w:rFonts w:ascii="Calibri" w:hAnsi="Calibri" w:cs="Calibri"/>
          <w:color w:val="auto"/>
          <w:sz w:val="22"/>
          <w:szCs w:val="22"/>
        </w:rPr>
        <w:t>price at this reserve margin).  Once every two decades (95</w:t>
      </w:r>
      <w:r w:rsidRPr="009A69D1">
        <w:rPr>
          <w:rFonts w:ascii="Calibri" w:hAnsi="Calibri" w:cs="Calibri"/>
          <w:color w:val="auto"/>
          <w:sz w:val="22"/>
          <w:szCs w:val="22"/>
          <w:vertAlign w:val="superscript"/>
        </w:rPr>
        <w:t>th</w:t>
      </w:r>
      <w:r w:rsidRPr="009A69D1">
        <w:rPr>
          <w:rFonts w:ascii="Calibri" w:hAnsi="Calibri" w:cs="Calibri"/>
          <w:color w:val="auto"/>
          <w:sz w:val="22"/>
          <w:szCs w:val="22"/>
        </w:rPr>
        <w:t xml:space="preserve"> percentile), prices would exceed $</w:t>
      </w:r>
      <w:r w:rsidR="00697472">
        <w:rPr>
          <w:rFonts w:ascii="Calibri" w:hAnsi="Calibri" w:cs="Calibri"/>
          <w:color w:val="auto"/>
          <w:sz w:val="22"/>
          <w:szCs w:val="22"/>
        </w:rPr>
        <w:t>8</w:t>
      </w:r>
      <w:r w:rsidR="00EF1E19">
        <w:rPr>
          <w:rFonts w:ascii="Calibri" w:hAnsi="Calibri" w:cs="Calibri"/>
          <w:color w:val="auto"/>
          <w:sz w:val="22"/>
          <w:szCs w:val="22"/>
        </w:rPr>
        <w:t>1</w:t>
      </w:r>
      <w:r w:rsidRPr="009A69D1">
        <w:rPr>
          <w:rFonts w:ascii="Calibri" w:hAnsi="Calibri" w:cs="Calibri"/>
          <w:color w:val="auto"/>
          <w:sz w:val="22"/>
          <w:szCs w:val="22"/>
        </w:rPr>
        <w:t>/MWh (</w:t>
      </w:r>
      <w:r w:rsidR="000B62E4">
        <w:rPr>
          <w:rFonts w:ascii="Calibri" w:hAnsi="Calibri" w:cs="Calibri"/>
          <w:color w:val="auto"/>
          <w:sz w:val="22"/>
          <w:szCs w:val="22"/>
        </w:rPr>
        <w:t>1</w:t>
      </w:r>
      <w:r w:rsidR="00EF1E19">
        <w:rPr>
          <w:rFonts w:ascii="Calibri" w:hAnsi="Calibri" w:cs="Calibri"/>
          <w:color w:val="auto"/>
          <w:sz w:val="22"/>
          <w:szCs w:val="22"/>
        </w:rPr>
        <w:t>23</w:t>
      </w:r>
      <w:r w:rsidRPr="009A69D1">
        <w:rPr>
          <w:rFonts w:ascii="Calibri" w:hAnsi="Calibri" w:cs="Calibri"/>
          <w:color w:val="auto"/>
          <w:sz w:val="22"/>
          <w:szCs w:val="22"/>
        </w:rPr>
        <w:t>% above the median price).  Similarly, new gas plant net revenues in the median year are only $</w:t>
      </w:r>
      <w:r w:rsidR="00035B59">
        <w:rPr>
          <w:rFonts w:ascii="Calibri" w:hAnsi="Calibri" w:cs="Calibri"/>
          <w:color w:val="auto"/>
          <w:sz w:val="22"/>
          <w:szCs w:val="22"/>
        </w:rPr>
        <w:t>62</w:t>
      </w:r>
      <w:r w:rsidRPr="009A69D1">
        <w:rPr>
          <w:rFonts w:ascii="Calibri" w:hAnsi="Calibri" w:cs="Calibri"/>
          <w:color w:val="auto"/>
          <w:sz w:val="22"/>
          <w:szCs w:val="22"/>
        </w:rPr>
        <w:t xml:space="preserve">/kW-year, which is just </w:t>
      </w:r>
      <w:r w:rsidR="00035B59">
        <w:rPr>
          <w:rFonts w:ascii="Calibri" w:hAnsi="Calibri" w:cs="Calibri"/>
          <w:color w:val="auto"/>
          <w:sz w:val="22"/>
          <w:szCs w:val="22"/>
        </w:rPr>
        <w:t>66.5</w:t>
      </w:r>
      <w:r w:rsidRPr="009A69D1">
        <w:rPr>
          <w:rFonts w:ascii="Calibri" w:hAnsi="Calibri" w:cs="Calibri"/>
          <w:color w:val="auto"/>
          <w:sz w:val="22"/>
          <w:szCs w:val="22"/>
        </w:rPr>
        <w:t>% of CONE, but occasional high-priced years would elevate the average to CONE.  Assuming full exposure to spot market prices (</w:t>
      </w:r>
      <w:r w:rsidRPr="009A69D1">
        <w:rPr>
          <w:rFonts w:ascii="Calibri" w:hAnsi="Calibri" w:cs="Calibri"/>
          <w:i/>
          <w:color w:val="auto"/>
          <w:sz w:val="22"/>
          <w:szCs w:val="22"/>
        </w:rPr>
        <w:t>i.e.</w:t>
      </w:r>
      <w:r w:rsidRPr="009A69D1">
        <w:rPr>
          <w:rFonts w:ascii="Calibri" w:hAnsi="Calibri" w:cs="Calibri"/>
          <w:color w:val="auto"/>
          <w:sz w:val="22"/>
          <w:szCs w:val="22"/>
        </w:rPr>
        <w:t>, no hedging) net revenues of marginal units would exceed $</w:t>
      </w:r>
      <w:r w:rsidR="00035B59">
        <w:rPr>
          <w:rFonts w:ascii="Calibri" w:hAnsi="Calibri" w:cs="Calibri"/>
          <w:color w:val="auto"/>
          <w:sz w:val="22"/>
          <w:szCs w:val="22"/>
        </w:rPr>
        <w:t>246</w:t>
      </w:r>
      <w:r w:rsidRPr="009A69D1">
        <w:rPr>
          <w:rFonts w:ascii="Calibri" w:hAnsi="Calibri" w:cs="Calibri"/>
          <w:color w:val="auto"/>
          <w:sz w:val="22"/>
          <w:szCs w:val="22"/>
        </w:rPr>
        <w:t xml:space="preserve">/kW-year (about </w:t>
      </w:r>
      <w:r w:rsidR="007058DC">
        <w:rPr>
          <w:rFonts w:ascii="Calibri" w:hAnsi="Calibri" w:cs="Calibri"/>
          <w:color w:val="auto"/>
          <w:sz w:val="22"/>
          <w:szCs w:val="22"/>
        </w:rPr>
        <w:t>2</w:t>
      </w:r>
      <w:r w:rsidR="00035B59">
        <w:rPr>
          <w:rFonts w:ascii="Calibri" w:hAnsi="Calibri" w:cs="Calibri"/>
          <w:color w:val="auto"/>
          <w:sz w:val="22"/>
          <w:szCs w:val="22"/>
        </w:rPr>
        <w:t>.6</w:t>
      </w:r>
      <w:r w:rsidRPr="009A69D1">
        <w:rPr>
          <w:rFonts w:ascii="Calibri" w:hAnsi="Calibri" w:cs="Calibri"/>
          <w:color w:val="auto"/>
          <w:sz w:val="22"/>
          <w:szCs w:val="22"/>
        </w:rPr>
        <w:t xml:space="preserve"> times CONE) once in a decade (90</w:t>
      </w:r>
      <w:r w:rsidRPr="009A69D1">
        <w:rPr>
          <w:rFonts w:ascii="Calibri" w:hAnsi="Calibri" w:cs="Calibri"/>
          <w:color w:val="auto"/>
          <w:sz w:val="22"/>
          <w:szCs w:val="22"/>
          <w:vertAlign w:val="superscript"/>
        </w:rPr>
        <w:t>th</w:t>
      </w:r>
      <w:r w:rsidRPr="009A69D1">
        <w:rPr>
          <w:rFonts w:ascii="Calibri" w:hAnsi="Calibri" w:cs="Calibri"/>
          <w:color w:val="auto"/>
          <w:sz w:val="22"/>
          <w:szCs w:val="22"/>
        </w:rPr>
        <w:t xml:space="preserve"> percentile) and $</w:t>
      </w:r>
      <w:r w:rsidR="00035B59">
        <w:rPr>
          <w:rFonts w:ascii="Calibri" w:hAnsi="Calibri" w:cs="Calibri"/>
          <w:color w:val="auto"/>
          <w:sz w:val="22"/>
          <w:szCs w:val="22"/>
        </w:rPr>
        <w:t>353</w:t>
      </w:r>
      <w:r w:rsidRPr="009A69D1">
        <w:rPr>
          <w:rFonts w:ascii="Calibri" w:hAnsi="Calibri" w:cs="Calibri"/>
          <w:color w:val="auto"/>
          <w:sz w:val="22"/>
          <w:szCs w:val="22"/>
        </w:rPr>
        <w:t xml:space="preserve">/kW-year (about </w:t>
      </w:r>
      <w:r w:rsidR="007058DC">
        <w:rPr>
          <w:rFonts w:ascii="Calibri" w:hAnsi="Calibri" w:cs="Calibri"/>
          <w:color w:val="auto"/>
          <w:sz w:val="22"/>
          <w:szCs w:val="22"/>
        </w:rPr>
        <w:t>3</w:t>
      </w:r>
      <w:r w:rsidR="00035B59">
        <w:rPr>
          <w:rFonts w:ascii="Calibri" w:hAnsi="Calibri" w:cs="Calibri"/>
          <w:color w:val="auto"/>
          <w:sz w:val="22"/>
          <w:szCs w:val="22"/>
        </w:rPr>
        <w:t>.8</w:t>
      </w:r>
      <w:r w:rsidRPr="009A69D1">
        <w:rPr>
          <w:rFonts w:ascii="Calibri" w:hAnsi="Calibri" w:cs="Calibri"/>
          <w:color w:val="auto"/>
          <w:sz w:val="22"/>
          <w:szCs w:val="22"/>
        </w:rPr>
        <w:t xml:space="preserve"> times CONE) once every two decades (95</w:t>
      </w:r>
      <w:r w:rsidRPr="009A69D1">
        <w:rPr>
          <w:rFonts w:ascii="Calibri" w:hAnsi="Calibri" w:cs="Calibri"/>
          <w:color w:val="auto"/>
          <w:sz w:val="22"/>
          <w:szCs w:val="22"/>
          <w:vertAlign w:val="superscript"/>
        </w:rPr>
        <w:t>th</w:t>
      </w:r>
      <w:r w:rsidRPr="009A69D1">
        <w:rPr>
          <w:rFonts w:ascii="Calibri" w:hAnsi="Calibri" w:cs="Calibri"/>
          <w:color w:val="auto"/>
          <w:sz w:val="22"/>
          <w:szCs w:val="22"/>
        </w:rPr>
        <w:t xml:space="preserve"> percentile).</w:t>
      </w:r>
      <w:r w:rsidRPr="009A69D1">
        <w:rPr>
          <w:rStyle w:val="FootnoteReference"/>
          <w:rFonts w:ascii="Calibri" w:hAnsi="Calibri" w:cs="Calibri"/>
          <w:color w:val="auto"/>
          <w:sz w:val="22"/>
          <w:szCs w:val="22"/>
        </w:rPr>
        <w:footnoteReference w:id="23"/>
      </w:r>
      <w:r w:rsidR="00EF5279">
        <w:rPr>
          <w:rFonts w:ascii="Calibri" w:hAnsi="Calibri" w:cs="Calibri"/>
          <w:color w:val="auto"/>
          <w:sz w:val="22"/>
          <w:szCs w:val="22"/>
        </w:rPr>
        <w:t xml:space="preserve"> </w:t>
      </w:r>
      <w:r w:rsidR="00097C03">
        <w:rPr>
          <w:rFonts w:ascii="Calibri" w:hAnsi="Calibri" w:cs="Calibri"/>
          <w:color w:val="auto"/>
          <w:sz w:val="22"/>
          <w:szCs w:val="22"/>
        </w:rPr>
        <w:t>All simulation</w:t>
      </w:r>
      <w:r w:rsidR="00FF4A68">
        <w:rPr>
          <w:rFonts w:ascii="Calibri" w:hAnsi="Calibri" w:cs="Calibri"/>
          <w:color w:val="auto"/>
          <w:sz w:val="22"/>
          <w:szCs w:val="22"/>
        </w:rPr>
        <w:t xml:space="preserve"> results</w:t>
      </w:r>
      <w:r w:rsidR="00097C03">
        <w:rPr>
          <w:rFonts w:ascii="Calibri" w:hAnsi="Calibri" w:cs="Calibri"/>
          <w:color w:val="auto"/>
          <w:sz w:val="22"/>
          <w:szCs w:val="22"/>
        </w:rPr>
        <w:t xml:space="preserve"> reflect scarcity pricing rules </w:t>
      </w:r>
      <w:r w:rsidR="009163BD">
        <w:rPr>
          <w:rFonts w:ascii="Calibri" w:hAnsi="Calibri" w:cs="Calibri"/>
          <w:color w:val="auto"/>
          <w:sz w:val="22"/>
          <w:szCs w:val="22"/>
        </w:rPr>
        <w:t>that</w:t>
      </w:r>
      <w:r w:rsidR="00097C03">
        <w:rPr>
          <w:rFonts w:ascii="Calibri" w:hAnsi="Calibri" w:cs="Calibri"/>
          <w:color w:val="auto"/>
          <w:sz w:val="22"/>
          <w:szCs w:val="22"/>
        </w:rPr>
        <w:t xml:space="preserve"> </w:t>
      </w:r>
      <w:r w:rsidR="00FF4A68">
        <w:rPr>
          <w:rFonts w:ascii="Calibri" w:hAnsi="Calibri" w:cs="Calibri"/>
          <w:color w:val="auto"/>
          <w:sz w:val="22"/>
          <w:szCs w:val="22"/>
        </w:rPr>
        <w:t>reduce the systemwide offer cap from $9,000/MWh to $2,000/MWh when net operating profit exceeds three times the cost of new entry (assumed at $93.5/kw-</w:t>
      </w:r>
      <w:proofErr w:type="spellStart"/>
      <w:r w:rsidR="00FF4A68">
        <w:rPr>
          <w:rFonts w:ascii="Calibri" w:hAnsi="Calibri" w:cs="Calibri"/>
          <w:color w:val="auto"/>
          <w:sz w:val="22"/>
          <w:szCs w:val="22"/>
        </w:rPr>
        <w:t>yr</w:t>
      </w:r>
      <w:proofErr w:type="spellEnd"/>
      <w:r w:rsidR="00FF4A68">
        <w:rPr>
          <w:rFonts w:ascii="Calibri" w:hAnsi="Calibri" w:cs="Calibri"/>
          <w:color w:val="auto"/>
          <w:sz w:val="22"/>
          <w:szCs w:val="22"/>
        </w:rPr>
        <w:t>).</w:t>
      </w:r>
    </w:p>
    <w:p w14:paraId="5DE9CE77" w14:textId="37EBAC0A" w:rsidR="004B58AD" w:rsidRDefault="004B58AD" w:rsidP="00FA0DFD">
      <w:pPr>
        <w:pStyle w:val="Heading3"/>
        <w:numPr>
          <w:ilvl w:val="0"/>
          <w:numId w:val="13"/>
        </w:numPr>
      </w:pPr>
      <w:bookmarkStart w:id="118" w:name="_Toc526279104"/>
      <w:bookmarkStart w:id="119" w:name="_Toc526437260"/>
      <w:bookmarkStart w:id="120" w:name="_Toc526439904"/>
      <w:bookmarkStart w:id="121" w:name="_Toc526440014"/>
      <w:bookmarkStart w:id="122" w:name="_Toc532834291"/>
      <w:bookmarkStart w:id="123" w:name="_Toc57193563"/>
      <w:bookmarkStart w:id="124" w:name="_Toc525079595"/>
      <w:bookmarkStart w:id="125" w:name="_Toc525851027"/>
      <w:bookmarkStart w:id="126" w:name="_Toc525938048"/>
      <w:r>
        <w:t>Year-to-Year Reserve Margin Variability</w:t>
      </w:r>
      <w:bookmarkEnd w:id="118"/>
      <w:bookmarkEnd w:id="119"/>
      <w:bookmarkEnd w:id="120"/>
      <w:bookmarkEnd w:id="121"/>
      <w:bookmarkEnd w:id="122"/>
      <w:bookmarkEnd w:id="123"/>
      <w:r>
        <w:t xml:space="preserve"> </w:t>
      </w:r>
      <w:bookmarkEnd w:id="124"/>
      <w:bookmarkEnd w:id="125"/>
      <w:bookmarkEnd w:id="126"/>
    </w:p>
    <w:p w14:paraId="6DA2963A" w14:textId="51FEF373" w:rsidR="004B58AD" w:rsidRPr="00FC7A73" w:rsidRDefault="004B58AD" w:rsidP="00077409">
      <w:pPr>
        <w:pStyle w:val="BGNormal125"/>
        <w:spacing w:after="240"/>
        <w:rPr>
          <w:rFonts w:ascii="Calibri" w:hAnsi="Calibri" w:cs="Calibri"/>
          <w:color w:val="auto"/>
          <w:sz w:val="22"/>
          <w:szCs w:val="22"/>
        </w:rPr>
      </w:pPr>
      <w:r w:rsidRPr="00FC7A73">
        <w:rPr>
          <w:rFonts w:ascii="Calibri" w:hAnsi="Calibri" w:cs="Calibri"/>
          <w:color w:val="auto"/>
          <w:sz w:val="22"/>
          <w:szCs w:val="22"/>
        </w:rPr>
        <w:t>The uncertainty in future load growth can have significant impacts on reserve margins and reliability.  Our base case simulations assume that the market invests based on the expected load growth and resulting prices on a</w:t>
      </w:r>
      <w:r w:rsidR="00FC7A73" w:rsidRPr="00FC7A73">
        <w:rPr>
          <w:rFonts w:ascii="Calibri" w:hAnsi="Calibri" w:cs="Calibri"/>
          <w:color w:val="auto"/>
          <w:sz w:val="22"/>
          <w:szCs w:val="22"/>
        </w:rPr>
        <w:t xml:space="preserve"> four</w:t>
      </w:r>
      <w:r w:rsidRPr="00FC7A73" w:rsidDel="00847FF7">
        <w:rPr>
          <w:rFonts w:ascii="Calibri" w:hAnsi="Calibri" w:cs="Calibri"/>
          <w:color w:val="auto"/>
          <w:sz w:val="22"/>
          <w:szCs w:val="22"/>
        </w:rPr>
        <w:t>-</w:t>
      </w:r>
      <w:r w:rsidRPr="00FC7A73">
        <w:rPr>
          <w:rFonts w:ascii="Calibri" w:hAnsi="Calibri" w:cs="Calibri"/>
          <w:color w:val="auto"/>
          <w:sz w:val="22"/>
          <w:szCs w:val="22"/>
        </w:rPr>
        <w:t xml:space="preserve">year forward basis.  However, realized load growth will generally differ from </w:t>
      </w:r>
      <w:r w:rsidR="00FC7A73" w:rsidRPr="00FC7A73">
        <w:rPr>
          <w:rFonts w:ascii="Calibri" w:hAnsi="Calibri" w:cs="Calibri"/>
          <w:color w:val="auto"/>
          <w:sz w:val="22"/>
          <w:szCs w:val="22"/>
        </w:rPr>
        <w:t>four</w:t>
      </w:r>
      <w:r w:rsidRPr="00FC7A73">
        <w:rPr>
          <w:rFonts w:ascii="Calibri" w:hAnsi="Calibri" w:cs="Calibri"/>
          <w:color w:val="auto"/>
          <w:sz w:val="22"/>
          <w:szCs w:val="22"/>
        </w:rPr>
        <w:t>-year expectations, resulting in a range of reserve margins that differ from the equilibrium reserve margins shown above.</w:t>
      </w:r>
    </w:p>
    <w:p w14:paraId="116A1799" w14:textId="4F969C2F" w:rsidR="004B58AD" w:rsidRPr="00326E77" w:rsidRDefault="004B58AD" w:rsidP="00077409">
      <w:pPr>
        <w:pStyle w:val="BGNormal125"/>
        <w:spacing w:before="0"/>
        <w:rPr>
          <w:rFonts w:ascii="Calibri" w:hAnsi="Calibri" w:cs="Calibri"/>
          <w:color w:val="C00000"/>
          <w:sz w:val="22"/>
          <w:szCs w:val="22"/>
        </w:rPr>
      </w:pPr>
      <w:r w:rsidRPr="00061DA1">
        <w:rPr>
          <w:rFonts w:ascii="Calibri" w:hAnsi="Calibri" w:cs="Calibri"/>
          <w:color w:val="auto"/>
          <w:sz w:val="22"/>
          <w:szCs w:val="22"/>
        </w:rPr>
        <w:t>We simulate this effect by</w:t>
      </w:r>
      <w:r w:rsidRPr="00061DA1" w:rsidDel="004147B4">
        <w:rPr>
          <w:rFonts w:ascii="Calibri" w:hAnsi="Calibri" w:cs="Calibri"/>
          <w:color w:val="auto"/>
          <w:sz w:val="22"/>
          <w:szCs w:val="22"/>
        </w:rPr>
        <w:t xml:space="preserve"> </w:t>
      </w:r>
      <w:r w:rsidRPr="00061DA1">
        <w:rPr>
          <w:rFonts w:ascii="Calibri" w:hAnsi="Calibri" w:cs="Calibri"/>
          <w:color w:val="auto"/>
          <w:sz w:val="22"/>
          <w:szCs w:val="22"/>
        </w:rPr>
        <w:t>assuming alternative load growth projections based on the distribution of non-</w:t>
      </w:r>
      <w:r w:rsidRPr="00522201">
        <w:rPr>
          <w:rFonts w:ascii="Calibri" w:hAnsi="Calibri" w:cs="Calibri"/>
          <w:color w:val="auto"/>
          <w:sz w:val="22"/>
          <w:szCs w:val="22"/>
        </w:rPr>
        <w:t xml:space="preserve">weather forecast error in projecting future load, </w:t>
      </w:r>
      <w:r w:rsidRPr="00522201" w:rsidDel="004147B4">
        <w:rPr>
          <w:rFonts w:ascii="Calibri" w:hAnsi="Calibri" w:cs="Calibri"/>
          <w:color w:val="auto"/>
          <w:sz w:val="22"/>
          <w:szCs w:val="22"/>
        </w:rPr>
        <w:t xml:space="preserve">as </w:t>
      </w:r>
      <w:r w:rsidRPr="00522201">
        <w:rPr>
          <w:rFonts w:ascii="Calibri" w:hAnsi="Calibri" w:cs="Calibri"/>
          <w:color w:val="auto"/>
          <w:sz w:val="22"/>
          <w:szCs w:val="22"/>
        </w:rPr>
        <w:t>described in Appendix 1.</w:t>
      </w:r>
      <w:r w:rsidRPr="00522201">
        <w:rPr>
          <w:rFonts w:ascii="Calibri" w:hAnsi="Calibri" w:cs="Calibri"/>
          <w:color w:val="auto"/>
          <w:sz w:val="22"/>
          <w:szCs w:val="22"/>
        </w:rPr>
        <w:fldChar w:fldCharType="begin"/>
      </w:r>
      <w:r w:rsidRPr="00522201">
        <w:rPr>
          <w:rFonts w:ascii="Calibri" w:hAnsi="Calibri" w:cs="Calibri"/>
          <w:color w:val="auto"/>
          <w:sz w:val="22"/>
          <w:szCs w:val="22"/>
        </w:rPr>
        <w:instrText xml:space="preserve"> REF _Ref526444073 \n \h </w:instrText>
      </w:r>
      <w:r w:rsidR="00326E77" w:rsidRPr="00522201">
        <w:rPr>
          <w:rFonts w:ascii="Calibri" w:hAnsi="Calibri" w:cs="Calibri"/>
          <w:color w:val="auto"/>
          <w:sz w:val="22"/>
          <w:szCs w:val="22"/>
        </w:rPr>
        <w:instrText xml:space="preserve"> \* MERGEFORMAT </w:instrText>
      </w:r>
      <w:r w:rsidRPr="00522201">
        <w:rPr>
          <w:rFonts w:ascii="Calibri" w:hAnsi="Calibri" w:cs="Calibri"/>
          <w:color w:val="auto"/>
          <w:sz w:val="22"/>
          <w:szCs w:val="22"/>
        </w:rPr>
      </w:r>
      <w:r w:rsidRPr="00522201">
        <w:rPr>
          <w:rFonts w:ascii="Calibri" w:hAnsi="Calibri" w:cs="Calibri"/>
          <w:color w:val="auto"/>
          <w:sz w:val="22"/>
          <w:szCs w:val="22"/>
        </w:rPr>
        <w:fldChar w:fldCharType="separate"/>
      </w:r>
      <w:r w:rsidRPr="00522201">
        <w:rPr>
          <w:rFonts w:ascii="Calibri" w:hAnsi="Calibri" w:cs="Calibri"/>
          <w:color w:val="auto"/>
          <w:sz w:val="22"/>
          <w:szCs w:val="22"/>
        </w:rPr>
        <w:t>A</w:t>
      </w:r>
      <w:r w:rsidRPr="00522201">
        <w:rPr>
          <w:rFonts w:ascii="Calibri" w:hAnsi="Calibri" w:cs="Calibri"/>
          <w:color w:val="auto"/>
          <w:sz w:val="22"/>
          <w:szCs w:val="22"/>
        </w:rPr>
        <w:fldChar w:fldCharType="end"/>
      </w:r>
      <w:r w:rsidRPr="00522201">
        <w:rPr>
          <w:rFonts w:ascii="Calibri" w:hAnsi="Calibri" w:cs="Calibri"/>
          <w:color w:val="auto"/>
          <w:sz w:val="22"/>
          <w:szCs w:val="22"/>
        </w:rPr>
        <w:t>.</w:t>
      </w:r>
      <w:r w:rsidRPr="00522201">
        <w:rPr>
          <w:rFonts w:ascii="Calibri" w:hAnsi="Calibri" w:cs="Calibri"/>
          <w:color w:val="auto"/>
          <w:sz w:val="22"/>
          <w:szCs w:val="22"/>
        </w:rPr>
        <w:fldChar w:fldCharType="begin"/>
      </w:r>
      <w:r w:rsidRPr="00522201">
        <w:rPr>
          <w:rFonts w:ascii="Calibri" w:hAnsi="Calibri" w:cs="Calibri"/>
          <w:color w:val="auto"/>
          <w:sz w:val="22"/>
          <w:szCs w:val="22"/>
        </w:rPr>
        <w:instrText xml:space="preserve"> REF _Ref526444088 \n \h </w:instrText>
      </w:r>
      <w:r w:rsidR="00326E77" w:rsidRPr="00522201">
        <w:rPr>
          <w:rFonts w:ascii="Calibri" w:hAnsi="Calibri" w:cs="Calibri"/>
          <w:color w:val="auto"/>
          <w:sz w:val="22"/>
          <w:szCs w:val="22"/>
        </w:rPr>
        <w:instrText xml:space="preserve"> \* MERGEFORMAT </w:instrText>
      </w:r>
      <w:r w:rsidRPr="00522201">
        <w:rPr>
          <w:rFonts w:ascii="Calibri" w:hAnsi="Calibri" w:cs="Calibri"/>
          <w:color w:val="auto"/>
          <w:sz w:val="22"/>
          <w:szCs w:val="22"/>
        </w:rPr>
      </w:r>
      <w:r w:rsidRPr="00522201">
        <w:rPr>
          <w:rFonts w:ascii="Calibri" w:hAnsi="Calibri" w:cs="Calibri"/>
          <w:color w:val="auto"/>
          <w:sz w:val="22"/>
          <w:szCs w:val="22"/>
        </w:rPr>
        <w:fldChar w:fldCharType="separate"/>
      </w:r>
      <w:r w:rsidRPr="00522201">
        <w:rPr>
          <w:rFonts w:ascii="Calibri" w:hAnsi="Calibri" w:cs="Calibri"/>
          <w:color w:val="auto"/>
          <w:sz w:val="22"/>
          <w:szCs w:val="22"/>
        </w:rPr>
        <w:t>1</w:t>
      </w:r>
      <w:r w:rsidRPr="00522201">
        <w:rPr>
          <w:rFonts w:ascii="Calibri" w:hAnsi="Calibri" w:cs="Calibri"/>
          <w:color w:val="auto"/>
          <w:sz w:val="22"/>
          <w:szCs w:val="22"/>
        </w:rPr>
        <w:fldChar w:fldCharType="end"/>
      </w:r>
      <w:r w:rsidRPr="00522201">
        <w:rPr>
          <w:rFonts w:ascii="Calibri" w:hAnsi="Calibri" w:cs="Calibri"/>
          <w:color w:val="auto"/>
          <w:sz w:val="22"/>
          <w:szCs w:val="22"/>
        </w:rPr>
        <w:t xml:space="preserve"> below.  Even if the </w:t>
      </w:r>
      <w:r w:rsidR="00061DA1" w:rsidRPr="00522201">
        <w:rPr>
          <w:rFonts w:ascii="Calibri" w:hAnsi="Calibri" w:cs="Calibri"/>
          <w:color w:val="auto"/>
          <w:sz w:val="22"/>
          <w:szCs w:val="22"/>
        </w:rPr>
        <w:t>four</w:t>
      </w:r>
      <w:r w:rsidRPr="00522201">
        <w:rPr>
          <w:rFonts w:ascii="Calibri" w:hAnsi="Calibri" w:cs="Calibri"/>
          <w:color w:val="auto"/>
          <w:sz w:val="22"/>
          <w:szCs w:val="22"/>
        </w:rPr>
        <w:t>-year-ahead planning reserve margin is exactly at the market equilibrium of 1</w:t>
      </w:r>
      <w:r w:rsidR="00AF7ED7" w:rsidRPr="00522201">
        <w:rPr>
          <w:rFonts w:ascii="Calibri" w:hAnsi="Calibri" w:cs="Calibri"/>
          <w:color w:val="auto"/>
          <w:sz w:val="22"/>
          <w:szCs w:val="22"/>
        </w:rPr>
        <w:t>2</w:t>
      </w:r>
      <w:r w:rsidRPr="00522201">
        <w:rPr>
          <w:rFonts w:ascii="Calibri" w:hAnsi="Calibri" w:cs="Calibri"/>
          <w:color w:val="auto"/>
          <w:sz w:val="22"/>
          <w:szCs w:val="22"/>
        </w:rPr>
        <w:t xml:space="preserve">.25%, realized shorter-term planning reserve margins can be higher or lower as load growth uncertainty resolves itself over the next </w:t>
      </w:r>
      <w:r w:rsidR="00061DA1" w:rsidRPr="00522201">
        <w:rPr>
          <w:rFonts w:ascii="Calibri" w:hAnsi="Calibri" w:cs="Calibri"/>
          <w:color w:val="auto"/>
          <w:sz w:val="22"/>
          <w:szCs w:val="22"/>
        </w:rPr>
        <w:t>four</w:t>
      </w:r>
      <w:r w:rsidRPr="00522201">
        <w:rPr>
          <w:rFonts w:ascii="Calibri" w:hAnsi="Calibri" w:cs="Calibri"/>
          <w:color w:val="auto"/>
          <w:sz w:val="22"/>
          <w:szCs w:val="22"/>
        </w:rPr>
        <w:t xml:space="preserve"> years.  </w:t>
      </w:r>
      <w:r w:rsidRPr="009163BD">
        <w:rPr>
          <w:rFonts w:ascii="Calibri" w:hAnsi="Calibri" w:cs="Calibri"/>
          <w:color w:val="auto"/>
          <w:sz w:val="22"/>
          <w:szCs w:val="22"/>
        </w:rPr>
        <w:t xml:space="preserve">The planning reserve margins projected going into each summer would thus vary around the equilibrium from </w:t>
      </w:r>
      <w:r w:rsidR="000B62E4" w:rsidRPr="009163BD">
        <w:rPr>
          <w:rFonts w:ascii="Calibri" w:hAnsi="Calibri" w:cs="Calibri"/>
          <w:color w:val="auto"/>
          <w:sz w:val="22"/>
          <w:szCs w:val="22"/>
        </w:rPr>
        <w:t>10.7</w:t>
      </w:r>
      <w:r w:rsidRPr="009163BD">
        <w:rPr>
          <w:rFonts w:ascii="Calibri" w:hAnsi="Calibri" w:cs="Calibri"/>
          <w:color w:val="auto"/>
          <w:sz w:val="22"/>
          <w:szCs w:val="22"/>
        </w:rPr>
        <w:t>% to 1</w:t>
      </w:r>
      <w:r w:rsidR="000B62E4" w:rsidRPr="009163BD">
        <w:rPr>
          <w:rFonts w:ascii="Calibri" w:hAnsi="Calibri" w:cs="Calibri"/>
          <w:color w:val="auto"/>
          <w:sz w:val="22"/>
          <w:szCs w:val="22"/>
        </w:rPr>
        <w:t>3.8</w:t>
      </w:r>
      <w:r w:rsidRPr="009163BD">
        <w:rPr>
          <w:rFonts w:ascii="Calibri" w:hAnsi="Calibri" w:cs="Calibri"/>
          <w:color w:val="auto"/>
          <w:sz w:val="22"/>
          <w:szCs w:val="22"/>
        </w:rPr>
        <w:t xml:space="preserve">% in 50% of all years and drop below </w:t>
      </w:r>
      <w:r w:rsidR="000B62E4" w:rsidRPr="009163BD">
        <w:rPr>
          <w:rFonts w:ascii="Calibri" w:hAnsi="Calibri" w:cs="Calibri"/>
          <w:color w:val="auto"/>
          <w:sz w:val="22"/>
          <w:szCs w:val="22"/>
        </w:rPr>
        <w:t>9.25</w:t>
      </w:r>
      <w:r w:rsidRPr="009163BD">
        <w:rPr>
          <w:rFonts w:ascii="Calibri" w:hAnsi="Calibri" w:cs="Calibri"/>
          <w:color w:val="auto"/>
          <w:sz w:val="22"/>
          <w:szCs w:val="22"/>
        </w:rPr>
        <w:t>% approximately once per decade (i.e., below the 10</w:t>
      </w:r>
      <w:r w:rsidRPr="009163BD">
        <w:rPr>
          <w:rFonts w:ascii="Calibri" w:hAnsi="Calibri" w:cs="Calibri"/>
          <w:color w:val="auto"/>
          <w:sz w:val="22"/>
          <w:szCs w:val="22"/>
          <w:vertAlign w:val="superscript"/>
        </w:rPr>
        <w:t>th</w:t>
      </w:r>
      <w:r w:rsidRPr="009163BD">
        <w:rPr>
          <w:rFonts w:ascii="Calibri" w:hAnsi="Calibri" w:cs="Calibri"/>
          <w:color w:val="auto"/>
          <w:sz w:val="22"/>
          <w:szCs w:val="22"/>
        </w:rPr>
        <w:t xml:space="preserve"> percentile).  Once weather-related load fluctuations are considered as well, after-the-fact realized reserve margins will vary even more substantially and will drop below </w:t>
      </w:r>
      <w:r w:rsidR="00C610EB" w:rsidRPr="009163BD">
        <w:rPr>
          <w:rFonts w:ascii="Calibri" w:hAnsi="Calibri" w:cs="Calibri"/>
          <w:color w:val="auto"/>
          <w:sz w:val="22"/>
          <w:szCs w:val="22"/>
        </w:rPr>
        <w:t>9.4</w:t>
      </w:r>
      <w:r w:rsidRPr="009163BD">
        <w:rPr>
          <w:rFonts w:ascii="Calibri" w:hAnsi="Calibri" w:cs="Calibri"/>
          <w:color w:val="auto"/>
          <w:sz w:val="22"/>
          <w:szCs w:val="22"/>
        </w:rPr>
        <w:t>% approximately once per decade (i.e., below the 10</w:t>
      </w:r>
      <w:r w:rsidRPr="009163BD">
        <w:rPr>
          <w:rFonts w:ascii="Calibri" w:hAnsi="Calibri" w:cs="Calibri"/>
          <w:color w:val="auto"/>
          <w:sz w:val="22"/>
          <w:szCs w:val="22"/>
          <w:vertAlign w:val="superscript"/>
        </w:rPr>
        <w:t>th</w:t>
      </w:r>
      <w:r w:rsidRPr="009163BD">
        <w:rPr>
          <w:rFonts w:ascii="Calibri" w:hAnsi="Calibri" w:cs="Calibri"/>
          <w:color w:val="auto"/>
          <w:sz w:val="22"/>
          <w:szCs w:val="22"/>
        </w:rPr>
        <w:t xml:space="preserve"> percentile).  However, realized reserve margins, particularly the lows that largely reflect realized weather extremes, should not be compared to more familiar planning reserve margin benchmarks.</w:t>
      </w:r>
    </w:p>
    <w:p w14:paraId="5EAA439C" w14:textId="2B84D82E" w:rsidR="00FF4A68" w:rsidRPr="00077409" w:rsidRDefault="004B58AD" w:rsidP="00077409">
      <w:pPr>
        <w:pStyle w:val="BGNormal125"/>
        <w:spacing w:after="240"/>
        <w:rPr>
          <w:rFonts w:ascii="Calibri" w:hAnsi="Calibri" w:cs="Calibri"/>
          <w:color w:val="auto"/>
          <w:sz w:val="22"/>
          <w:szCs w:val="22"/>
        </w:rPr>
      </w:pPr>
      <w:r w:rsidRPr="00061DA1">
        <w:rPr>
          <w:rFonts w:ascii="Calibri" w:hAnsi="Calibri" w:cs="Calibri"/>
          <w:color w:val="auto"/>
          <w:sz w:val="22"/>
          <w:szCs w:val="22"/>
        </w:rPr>
        <w:t xml:space="preserve">Variability in reserve margins may be moderated by short lead-time resources (including switchable units, mothballs, uprates, and demand response) that can exit or enter the market as expectations change between </w:t>
      </w:r>
      <w:r w:rsidR="00061DA1" w:rsidRPr="00061DA1">
        <w:rPr>
          <w:rFonts w:ascii="Calibri" w:hAnsi="Calibri" w:cs="Calibri"/>
          <w:color w:val="auto"/>
          <w:sz w:val="22"/>
          <w:szCs w:val="22"/>
        </w:rPr>
        <w:t>four</w:t>
      </w:r>
      <w:r w:rsidRPr="00061DA1">
        <w:rPr>
          <w:rFonts w:ascii="Calibri" w:hAnsi="Calibri" w:cs="Calibri"/>
          <w:color w:val="auto"/>
          <w:sz w:val="22"/>
          <w:szCs w:val="22"/>
        </w:rPr>
        <w:t xml:space="preserve"> years forward and delivery.  By not simulating the effects of market exit and entry by short-term resources, our results would tend to overstate the range of realized reserve margins.  However,</w:t>
      </w:r>
      <w:r w:rsidRPr="00061DA1" w:rsidDel="00CF3456">
        <w:rPr>
          <w:rFonts w:ascii="Calibri" w:hAnsi="Calibri" w:cs="Calibri"/>
          <w:color w:val="auto"/>
          <w:sz w:val="22"/>
          <w:szCs w:val="22"/>
        </w:rPr>
        <w:t xml:space="preserve"> </w:t>
      </w:r>
      <w:r w:rsidRPr="00061DA1">
        <w:rPr>
          <w:rFonts w:ascii="Calibri" w:hAnsi="Calibri" w:cs="Calibri"/>
          <w:color w:val="auto"/>
          <w:sz w:val="22"/>
          <w:szCs w:val="22"/>
        </w:rPr>
        <w:t>our simulations</w:t>
      </w:r>
      <w:r w:rsidRPr="00061DA1" w:rsidDel="00463230">
        <w:rPr>
          <w:rFonts w:ascii="Calibri" w:hAnsi="Calibri" w:cs="Calibri"/>
          <w:color w:val="auto"/>
          <w:sz w:val="22"/>
          <w:szCs w:val="22"/>
        </w:rPr>
        <w:t xml:space="preserve"> </w:t>
      </w:r>
      <w:r w:rsidRPr="00061DA1">
        <w:rPr>
          <w:rFonts w:ascii="Calibri" w:hAnsi="Calibri" w:cs="Calibri"/>
          <w:color w:val="auto"/>
          <w:sz w:val="22"/>
          <w:szCs w:val="22"/>
        </w:rPr>
        <w:t>do not account for the countervailing effects of additional supply-side uncertainties, such as unanticipated retirements, construction delays, and lumpiness in uncoordinated new entry, which would tend to increase the variability of reserve margins.  Furthermore, uncertainties about anticipated fuel prices, the capacity contribution of renewables, and other modeling assumptions would further widen the distribution of realized reserve margins</w:t>
      </w:r>
      <w:r w:rsidRPr="00F63CF1">
        <w:rPr>
          <w:rFonts w:ascii="Calibri" w:hAnsi="Calibri" w:cs="Calibri"/>
          <w:color w:val="auto"/>
          <w:sz w:val="22"/>
          <w:szCs w:val="22"/>
        </w:rPr>
        <w:t xml:space="preserve">.  </w:t>
      </w:r>
      <w:r w:rsidRPr="009163BD">
        <w:rPr>
          <w:rFonts w:ascii="Calibri" w:hAnsi="Calibri" w:cs="Calibri"/>
          <w:color w:val="auto"/>
          <w:sz w:val="22"/>
          <w:szCs w:val="22"/>
        </w:rPr>
        <w:t xml:space="preserve">Overall, we estimate that with a </w:t>
      </w:r>
      <w:r w:rsidR="00061DA1" w:rsidRPr="009163BD">
        <w:rPr>
          <w:rFonts w:ascii="Calibri" w:hAnsi="Calibri" w:cs="Calibri"/>
          <w:color w:val="auto"/>
          <w:sz w:val="22"/>
          <w:szCs w:val="22"/>
        </w:rPr>
        <w:t>four</w:t>
      </w:r>
      <w:r w:rsidRPr="009163BD">
        <w:rPr>
          <w:rFonts w:ascii="Calibri" w:hAnsi="Calibri" w:cs="Calibri"/>
          <w:color w:val="auto"/>
          <w:sz w:val="22"/>
          <w:szCs w:val="22"/>
        </w:rPr>
        <w:t xml:space="preserve">-year forward period, load forecast uncertainty would result in equilibrium reserve margins ranging from </w:t>
      </w:r>
      <w:r w:rsidR="00F63CF1" w:rsidRPr="009163BD">
        <w:rPr>
          <w:rFonts w:ascii="Calibri" w:hAnsi="Calibri" w:cs="Calibri"/>
          <w:color w:val="auto"/>
          <w:sz w:val="22"/>
          <w:szCs w:val="22"/>
        </w:rPr>
        <w:t>9.25</w:t>
      </w:r>
      <w:r w:rsidRPr="009163BD">
        <w:rPr>
          <w:rFonts w:ascii="Calibri" w:hAnsi="Calibri" w:cs="Calibri"/>
          <w:color w:val="auto"/>
          <w:sz w:val="22"/>
          <w:szCs w:val="22"/>
        </w:rPr>
        <w:t xml:space="preserve">% to </w:t>
      </w:r>
      <w:r w:rsidR="00F63CF1" w:rsidRPr="009163BD">
        <w:rPr>
          <w:rFonts w:ascii="Calibri" w:hAnsi="Calibri" w:cs="Calibri"/>
          <w:color w:val="auto"/>
          <w:sz w:val="22"/>
          <w:szCs w:val="22"/>
        </w:rPr>
        <w:t>15.25</w:t>
      </w:r>
      <w:r w:rsidRPr="009163BD">
        <w:rPr>
          <w:rFonts w:ascii="Calibri" w:hAnsi="Calibri" w:cs="Calibri"/>
          <w:color w:val="auto"/>
          <w:sz w:val="22"/>
          <w:szCs w:val="22"/>
        </w:rPr>
        <w:t>% (10</w:t>
      </w:r>
      <w:r w:rsidRPr="009163BD">
        <w:rPr>
          <w:rFonts w:ascii="Calibri" w:hAnsi="Calibri" w:cs="Calibri"/>
          <w:color w:val="auto"/>
          <w:sz w:val="22"/>
          <w:szCs w:val="22"/>
          <w:vertAlign w:val="superscript"/>
        </w:rPr>
        <w:t>th</w:t>
      </w:r>
      <w:r w:rsidRPr="009163BD">
        <w:rPr>
          <w:rFonts w:ascii="Calibri" w:hAnsi="Calibri" w:cs="Calibri"/>
          <w:color w:val="auto"/>
          <w:sz w:val="22"/>
          <w:szCs w:val="22"/>
        </w:rPr>
        <w:t xml:space="preserve"> to 90</w:t>
      </w:r>
      <w:r w:rsidRPr="009163BD">
        <w:rPr>
          <w:rFonts w:ascii="Calibri" w:hAnsi="Calibri" w:cs="Calibri"/>
          <w:color w:val="auto"/>
          <w:sz w:val="22"/>
          <w:szCs w:val="22"/>
          <w:vertAlign w:val="superscript"/>
        </w:rPr>
        <w:t>th</w:t>
      </w:r>
      <w:r w:rsidRPr="009163BD">
        <w:rPr>
          <w:rFonts w:ascii="Calibri" w:hAnsi="Calibri" w:cs="Calibri"/>
          <w:color w:val="auto"/>
          <w:sz w:val="22"/>
          <w:szCs w:val="22"/>
        </w:rPr>
        <w:t xml:space="preserve"> percentiles).</w:t>
      </w:r>
    </w:p>
    <w:p w14:paraId="6B6C8341" w14:textId="1303420C" w:rsidR="004B58AD" w:rsidRDefault="004B58AD" w:rsidP="00FA0DFD">
      <w:pPr>
        <w:pStyle w:val="Heading3"/>
        <w:numPr>
          <w:ilvl w:val="0"/>
          <w:numId w:val="13"/>
        </w:numPr>
      </w:pPr>
      <w:bookmarkStart w:id="127" w:name="_Toc525938049"/>
      <w:bookmarkStart w:id="128" w:name="_Toc526279105"/>
      <w:bookmarkStart w:id="129" w:name="_Toc526437261"/>
      <w:bookmarkStart w:id="130" w:name="_Toc526439905"/>
      <w:bookmarkStart w:id="131" w:name="_Toc526440015"/>
      <w:bookmarkStart w:id="132" w:name="_Toc532834292"/>
      <w:bookmarkStart w:id="133" w:name="_Toc57193564"/>
      <w:r>
        <w:t>Comparison to 201</w:t>
      </w:r>
      <w:r w:rsidR="00FC7A73">
        <w:t>8</w:t>
      </w:r>
      <w:r>
        <w:t xml:space="preserve"> Study Results</w:t>
      </w:r>
      <w:bookmarkEnd w:id="127"/>
      <w:bookmarkEnd w:id="128"/>
      <w:bookmarkEnd w:id="129"/>
      <w:bookmarkEnd w:id="130"/>
      <w:bookmarkEnd w:id="131"/>
      <w:bookmarkEnd w:id="132"/>
      <w:bookmarkEnd w:id="133"/>
    </w:p>
    <w:p w14:paraId="3CF441C9" w14:textId="4D36976F" w:rsidR="004B58AD" w:rsidRPr="00326E77" w:rsidRDefault="004B58AD" w:rsidP="004B58AD">
      <w:pPr>
        <w:pStyle w:val="BGNormal125"/>
        <w:rPr>
          <w:rFonts w:ascii="Calibri" w:hAnsi="Calibri" w:cs="Calibri"/>
          <w:color w:val="C00000"/>
          <w:sz w:val="22"/>
          <w:szCs w:val="22"/>
        </w:rPr>
      </w:pPr>
      <w:r w:rsidRPr="00FC7A73">
        <w:rPr>
          <w:rFonts w:ascii="Calibri" w:hAnsi="Calibri" w:cs="Calibri"/>
          <w:color w:val="auto"/>
          <w:sz w:val="22"/>
          <w:szCs w:val="22"/>
        </w:rPr>
        <w:t>The 201</w:t>
      </w:r>
      <w:r w:rsidR="00FC7A73" w:rsidRPr="00FC7A73">
        <w:rPr>
          <w:rFonts w:ascii="Calibri" w:hAnsi="Calibri" w:cs="Calibri"/>
          <w:color w:val="auto"/>
          <w:sz w:val="22"/>
          <w:szCs w:val="22"/>
        </w:rPr>
        <w:t>8</w:t>
      </w:r>
      <w:r w:rsidRPr="00FC7A73">
        <w:rPr>
          <w:rFonts w:ascii="Calibri" w:hAnsi="Calibri" w:cs="Calibri"/>
          <w:color w:val="auto"/>
          <w:sz w:val="22"/>
          <w:szCs w:val="22"/>
        </w:rPr>
        <w:t xml:space="preserve"> study estimated a market equilibrium reserve margin for 20</w:t>
      </w:r>
      <w:r w:rsidR="00FC7A73" w:rsidRPr="00FC7A73">
        <w:rPr>
          <w:rFonts w:ascii="Calibri" w:hAnsi="Calibri" w:cs="Calibri"/>
          <w:color w:val="auto"/>
          <w:sz w:val="22"/>
          <w:szCs w:val="22"/>
        </w:rPr>
        <w:t>22</w:t>
      </w:r>
      <w:r w:rsidRPr="00FC7A73">
        <w:rPr>
          <w:rFonts w:ascii="Calibri" w:hAnsi="Calibri" w:cs="Calibri"/>
          <w:color w:val="auto"/>
          <w:sz w:val="22"/>
          <w:szCs w:val="22"/>
        </w:rPr>
        <w:t xml:space="preserve"> of 1</w:t>
      </w:r>
      <w:r w:rsidR="00FC7A73" w:rsidRPr="00FC7A73">
        <w:rPr>
          <w:rFonts w:ascii="Calibri" w:hAnsi="Calibri" w:cs="Calibri"/>
          <w:color w:val="auto"/>
          <w:sz w:val="22"/>
          <w:szCs w:val="22"/>
        </w:rPr>
        <w:t>0</w:t>
      </w:r>
      <w:r w:rsidRPr="00FC7A73">
        <w:rPr>
          <w:rFonts w:ascii="Calibri" w:hAnsi="Calibri" w:cs="Calibri"/>
          <w:color w:val="auto"/>
          <w:sz w:val="22"/>
          <w:szCs w:val="22"/>
        </w:rPr>
        <w:t>.</w:t>
      </w:r>
      <w:r w:rsidR="00FC7A73" w:rsidRPr="00FC7A73">
        <w:rPr>
          <w:rFonts w:ascii="Calibri" w:hAnsi="Calibri" w:cs="Calibri"/>
          <w:color w:val="auto"/>
          <w:sz w:val="22"/>
          <w:szCs w:val="22"/>
        </w:rPr>
        <w:t>2</w:t>
      </w:r>
      <w:r w:rsidRPr="00FC7A73">
        <w:rPr>
          <w:rFonts w:ascii="Calibri" w:hAnsi="Calibri" w:cs="Calibri"/>
          <w:color w:val="auto"/>
          <w:sz w:val="22"/>
          <w:szCs w:val="22"/>
        </w:rPr>
        <w:t xml:space="preserve">5%, which is </w:t>
      </w:r>
      <w:r w:rsidR="00AF7ED7">
        <w:rPr>
          <w:rFonts w:ascii="Calibri" w:hAnsi="Calibri" w:cs="Calibri"/>
          <w:color w:val="auto"/>
          <w:sz w:val="22"/>
          <w:szCs w:val="22"/>
        </w:rPr>
        <w:t>2</w:t>
      </w:r>
      <w:r w:rsidR="009915C8">
        <w:rPr>
          <w:rFonts w:ascii="Calibri" w:hAnsi="Calibri" w:cs="Calibri"/>
          <w:color w:val="auto"/>
          <w:sz w:val="22"/>
          <w:szCs w:val="22"/>
        </w:rPr>
        <w:t>.00</w:t>
      </w:r>
      <w:r w:rsidR="00F33E6F">
        <w:rPr>
          <w:rFonts w:ascii="Calibri" w:hAnsi="Calibri" w:cs="Calibri"/>
          <w:color w:val="auto"/>
          <w:sz w:val="22"/>
          <w:szCs w:val="22"/>
        </w:rPr>
        <w:t xml:space="preserve"> percentage points</w:t>
      </w:r>
      <w:r w:rsidR="009915C8">
        <w:rPr>
          <w:rFonts w:ascii="Calibri" w:hAnsi="Calibri" w:cs="Calibri"/>
          <w:color w:val="auto"/>
          <w:sz w:val="22"/>
          <w:szCs w:val="22"/>
        </w:rPr>
        <w:t xml:space="preserve"> lower than</w:t>
      </w:r>
      <w:r w:rsidRPr="00FC7A73">
        <w:rPr>
          <w:rFonts w:ascii="Calibri" w:hAnsi="Calibri" w:cs="Calibri"/>
          <w:color w:val="auto"/>
          <w:sz w:val="22"/>
          <w:szCs w:val="22"/>
        </w:rPr>
        <w:t xml:space="preserve"> current base case results of 1</w:t>
      </w:r>
      <w:r w:rsidR="00AF7ED7">
        <w:rPr>
          <w:rFonts w:ascii="Calibri" w:hAnsi="Calibri" w:cs="Calibri"/>
          <w:color w:val="auto"/>
          <w:sz w:val="22"/>
          <w:szCs w:val="22"/>
        </w:rPr>
        <w:t>2</w:t>
      </w:r>
      <w:r w:rsidRPr="00FC7A73">
        <w:rPr>
          <w:rFonts w:ascii="Calibri" w:hAnsi="Calibri" w:cs="Calibri"/>
          <w:color w:val="auto"/>
          <w:sz w:val="22"/>
          <w:szCs w:val="22"/>
        </w:rPr>
        <w:t xml:space="preserve">.25%. </w:t>
      </w:r>
      <w:r w:rsidRPr="003F6A8E">
        <w:rPr>
          <w:rFonts w:ascii="Calibri" w:hAnsi="Calibri" w:cs="Calibri"/>
          <w:color w:val="auto"/>
          <w:sz w:val="22"/>
          <w:szCs w:val="22"/>
        </w:rPr>
        <w:t xml:space="preserve">There are several offsetting factors that </w:t>
      </w:r>
      <w:r w:rsidR="00B662B0" w:rsidRPr="003F6A8E">
        <w:rPr>
          <w:rFonts w:ascii="Calibri" w:hAnsi="Calibri" w:cs="Calibri"/>
          <w:color w:val="auto"/>
          <w:sz w:val="22"/>
          <w:szCs w:val="22"/>
        </w:rPr>
        <w:t xml:space="preserve">result in </w:t>
      </w:r>
      <w:r w:rsidR="009915C8" w:rsidRPr="003F6A8E">
        <w:rPr>
          <w:rFonts w:ascii="Calibri" w:hAnsi="Calibri" w:cs="Calibri"/>
          <w:color w:val="auto"/>
          <w:sz w:val="22"/>
          <w:szCs w:val="22"/>
        </w:rPr>
        <w:t xml:space="preserve">a </w:t>
      </w:r>
      <w:r w:rsidR="00AF7ED7" w:rsidRPr="003F6A8E">
        <w:rPr>
          <w:rFonts w:ascii="Calibri" w:hAnsi="Calibri" w:cs="Calibri"/>
          <w:color w:val="auto"/>
          <w:sz w:val="22"/>
          <w:szCs w:val="22"/>
        </w:rPr>
        <w:t>2</w:t>
      </w:r>
      <w:r w:rsidR="009915C8" w:rsidRPr="002F5BE9">
        <w:rPr>
          <w:rFonts w:ascii="Calibri" w:hAnsi="Calibri" w:cs="Calibri"/>
          <w:color w:val="auto"/>
          <w:sz w:val="22"/>
          <w:szCs w:val="22"/>
        </w:rPr>
        <w:t>.00%</w:t>
      </w:r>
      <w:r w:rsidR="00B662B0" w:rsidRPr="002F5BE9">
        <w:rPr>
          <w:rFonts w:ascii="Calibri" w:hAnsi="Calibri" w:cs="Calibri"/>
          <w:color w:val="auto"/>
          <w:sz w:val="22"/>
          <w:szCs w:val="22"/>
        </w:rPr>
        <w:t xml:space="preserve"> net change in the MERM</w:t>
      </w:r>
      <w:r w:rsidRPr="002F5BE9">
        <w:rPr>
          <w:rFonts w:ascii="Calibri" w:hAnsi="Calibri" w:cs="Calibri"/>
          <w:color w:val="auto"/>
          <w:sz w:val="22"/>
          <w:szCs w:val="22"/>
        </w:rPr>
        <w:t xml:space="preserve">, shown in </w:t>
      </w:r>
      <w:r w:rsidRPr="003F6A8E">
        <w:rPr>
          <w:rFonts w:ascii="Calibri" w:hAnsi="Calibri" w:cs="Calibri"/>
          <w:color w:val="auto"/>
          <w:sz w:val="22"/>
          <w:szCs w:val="22"/>
        </w:rPr>
        <w:fldChar w:fldCharType="begin"/>
      </w:r>
      <w:r w:rsidRPr="002F5BE9">
        <w:rPr>
          <w:rFonts w:ascii="Calibri" w:hAnsi="Calibri" w:cs="Calibri"/>
          <w:color w:val="auto"/>
          <w:sz w:val="22"/>
          <w:szCs w:val="22"/>
        </w:rPr>
        <w:instrText xml:space="preserve"> REF _Ref526323668 \h </w:instrText>
      </w:r>
      <w:r w:rsidR="00326E77" w:rsidRPr="002F5BE9">
        <w:rPr>
          <w:rFonts w:ascii="Calibri" w:hAnsi="Calibri" w:cs="Calibri"/>
          <w:color w:val="auto"/>
          <w:sz w:val="22"/>
          <w:szCs w:val="22"/>
        </w:rPr>
        <w:instrText xml:space="preserve"> \* MERGEFORMAT </w:instrText>
      </w:r>
      <w:r w:rsidRPr="003F6A8E">
        <w:rPr>
          <w:rFonts w:ascii="Calibri" w:hAnsi="Calibri" w:cs="Calibri"/>
          <w:color w:val="auto"/>
          <w:sz w:val="22"/>
          <w:szCs w:val="22"/>
        </w:rPr>
      </w:r>
      <w:r w:rsidRPr="003F6A8E">
        <w:rPr>
          <w:rFonts w:ascii="Calibri" w:hAnsi="Calibri" w:cs="Calibri"/>
          <w:color w:val="auto"/>
          <w:sz w:val="22"/>
          <w:szCs w:val="22"/>
        </w:rPr>
        <w:fldChar w:fldCharType="separate"/>
      </w:r>
      <w:r w:rsidRPr="003F6A8E">
        <w:rPr>
          <w:rFonts w:ascii="Calibri" w:hAnsi="Calibri" w:cs="Calibri"/>
          <w:color w:val="auto"/>
          <w:sz w:val="22"/>
          <w:szCs w:val="22"/>
        </w:rPr>
        <w:t xml:space="preserve">Figure </w:t>
      </w:r>
      <w:r w:rsidRPr="003F6A8E">
        <w:rPr>
          <w:rFonts w:ascii="Calibri" w:hAnsi="Calibri" w:cs="Calibri"/>
          <w:noProof/>
          <w:color w:val="auto"/>
          <w:sz w:val="22"/>
          <w:szCs w:val="22"/>
        </w:rPr>
        <w:t>7</w:t>
      </w:r>
      <w:r w:rsidRPr="003F6A8E">
        <w:rPr>
          <w:rFonts w:ascii="Calibri" w:hAnsi="Calibri" w:cs="Calibri"/>
          <w:color w:val="auto"/>
          <w:sz w:val="22"/>
          <w:szCs w:val="22"/>
        </w:rPr>
        <w:fldChar w:fldCharType="end"/>
      </w:r>
      <w:r w:rsidRPr="003F6A8E">
        <w:rPr>
          <w:rFonts w:ascii="Calibri" w:hAnsi="Calibri" w:cs="Calibri"/>
          <w:color w:val="auto"/>
          <w:sz w:val="22"/>
          <w:szCs w:val="22"/>
        </w:rPr>
        <w:t xml:space="preserve"> below. </w:t>
      </w:r>
      <w:r w:rsidRPr="002F5BE9">
        <w:rPr>
          <w:rFonts w:ascii="Calibri" w:hAnsi="Calibri" w:cs="Calibri"/>
          <w:color w:val="auto"/>
          <w:sz w:val="22"/>
          <w:szCs w:val="22"/>
        </w:rPr>
        <w:t xml:space="preserve">While changes in the </w:t>
      </w:r>
      <w:r w:rsidR="00447114" w:rsidRPr="002F5BE9">
        <w:rPr>
          <w:rFonts w:ascii="Calibri" w:hAnsi="Calibri" w:cs="Calibri"/>
          <w:color w:val="auto"/>
          <w:sz w:val="22"/>
          <w:szCs w:val="22"/>
        </w:rPr>
        <w:t>ORDC and forced outage rate assumptions</w:t>
      </w:r>
      <w:r w:rsidRPr="002F5BE9">
        <w:rPr>
          <w:rFonts w:ascii="Calibri" w:hAnsi="Calibri" w:cs="Calibri"/>
          <w:color w:val="auto"/>
          <w:sz w:val="22"/>
          <w:szCs w:val="22"/>
        </w:rPr>
        <w:t xml:space="preserve"> increase the MERM, these changes are </w:t>
      </w:r>
      <w:r w:rsidR="009915C8" w:rsidRPr="002F5BE9">
        <w:rPr>
          <w:rFonts w:ascii="Calibri" w:hAnsi="Calibri" w:cs="Calibri"/>
          <w:color w:val="auto"/>
          <w:sz w:val="22"/>
          <w:szCs w:val="22"/>
        </w:rPr>
        <w:t>somewhat</w:t>
      </w:r>
      <w:r w:rsidRPr="002F5BE9">
        <w:rPr>
          <w:rFonts w:ascii="Calibri" w:hAnsi="Calibri" w:cs="Calibri"/>
          <w:color w:val="auto"/>
          <w:sz w:val="22"/>
          <w:szCs w:val="22"/>
        </w:rPr>
        <w:t xml:space="preserve"> offset by an increase in renewables</w:t>
      </w:r>
      <w:r w:rsidR="00447114" w:rsidRPr="002F5BE9">
        <w:rPr>
          <w:rFonts w:ascii="Calibri" w:hAnsi="Calibri" w:cs="Calibri"/>
          <w:color w:val="auto"/>
          <w:sz w:val="22"/>
          <w:szCs w:val="22"/>
        </w:rPr>
        <w:t>,</w:t>
      </w:r>
      <w:r w:rsidRPr="002F5BE9">
        <w:rPr>
          <w:rFonts w:ascii="Calibri" w:hAnsi="Calibri" w:cs="Calibri"/>
          <w:color w:val="auto"/>
          <w:sz w:val="22"/>
          <w:szCs w:val="22"/>
        </w:rPr>
        <w:t xml:space="preserve"> and </w:t>
      </w:r>
      <w:r w:rsidR="00447114" w:rsidRPr="002F5BE9">
        <w:rPr>
          <w:rFonts w:ascii="Calibri" w:hAnsi="Calibri" w:cs="Calibri"/>
          <w:color w:val="auto"/>
          <w:sz w:val="22"/>
          <w:szCs w:val="22"/>
        </w:rPr>
        <w:t>a change to the reference technology</w:t>
      </w:r>
      <w:r w:rsidR="00EF44A3" w:rsidRPr="002F5BE9">
        <w:rPr>
          <w:rFonts w:ascii="Calibri" w:hAnsi="Calibri" w:cs="Calibri"/>
          <w:color w:val="auto"/>
          <w:sz w:val="22"/>
          <w:szCs w:val="22"/>
        </w:rPr>
        <w:t xml:space="preserve"> from a blended CT and combined-cycle to just a CT</w:t>
      </w:r>
      <w:r w:rsidRPr="002F5BE9">
        <w:rPr>
          <w:rFonts w:ascii="Calibri" w:hAnsi="Calibri" w:cs="Calibri"/>
          <w:color w:val="auto"/>
          <w:sz w:val="22"/>
          <w:szCs w:val="22"/>
        </w:rPr>
        <w:t>.</w:t>
      </w:r>
    </w:p>
    <w:p w14:paraId="018C8887" w14:textId="2C633476" w:rsidR="004B58AD" w:rsidRDefault="004B58AD" w:rsidP="004B58AD">
      <w:pPr>
        <w:pStyle w:val="BGNormal125"/>
        <w:rPr>
          <w:rFonts w:ascii="Calibri" w:hAnsi="Calibri" w:cs="Calibri"/>
          <w:color w:val="auto"/>
          <w:sz w:val="22"/>
          <w:szCs w:val="22"/>
        </w:rPr>
      </w:pPr>
      <w:r w:rsidRPr="00061DA1">
        <w:rPr>
          <w:rFonts w:ascii="Calibri" w:hAnsi="Calibri" w:cs="Calibri"/>
          <w:color w:val="auto"/>
          <w:sz w:val="22"/>
          <w:szCs w:val="22"/>
        </w:rPr>
        <w:t xml:space="preserve">The largest drivers </w:t>
      </w:r>
      <w:r w:rsidR="00E82D1A" w:rsidRPr="00061DA1">
        <w:rPr>
          <w:rFonts w:ascii="Calibri" w:hAnsi="Calibri" w:cs="Calibri"/>
          <w:color w:val="auto"/>
          <w:sz w:val="22"/>
          <w:szCs w:val="22"/>
        </w:rPr>
        <w:t xml:space="preserve">that had upward effects on </w:t>
      </w:r>
      <w:r w:rsidRPr="00061DA1">
        <w:rPr>
          <w:rFonts w:ascii="Calibri" w:hAnsi="Calibri" w:cs="Calibri"/>
          <w:color w:val="auto"/>
          <w:sz w:val="22"/>
          <w:szCs w:val="22"/>
        </w:rPr>
        <w:t xml:space="preserve">the </w:t>
      </w:r>
      <w:r w:rsidR="00873DCC">
        <w:rPr>
          <w:rFonts w:ascii="Calibri" w:hAnsi="Calibri" w:cs="Calibri"/>
          <w:color w:val="auto"/>
          <w:sz w:val="22"/>
          <w:szCs w:val="22"/>
        </w:rPr>
        <w:t>MERM</w:t>
      </w:r>
      <w:r w:rsidRPr="00061DA1">
        <w:rPr>
          <w:rFonts w:ascii="Calibri" w:hAnsi="Calibri" w:cs="Calibri"/>
          <w:color w:val="auto"/>
          <w:sz w:val="22"/>
          <w:szCs w:val="22"/>
        </w:rPr>
        <w:t xml:space="preserve"> are the </w:t>
      </w:r>
      <w:r w:rsidR="00B662B0" w:rsidRPr="00061DA1">
        <w:rPr>
          <w:rFonts w:ascii="Calibri" w:hAnsi="Calibri" w:cs="Calibri"/>
          <w:color w:val="auto"/>
          <w:sz w:val="22"/>
          <w:szCs w:val="22"/>
        </w:rPr>
        <w:t>higher ORDC</w:t>
      </w:r>
      <w:r w:rsidR="00F9752B">
        <w:rPr>
          <w:rFonts w:ascii="Calibri" w:hAnsi="Calibri" w:cs="Calibri"/>
          <w:color w:val="auto"/>
          <w:sz w:val="22"/>
          <w:szCs w:val="22"/>
        </w:rPr>
        <w:t>,</w:t>
      </w:r>
      <w:r w:rsidR="00B662B0" w:rsidRPr="00061DA1">
        <w:rPr>
          <w:rFonts w:ascii="Calibri" w:hAnsi="Calibri" w:cs="Calibri"/>
          <w:color w:val="auto"/>
          <w:sz w:val="22"/>
          <w:szCs w:val="22"/>
        </w:rPr>
        <w:t xml:space="preserve"> the higher forced outage rates for conventional generators</w:t>
      </w:r>
      <w:r w:rsidR="00F9752B">
        <w:rPr>
          <w:rFonts w:ascii="Calibri" w:hAnsi="Calibri" w:cs="Calibri"/>
          <w:color w:val="auto"/>
          <w:sz w:val="22"/>
          <w:szCs w:val="22"/>
        </w:rPr>
        <w:t>, and renewable accounting procedures</w:t>
      </w:r>
      <w:r w:rsidR="00E82D1A" w:rsidRPr="00061DA1">
        <w:rPr>
          <w:rFonts w:ascii="Calibri" w:hAnsi="Calibri" w:cs="Calibri"/>
          <w:color w:val="auto"/>
          <w:sz w:val="22"/>
          <w:szCs w:val="22"/>
        </w:rPr>
        <w:t xml:space="preserve">. </w:t>
      </w:r>
      <w:r w:rsidR="00F9752B">
        <w:rPr>
          <w:rFonts w:ascii="Calibri" w:hAnsi="Calibri" w:cs="Calibri"/>
          <w:color w:val="auto"/>
          <w:sz w:val="22"/>
          <w:szCs w:val="22"/>
        </w:rPr>
        <w:t>The economic effects of h</w:t>
      </w:r>
      <w:r w:rsidR="00B662B0" w:rsidRPr="00061DA1">
        <w:rPr>
          <w:rFonts w:ascii="Calibri" w:hAnsi="Calibri" w:cs="Calibri"/>
          <w:color w:val="auto"/>
          <w:sz w:val="22"/>
          <w:szCs w:val="22"/>
        </w:rPr>
        <w:t>igher renewable penetration</w:t>
      </w:r>
      <w:r w:rsidR="00E82D1A" w:rsidRPr="00061DA1">
        <w:rPr>
          <w:rFonts w:ascii="Calibri" w:hAnsi="Calibri" w:cs="Calibri"/>
          <w:color w:val="auto"/>
          <w:sz w:val="22"/>
          <w:szCs w:val="22"/>
        </w:rPr>
        <w:t xml:space="preserve"> and the </w:t>
      </w:r>
      <w:r w:rsidR="009915C8">
        <w:rPr>
          <w:rFonts w:ascii="Calibri" w:hAnsi="Calibri" w:cs="Calibri"/>
          <w:color w:val="auto"/>
          <w:sz w:val="22"/>
          <w:szCs w:val="22"/>
        </w:rPr>
        <w:t>composition of the reference technology</w:t>
      </w:r>
      <w:r w:rsidR="00E82D1A" w:rsidRPr="00061DA1">
        <w:rPr>
          <w:rFonts w:ascii="Calibri" w:hAnsi="Calibri" w:cs="Calibri"/>
          <w:color w:val="auto"/>
          <w:sz w:val="22"/>
          <w:szCs w:val="22"/>
        </w:rPr>
        <w:t xml:space="preserve"> reduced the MERM.</w:t>
      </w:r>
      <w:r w:rsidRPr="00061DA1">
        <w:rPr>
          <w:rFonts w:ascii="Calibri" w:hAnsi="Calibri" w:cs="Calibri"/>
          <w:color w:val="auto"/>
          <w:sz w:val="22"/>
          <w:szCs w:val="22"/>
        </w:rPr>
        <w:t xml:space="preserve">  </w:t>
      </w:r>
      <w:r w:rsidR="00E82D1A" w:rsidRPr="00061DA1">
        <w:rPr>
          <w:rFonts w:ascii="Calibri" w:hAnsi="Calibri" w:cs="Calibri"/>
          <w:color w:val="auto"/>
          <w:sz w:val="22"/>
          <w:szCs w:val="22"/>
        </w:rPr>
        <w:t>While sensitivity simulations were not performed to assess the implications for a chan</w:t>
      </w:r>
      <w:r w:rsidR="009915C8">
        <w:rPr>
          <w:rFonts w:ascii="Calibri" w:hAnsi="Calibri" w:cs="Calibri"/>
          <w:color w:val="auto"/>
          <w:sz w:val="22"/>
          <w:szCs w:val="22"/>
        </w:rPr>
        <w:t>ge</w:t>
      </w:r>
      <w:r w:rsidR="00E82D1A" w:rsidRPr="00061DA1">
        <w:rPr>
          <w:rFonts w:ascii="Calibri" w:hAnsi="Calibri" w:cs="Calibri"/>
          <w:color w:val="auto"/>
          <w:sz w:val="22"/>
          <w:szCs w:val="22"/>
        </w:rPr>
        <w:t xml:space="preserve"> in reference technology</w:t>
      </w:r>
      <w:r w:rsidR="00873DCC">
        <w:rPr>
          <w:rFonts w:ascii="Calibri" w:hAnsi="Calibri" w:cs="Calibri"/>
          <w:color w:val="auto"/>
          <w:sz w:val="22"/>
          <w:szCs w:val="22"/>
        </w:rPr>
        <w:t xml:space="preserve"> to an alternative gas-fired technology</w:t>
      </w:r>
      <w:r w:rsidR="00E82D1A" w:rsidRPr="00061DA1">
        <w:rPr>
          <w:rFonts w:ascii="Calibri" w:hAnsi="Calibri" w:cs="Calibri"/>
          <w:color w:val="auto"/>
          <w:sz w:val="22"/>
          <w:szCs w:val="22"/>
        </w:rPr>
        <w:t>, the small difference in capital costs between combined cycles and combustion turbines is likely slightly more than offset by the production cost savings of the more efficient technology. This likely contributes to a small reduction in the MERM.</w:t>
      </w:r>
    </w:p>
    <w:p w14:paraId="07FF9125" w14:textId="6A8D287F" w:rsidR="00F9752B" w:rsidRDefault="00FF4A68" w:rsidP="00077409">
      <w:pPr>
        <w:pStyle w:val="BGNormal125"/>
        <w:spacing w:after="240"/>
        <w:rPr>
          <w:rFonts w:ascii="Calibri" w:hAnsi="Calibri" w:cs="Calibri"/>
          <w:color w:val="auto"/>
          <w:sz w:val="22"/>
          <w:szCs w:val="22"/>
        </w:rPr>
      </w:pPr>
      <w:r>
        <w:rPr>
          <w:rFonts w:ascii="Calibri" w:hAnsi="Calibri" w:cs="Calibri"/>
          <w:color w:val="auto"/>
          <w:sz w:val="22"/>
          <w:szCs w:val="22"/>
        </w:rPr>
        <w:t xml:space="preserve">Since the base case </w:t>
      </w:r>
      <w:r w:rsidR="00531F4C">
        <w:rPr>
          <w:rFonts w:ascii="Calibri" w:hAnsi="Calibri" w:cs="Calibri"/>
          <w:color w:val="auto"/>
          <w:sz w:val="22"/>
          <w:szCs w:val="22"/>
        </w:rPr>
        <w:t>uses the</w:t>
      </w:r>
      <w:r>
        <w:rPr>
          <w:rFonts w:ascii="Calibri" w:hAnsi="Calibri" w:cs="Calibri"/>
          <w:color w:val="auto"/>
          <w:sz w:val="22"/>
          <w:szCs w:val="22"/>
        </w:rPr>
        <w:t xml:space="preserve"> renewable accounting methodology </w:t>
      </w:r>
      <w:r w:rsidR="009163BD">
        <w:rPr>
          <w:rFonts w:ascii="Calibri" w:hAnsi="Calibri" w:cs="Calibri"/>
          <w:color w:val="auto"/>
          <w:sz w:val="22"/>
          <w:szCs w:val="22"/>
        </w:rPr>
        <w:t>applied</w:t>
      </w:r>
      <w:r w:rsidR="00100DD7">
        <w:rPr>
          <w:rFonts w:ascii="Calibri" w:hAnsi="Calibri" w:cs="Calibri"/>
          <w:color w:val="auto"/>
          <w:sz w:val="22"/>
          <w:szCs w:val="22"/>
        </w:rPr>
        <w:t xml:space="preserve"> in</w:t>
      </w:r>
      <w:r>
        <w:rPr>
          <w:rFonts w:ascii="Calibri" w:hAnsi="Calibri" w:cs="Calibri"/>
          <w:color w:val="auto"/>
          <w:sz w:val="22"/>
          <w:szCs w:val="22"/>
        </w:rPr>
        <w:t xml:space="preserve"> ERCOT’s CDR </w:t>
      </w:r>
      <w:r w:rsidR="00100DD7">
        <w:rPr>
          <w:rFonts w:ascii="Calibri" w:hAnsi="Calibri" w:cs="Calibri"/>
          <w:color w:val="auto"/>
          <w:sz w:val="22"/>
          <w:szCs w:val="22"/>
        </w:rPr>
        <w:t xml:space="preserve">development </w:t>
      </w:r>
      <w:r>
        <w:rPr>
          <w:rFonts w:ascii="Calibri" w:hAnsi="Calibri" w:cs="Calibri"/>
          <w:color w:val="auto"/>
          <w:sz w:val="22"/>
          <w:szCs w:val="22"/>
        </w:rPr>
        <w:t xml:space="preserve">process, any discrepancy between the renewable capacity in the CDR and the reliability contribution in the simulations will also affect the MERM. </w:t>
      </w:r>
      <w:r w:rsidR="00531F4C">
        <w:rPr>
          <w:rFonts w:ascii="Calibri" w:hAnsi="Calibri" w:cs="Calibri"/>
          <w:color w:val="auto"/>
          <w:sz w:val="22"/>
          <w:szCs w:val="22"/>
        </w:rPr>
        <w:t xml:space="preserve">The largest discrepancy between </w:t>
      </w:r>
      <w:r w:rsidR="00100DD7">
        <w:rPr>
          <w:rFonts w:ascii="Calibri" w:hAnsi="Calibri" w:cs="Calibri"/>
          <w:color w:val="auto"/>
          <w:sz w:val="22"/>
          <w:szCs w:val="22"/>
        </w:rPr>
        <w:t xml:space="preserve">the </w:t>
      </w:r>
      <w:r w:rsidR="00531F4C">
        <w:rPr>
          <w:rFonts w:ascii="Calibri" w:hAnsi="Calibri" w:cs="Calibri"/>
          <w:color w:val="auto"/>
          <w:sz w:val="22"/>
          <w:szCs w:val="22"/>
        </w:rPr>
        <w:t>capacity credit for incremental resources</w:t>
      </w:r>
      <w:r w:rsidR="00F9752B">
        <w:rPr>
          <w:rFonts w:ascii="Calibri" w:hAnsi="Calibri" w:cs="Calibri"/>
          <w:color w:val="auto"/>
          <w:sz w:val="22"/>
          <w:szCs w:val="22"/>
        </w:rPr>
        <w:t xml:space="preserve"> was for wind resources. The net change in capacity credit for wind in </w:t>
      </w:r>
      <w:r w:rsidR="00100DD7">
        <w:rPr>
          <w:rFonts w:ascii="Calibri" w:hAnsi="Calibri" w:cs="Calibri"/>
          <w:color w:val="auto"/>
          <w:sz w:val="22"/>
          <w:szCs w:val="22"/>
        </w:rPr>
        <w:t xml:space="preserve">the </w:t>
      </w:r>
      <w:r w:rsidR="00F9752B">
        <w:rPr>
          <w:rFonts w:ascii="Calibri" w:hAnsi="Calibri" w:cs="Calibri"/>
          <w:color w:val="auto"/>
          <w:sz w:val="22"/>
          <w:szCs w:val="22"/>
        </w:rPr>
        <w:t xml:space="preserve">CDR between the two studies was 2,806 MW, while the reliability contribution of wind only changed by 1,142 MW in the SERVM simulations. Offsetting this effect was the fact that storage resources were not given any capacity credit in </w:t>
      </w:r>
      <w:r w:rsidR="00100DD7">
        <w:rPr>
          <w:rFonts w:ascii="Calibri" w:hAnsi="Calibri" w:cs="Calibri"/>
          <w:color w:val="auto"/>
          <w:sz w:val="22"/>
          <w:szCs w:val="22"/>
        </w:rPr>
        <w:t xml:space="preserve">the </w:t>
      </w:r>
      <w:r w:rsidR="00F9752B">
        <w:rPr>
          <w:rFonts w:ascii="Calibri" w:hAnsi="Calibri" w:cs="Calibri"/>
          <w:color w:val="auto"/>
          <w:sz w:val="22"/>
          <w:szCs w:val="22"/>
        </w:rPr>
        <w:t>CDR, but in the simulations they did provide reliability value. The net effect of these accounting practices is a 1</w:t>
      </w:r>
      <w:r w:rsidR="00F03118">
        <w:rPr>
          <w:rFonts w:ascii="Calibri" w:hAnsi="Calibri" w:cs="Calibri"/>
          <w:color w:val="auto"/>
          <w:sz w:val="22"/>
          <w:szCs w:val="22"/>
        </w:rPr>
        <w:t>.00</w:t>
      </w:r>
      <w:r w:rsidR="00F9752B">
        <w:rPr>
          <w:rFonts w:ascii="Calibri" w:hAnsi="Calibri" w:cs="Calibri"/>
          <w:color w:val="auto"/>
          <w:sz w:val="22"/>
          <w:szCs w:val="22"/>
        </w:rPr>
        <w:t>% increase in MERM.</w:t>
      </w:r>
    </w:p>
    <w:p w14:paraId="44579283" w14:textId="6E9C8786" w:rsidR="000F0C8B" w:rsidRDefault="000F0C8B" w:rsidP="00077409">
      <w:pPr>
        <w:pStyle w:val="BGNormal125"/>
        <w:spacing w:after="240"/>
        <w:rPr>
          <w:rFonts w:ascii="Calibri" w:hAnsi="Calibri" w:cs="Calibri"/>
          <w:color w:val="auto"/>
          <w:sz w:val="22"/>
          <w:szCs w:val="22"/>
        </w:rPr>
      </w:pPr>
    </w:p>
    <w:p w14:paraId="06081B04" w14:textId="32B0E19E" w:rsidR="000F0C8B" w:rsidRDefault="000F0C8B" w:rsidP="00077409">
      <w:pPr>
        <w:pStyle w:val="BGNormal125"/>
        <w:spacing w:after="240"/>
        <w:rPr>
          <w:rFonts w:ascii="Calibri" w:hAnsi="Calibri" w:cs="Calibri"/>
          <w:color w:val="auto"/>
          <w:sz w:val="22"/>
          <w:szCs w:val="22"/>
        </w:rPr>
      </w:pPr>
    </w:p>
    <w:p w14:paraId="46CC437D" w14:textId="46C616C4" w:rsidR="000F0C8B" w:rsidRDefault="000F0C8B" w:rsidP="00077409">
      <w:pPr>
        <w:pStyle w:val="BGNormal125"/>
        <w:spacing w:after="240"/>
        <w:rPr>
          <w:rFonts w:ascii="Calibri" w:hAnsi="Calibri" w:cs="Calibri"/>
          <w:color w:val="auto"/>
          <w:sz w:val="22"/>
          <w:szCs w:val="22"/>
        </w:rPr>
      </w:pPr>
    </w:p>
    <w:p w14:paraId="386425CF" w14:textId="26A3D841" w:rsidR="000F0C8B" w:rsidRDefault="000F0C8B" w:rsidP="00077409">
      <w:pPr>
        <w:pStyle w:val="BGNormal125"/>
        <w:spacing w:after="240"/>
        <w:rPr>
          <w:rFonts w:ascii="Calibri" w:hAnsi="Calibri" w:cs="Calibri"/>
          <w:color w:val="auto"/>
          <w:sz w:val="22"/>
          <w:szCs w:val="22"/>
        </w:rPr>
      </w:pPr>
    </w:p>
    <w:p w14:paraId="76AC0CAD" w14:textId="4633713C" w:rsidR="000F0C8B" w:rsidRDefault="000F0C8B" w:rsidP="00077409">
      <w:pPr>
        <w:pStyle w:val="BGNormal125"/>
        <w:spacing w:after="240"/>
        <w:rPr>
          <w:rFonts w:ascii="Calibri" w:hAnsi="Calibri" w:cs="Calibri"/>
          <w:color w:val="auto"/>
          <w:sz w:val="22"/>
          <w:szCs w:val="22"/>
        </w:rPr>
      </w:pPr>
    </w:p>
    <w:p w14:paraId="3E8BE1A4" w14:textId="77777777" w:rsidR="000F0C8B" w:rsidRPr="00061DA1" w:rsidRDefault="000F0C8B" w:rsidP="00077409">
      <w:pPr>
        <w:pStyle w:val="BGNormal125"/>
        <w:spacing w:after="240"/>
        <w:rPr>
          <w:rFonts w:ascii="Calibri" w:hAnsi="Calibri" w:cs="Calibri"/>
          <w:color w:val="auto"/>
          <w:sz w:val="22"/>
          <w:szCs w:val="22"/>
        </w:rPr>
      </w:pPr>
    </w:p>
    <w:p w14:paraId="075E419E" w14:textId="0022FA0C" w:rsidR="004B58AD" w:rsidRPr="00FC7A73" w:rsidRDefault="004B58AD" w:rsidP="00FC7A73">
      <w:pPr>
        <w:pStyle w:val="Caption"/>
        <w:spacing w:after="0"/>
        <w:jc w:val="center"/>
        <w:rPr>
          <w:b/>
          <w:bCs/>
          <w:i w:val="0"/>
          <w:iCs w:val="0"/>
          <w:color w:val="auto"/>
          <w:sz w:val="22"/>
          <w:szCs w:val="22"/>
        </w:rPr>
      </w:pPr>
      <w:bookmarkStart w:id="134" w:name="_Ref526323668"/>
      <w:r w:rsidRPr="00FC7A73">
        <w:rPr>
          <w:rFonts w:cs="Calibri"/>
          <w:b/>
          <w:bCs/>
          <w:i w:val="0"/>
          <w:iCs w:val="0"/>
          <w:color w:val="auto"/>
          <w:sz w:val="22"/>
          <w:szCs w:val="22"/>
        </w:rPr>
        <w:t xml:space="preserve">Figure </w:t>
      </w:r>
      <w:r w:rsidRPr="00FC7A73">
        <w:rPr>
          <w:rFonts w:cs="Calibri"/>
          <w:b/>
          <w:bCs/>
          <w:i w:val="0"/>
          <w:iCs w:val="0"/>
          <w:noProof/>
          <w:color w:val="auto"/>
          <w:sz w:val="22"/>
          <w:szCs w:val="22"/>
        </w:rPr>
        <w:fldChar w:fldCharType="begin"/>
      </w:r>
      <w:r w:rsidRPr="00FC7A73">
        <w:rPr>
          <w:rFonts w:cs="Calibri"/>
          <w:b/>
          <w:bCs/>
          <w:i w:val="0"/>
          <w:iCs w:val="0"/>
          <w:noProof/>
          <w:color w:val="auto"/>
          <w:sz w:val="22"/>
          <w:szCs w:val="22"/>
        </w:rPr>
        <w:instrText xml:space="preserve"> SEQ Figure \* ARABIC </w:instrText>
      </w:r>
      <w:r w:rsidRPr="00FC7A73">
        <w:rPr>
          <w:rFonts w:cs="Calibri"/>
          <w:b/>
          <w:bCs/>
          <w:i w:val="0"/>
          <w:iCs w:val="0"/>
          <w:noProof/>
          <w:color w:val="auto"/>
          <w:sz w:val="22"/>
          <w:szCs w:val="22"/>
        </w:rPr>
        <w:fldChar w:fldCharType="separate"/>
      </w:r>
      <w:r w:rsidR="006304AC">
        <w:rPr>
          <w:rFonts w:cs="Calibri"/>
          <w:b/>
          <w:bCs/>
          <w:i w:val="0"/>
          <w:iCs w:val="0"/>
          <w:noProof/>
          <w:color w:val="auto"/>
          <w:sz w:val="22"/>
          <w:szCs w:val="22"/>
        </w:rPr>
        <w:t>7</w:t>
      </w:r>
      <w:r w:rsidRPr="00FC7A73">
        <w:rPr>
          <w:rFonts w:cs="Calibri"/>
          <w:b/>
          <w:bCs/>
          <w:i w:val="0"/>
          <w:iCs w:val="0"/>
          <w:noProof/>
          <w:color w:val="auto"/>
          <w:sz w:val="22"/>
          <w:szCs w:val="22"/>
        </w:rPr>
        <w:fldChar w:fldCharType="end"/>
      </w:r>
      <w:bookmarkEnd w:id="134"/>
      <w:r w:rsidR="00326E77" w:rsidRPr="00FC7A73">
        <w:rPr>
          <w:rFonts w:cs="Calibri"/>
          <w:b/>
          <w:bCs/>
          <w:i w:val="0"/>
          <w:iCs w:val="0"/>
          <w:noProof/>
          <w:color w:val="auto"/>
          <w:sz w:val="22"/>
          <w:szCs w:val="22"/>
        </w:rPr>
        <w:t xml:space="preserve">. </w:t>
      </w:r>
      <w:r w:rsidRPr="00FC7A73">
        <w:rPr>
          <w:rFonts w:cs="Calibri"/>
          <w:b/>
          <w:bCs/>
          <w:i w:val="0"/>
          <w:iCs w:val="0"/>
          <w:color w:val="auto"/>
          <w:sz w:val="22"/>
          <w:szCs w:val="22"/>
        </w:rPr>
        <w:t>Drivers of the Market Equilibrium Reserve Ma</w:t>
      </w:r>
      <w:r w:rsidRPr="00FC7A73">
        <w:rPr>
          <w:b/>
          <w:bCs/>
          <w:i w:val="0"/>
          <w:iCs w:val="0"/>
          <w:color w:val="auto"/>
          <w:sz w:val="22"/>
          <w:szCs w:val="22"/>
        </w:rPr>
        <w:t xml:space="preserve">rgin Change from </w:t>
      </w:r>
      <w:r w:rsidR="00FC2C1C" w:rsidRPr="00FC7A73">
        <w:rPr>
          <w:b/>
          <w:bCs/>
          <w:i w:val="0"/>
          <w:iCs w:val="0"/>
          <w:color w:val="auto"/>
          <w:sz w:val="22"/>
          <w:szCs w:val="22"/>
        </w:rPr>
        <w:t>20</w:t>
      </w:r>
      <w:r w:rsidR="00FC2C1C">
        <w:rPr>
          <w:b/>
          <w:bCs/>
          <w:i w:val="0"/>
          <w:iCs w:val="0"/>
          <w:color w:val="auto"/>
          <w:sz w:val="22"/>
          <w:szCs w:val="22"/>
        </w:rPr>
        <w:t>18</w:t>
      </w:r>
      <w:r w:rsidR="00FC2C1C" w:rsidRPr="00FC7A73">
        <w:rPr>
          <w:b/>
          <w:bCs/>
          <w:i w:val="0"/>
          <w:iCs w:val="0"/>
          <w:color w:val="auto"/>
          <w:sz w:val="22"/>
          <w:szCs w:val="22"/>
        </w:rPr>
        <w:t xml:space="preserve"> </w:t>
      </w:r>
      <w:r w:rsidRPr="00FC7A73">
        <w:rPr>
          <w:b/>
          <w:bCs/>
          <w:i w:val="0"/>
          <w:iCs w:val="0"/>
          <w:color w:val="auto"/>
          <w:sz w:val="22"/>
          <w:szCs w:val="22"/>
        </w:rPr>
        <w:t>to 202</w:t>
      </w:r>
      <w:r w:rsidR="00FC2C1C">
        <w:rPr>
          <w:b/>
          <w:bCs/>
          <w:i w:val="0"/>
          <w:iCs w:val="0"/>
          <w:color w:val="auto"/>
          <w:sz w:val="22"/>
          <w:szCs w:val="22"/>
        </w:rPr>
        <w:t>0 Study</w:t>
      </w:r>
    </w:p>
    <w:p w14:paraId="46080212" w14:textId="191D2B6A" w:rsidR="004B58AD" w:rsidRDefault="00D75794" w:rsidP="004B58AD">
      <w:pPr>
        <w:pStyle w:val="BGInsertGraphic"/>
      </w:pPr>
      <w:r>
        <w:rPr>
          <w:noProof/>
        </w:rPr>
        <w:drawing>
          <wp:inline distT="0" distB="0" distL="0" distR="0" wp14:anchorId="3EA06137" wp14:editId="7C52C25D">
            <wp:extent cx="6092094" cy="355790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109" cy="3564922"/>
                    </a:xfrm>
                    <a:prstGeom prst="rect">
                      <a:avLst/>
                    </a:prstGeom>
                    <a:noFill/>
                  </pic:spPr>
                </pic:pic>
              </a:graphicData>
            </a:graphic>
          </wp:inline>
        </w:drawing>
      </w:r>
    </w:p>
    <w:p w14:paraId="7089E994" w14:textId="36B0A1B4" w:rsidR="00517625" w:rsidRDefault="00F9752B" w:rsidP="00517625">
      <w:pPr>
        <w:jc w:val="both"/>
      </w:pPr>
      <w:r>
        <w:t>Given the MERM in this study is 2</w:t>
      </w:r>
      <w:r w:rsidR="00F03118">
        <w:t>.00</w:t>
      </w:r>
      <w:r w:rsidR="0062524E">
        <w:t xml:space="preserve"> percentage points</w:t>
      </w:r>
      <w:r>
        <w:t xml:space="preserve"> higher than the MERM found in the 2018 study, intuition suggests that ERCOT would be more reliable at MER</w:t>
      </w:r>
      <w:r w:rsidR="00E27CA4">
        <w:t xml:space="preserve">M now. However, since </w:t>
      </w:r>
      <w:proofErr w:type="gramStart"/>
      <w:r w:rsidR="00E27CA4">
        <w:t xml:space="preserve">the </w:t>
      </w:r>
      <w:r w:rsidR="00F33E6F">
        <w:t xml:space="preserve"> one</w:t>
      </w:r>
      <w:proofErr w:type="gramEnd"/>
      <w:r w:rsidR="00F33E6F">
        <w:t xml:space="preserve"> percentage point</w:t>
      </w:r>
      <w:r w:rsidR="00E27CA4">
        <w:t xml:space="preserve"> increase in forced outage rates and </w:t>
      </w:r>
      <w:r w:rsidR="00F33E6F">
        <w:t>one percentage point</w:t>
      </w:r>
      <w:r w:rsidR="00E27CA4">
        <w:t xml:space="preserve"> renewable accounting impact do not correspond to reliability improvements. The reliability actually stayed the same between the 2018 study MERM and the 2020 study MERM. Absent the administrative boost to ORDC prices, reliability would have degraded at MERM. Since the effects reducing MERM are projected to escalate with additional renewable, it will be important to carefully monitor projected reliability going forward.</w:t>
      </w:r>
      <w:bookmarkStart w:id="135" w:name="_Toc525079589"/>
      <w:bookmarkStart w:id="136" w:name="_Toc525851013"/>
      <w:bookmarkStart w:id="137" w:name="_Ref525911582"/>
      <w:bookmarkStart w:id="138" w:name="_Ref525915520"/>
      <w:bookmarkStart w:id="139" w:name="_Toc525938050"/>
      <w:bookmarkStart w:id="140" w:name="_Toc526279106"/>
      <w:bookmarkStart w:id="141" w:name="_Ref526330846"/>
      <w:bookmarkStart w:id="142" w:name="_Ref526412384"/>
      <w:bookmarkStart w:id="143" w:name="_Toc526437262"/>
      <w:bookmarkStart w:id="144" w:name="_Toc526439906"/>
      <w:bookmarkStart w:id="145" w:name="_Toc526440016"/>
      <w:bookmarkStart w:id="146" w:name="_Toc532834293"/>
    </w:p>
    <w:p w14:paraId="3C44504E" w14:textId="6E69EBDA" w:rsidR="004B58AD" w:rsidRDefault="004B58AD" w:rsidP="00FA0DFD">
      <w:pPr>
        <w:pStyle w:val="Heading2"/>
        <w:numPr>
          <w:ilvl w:val="0"/>
          <w:numId w:val="12"/>
        </w:numPr>
      </w:pPr>
      <w:bookmarkStart w:id="147" w:name="_Toc57193565"/>
      <w:r>
        <w:t>Economically Optimal Reserve Margin</w:t>
      </w:r>
      <w:bookmarkEnd w:id="135"/>
      <w:bookmarkEnd w:id="136"/>
      <w:bookmarkEnd w:id="137"/>
      <w:bookmarkEnd w:id="138"/>
      <w:bookmarkEnd w:id="139"/>
      <w:bookmarkEnd w:id="140"/>
      <w:bookmarkEnd w:id="141"/>
      <w:bookmarkEnd w:id="142"/>
      <w:bookmarkEnd w:id="143"/>
      <w:bookmarkEnd w:id="144"/>
      <w:bookmarkEnd w:id="145"/>
      <w:bookmarkEnd w:id="146"/>
      <w:bookmarkEnd w:id="147"/>
    </w:p>
    <w:p w14:paraId="23C9A7BD" w14:textId="386802CE" w:rsidR="004B58AD" w:rsidRDefault="004B58AD" w:rsidP="000F0C8B">
      <w:pPr>
        <w:pStyle w:val="Heading3"/>
        <w:numPr>
          <w:ilvl w:val="0"/>
          <w:numId w:val="14"/>
        </w:numPr>
        <w:spacing w:before="240"/>
      </w:pPr>
      <w:bookmarkStart w:id="148" w:name="_Toc526437263"/>
      <w:bookmarkStart w:id="149" w:name="_Toc526439907"/>
      <w:bookmarkStart w:id="150" w:name="_Toc526440017"/>
      <w:bookmarkStart w:id="151" w:name="_Ref526851811"/>
      <w:bookmarkStart w:id="152" w:name="_Toc532834294"/>
      <w:bookmarkStart w:id="153" w:name="_Toc57193566"/>
      <w:r>
        <w:t>System Cost-Minimizing Reserve Margin</w:t>
      </w:r>
      <w:bookmarkEnd w:id="148"/>
      <w:bookmarkEnd w:id="149"/>
      <w:bookmarkEnd w:id="150"/>
      <w:bookmarkEnd w:id="151"/>
      <w:bookmarkEnd w:id="152"/>
      <w:bookmarkEnd w:id="153"/>
    </w:p>
    <w:p w14:paraId="0A34CA9D" w14:textId="0C80F754" w:rsidR="004B58AD" w:rsidRPr="00DB1951" w:rsidRDefault="004B58AD" w:rsidP="00061DA1">
      <w:pPr>
        <w:pStyle w:val="BGNormal125"/>
        <w:spacing w:after="240"/>
        <w:rPr>
          <w:rFonts w:ascii="Calibri" w:hAnsi="Calibri" w:cs="Calibri"/>
          <w:color w:val="auto"/>
          <w:sz w:val="22"/>
          <w:szCs w:val="22"/>
        </w:rPr>
      </w:pPr>
      <w:r w:rsidRPr="00DB1951">
        <w:rPr>
          <w:rFonts w:ascii="Calibri" w:hAnsi="Calibri" w:cs="Calibri"/>
          <w:color w:val="auto"/>
          <w:sz w:val="22"/>
          <w:szCs w:val="22"/>
        </w:rPr>
        <w:t xml:space="preserve">The EORM is the level of capacity that minimizes total system capital and production costs.  As shown in </w:t>
      </w:r>
      <w:r w:rsidRPr="00DB1951">
        <w:rPr>
          <w:rFonts w:ascii="Calibri" w:hAnsi="Calibri" w:cs="Calibri"/>
          <w:color w:val="auto"/>
          <w:sz w:val="22"/>
          <w:szCs w:val="22"/>
        </w:rPr>
        <w:fldChar w:fldCharType="begin"/>
      </w:r>
      <w:r w:rsidRPr="00DB1951">
        <w:rPr>
          <w:rFonts w:ascii="Calibri" w:hAnsi="Calibri" w:cs="Calibri"/>
          <w:color w:val="auto"/>
          <w:sz w:val="22"/>
          <w:szCs w:val="22"/>
        </w:rPr>
        <w:instrText xml:space="preserve"> REF _Ref526325090 \h  \* MERGEFORMAT </w:instrText>
      </w:r>
      <w:r w:rsidRPr="00DB1951">
        <w:rPr>
          <w:rFonts w:ascii="Calibri" w:hAnsi="Calibri" w:cs="Calibri"/>
          <w:color w:val="auto"/>
          <w:sz w:val="22"/>
          <w:szCs w:val="22"/>
        </w:rPr>
      </w:r>
      <w:r w:rsidRPr="00DB1951">
        <w:rPr>
          <w:rFonts w:ascii="Calibri" w:hAnsi="Calibri" w:cs="Calibri"/>
          <w:color w:val="auto"/>
          <w:sz w:val="22"/>
          <w:szCs w:val="22"/>
        </w:rPr>
        <w:fldChar w:fldCharType="separate"/>
      </w:r>
      <w:r w:rsidRPr="00DB1951">
        <w:rPr>
          <w:rFonts w:ascii="Calibri" w:hAnsi="Calibri" w:cs="Calibri"/>
          <w:color w:val="auto"/>
          <w:sz w:val="22"/>
          <w:szCs w:val="22"/>
        </w:rPr>
        <w:t xml:space="preserve">Figure </w:t>
      </w:r>
      <w:r w:rsidRPr="00DB1951">
        <w:rPr>
          <w:rFonts w:ascii="Calibri" w:hAnsi="Calibri" w:cs="Calibri"/>
          <w:noProof/>
          <w:color w:val="auto"/>
          <w:sz w:val="22"/>
          <w:szCs w:val="22"/>
        </w:rPr>
        <w:t>8</w:t>
      </w:r>
      <w:r w:rsidRPr="00DB1951">
        <w:rPr>
          <w:rFonts w:ascii="Calibri" w:hAnsi="Calibri" w:cs="Calibri"/>
          <w:color w:val="auto"/>
          <w:sz w:val="22"/>
          <w:szCs w:val="22"/>
        </w:rPr>
        <w:fldChar w:fldCharType="end"/>
      </w:r>
      <w:r w:rsidRPr="00DB1951">
        <w:rPr>
          <w:rFonts w:ascii="Calibri" w:hAnsi="Calibri" w:cs="Calibri"/>
          <w:color w:val="auto"/>
          <w:sz w:val="22"/>
          <w:szCs w:val="22"/>
        </w:rPr>
        <w:t xml:space="preserve"> below, we estimated the annual average of reliability-related costs over a range of planning reserve margins and found the EORM under base case assumptions to be </w:t>
      </w:r>
      <w:r w:rsidR="00DB1951" w:rsidRPr="00DB1951">
        <w:rPr>
          <w:rFonts w:ascii="Calibri" w:hAnsi="Calibri" w:cs="Calibri"/>
          <w:color w:val="auto"/>
          <w:sz w:val="22"/>
          <w:szCs w:val="22"/>
        </w:rPr>
        <w:t>1</w:t>
      </w:r>
      <w:r w:rsidR="00AF7ED7">
        <w:rPr>
          <w:rFonts w:ascii="Calibri" w:hAnsi="Calibri" w:cs="Calibri"/>
          <w:color w:val="auto"/>
          <w:sz w:val="22"/>
          <w:szCs w:val="22"/>
        </w:rPr>
        <w:t>1</w:t>
      </w:r>
      <w:r w:rsidRPr="00DB1951">
        <w:rPr>
          <w:rFonts w:ascii="Calibri" w:hAnsi="Calibri" w:cs="Calibri"/>
          <w:color w:val="auto"/>
          <w:sz w:val="22"/>
          <w:szCs w:val="22"/>
        </w:rPr>
        <w:t>.</w:t>
      </w:r>
      <w:r w:rsidR="00DB1951" w:rsidRPr="00DB1951">
        <w:rPr>
          <w:rFonts w:ascii="Calibri" w:hAnsi="Calibri" w:cs="Calibri"/>
          <w:color w:val="auto"/>
          <w:sz w:val="22"/>
          <w:szCs w:val="22"/>
        </w:rPr>
        <w:t>0</w:t>
      </w:r>
      <w:r w:rsidRPr="00DB1951">
        <w:rPr>
          <w:rFonts w:ascii="Calibri" w:hAnsi="Calibri" w:cs="Calibri"/>
          <w:color w:val="auto"/>
          <w:sz w:val="22"/>
          <w:szCs w:val="22"/>
        </w:rPr>
        <w:t>0%.</w:t>
      </w:r>
    </w:p>
    <w:p w14:paraId="264DB16B" w14:textId="4A9D1912" w:rsidR="004B58AD" w:rsidRPr="00DB1951" w:rsidRDefault="004B58AD" w:rsidP="000F0C8B">
      <w:pPr>
        <w:pStyle w:val="BGNormal125"/>
        <w:spacing w:before="0" w:after="240"/>
        <w:rPr>
          <w:rFonts w:ascii="Calibri" w:hAnsi="Calibri" w:cs="Calibri"/>
          <w:color w:val="auto"/>
          <w:sz w:val="22"/>
          <w:szCs w:val="22"/>
        </w:rPr>
      </w:pPr>
      <w:r w:rsidRPr="00DB1951">
        <w:rPr>
          <w:rFonts w:ascii="Calibri" w:hAnsi="Calibri" w:cs="Calibri"/>
          <w:color w:val="auto"/>
          <w:sz w:val="22"/>
          <w:szCs w:val="22"/>
        </w:rPr>
        <w:t>At the lowest reserve margins analyzed</w:t>
      </w:r>
      <w:r w:rsidR="009A3484">
        <w:rPr>
          <w:rFonts w:ascii="Calibri" w:hAnsi="Calibri" w:cs="Calibri"/>
          <w:color w:val="auto"/>
          <w:sz w:val="22"/>
          <w:szCs w:val="22"/>
        </w:rPr>
        <w:t>,</w:t>
      </w:r>
      <w:r w:rsidRPr="00DB1951">
        <w:rPr>
          <w:rFonts w:ascii="Calibri" w:hAnsi="Calibri" w:cs="Calibri"/>
          <w:color w:val="auto"/>
          <w:sz w:val="22"/>
          <w:szCs w:val="22"/>
        </w:rPr>
        <w:t xml:space="preserve"> the average annual reliability costs are high, driven by the cost of firm load shedding (red bar), regulation and reserve scarcity (grey bars), and production costs </w:t>
      </w:r>
      <w:r w:rsidR="009A3484">
        <w:rPr>
          <w:rFonts w:ascii="Calibri" w:hAnsi="Calibri" w:cs="Calibri"/>
          <w:color w:val="auto"/>
          <w:sz w:val="22"/>
          <w:szCs w:val="22"/>
        </w:rPr>
        <w:t>of emergency and conventional resources</w:t>
      </w:r>
      <w:r w:rsidRPr="00DB1951">
        <w:rPr>
          <w:rFonts w:ascii="Calibri" w:hAnsi="Calibri" w:cs="Calibri"/>
          <w:color w:val="auto"/>
          <w:sz w:val="22"/>
          <w:szCs w:val="22"/>
        </w:rPr>
        <w:t xml:space="preserve">.  As reserve margins increase, total reliability costs drop due to the decrease in scarcity events and production costs.  These costs decrease more quickly than the increases in capital costs associated with adding additional CTs resulting in a decrease in total system costs.  This continues at higher reserve margins until the “economically optimal” quantity of capacity has been added at a reserve margin of </w:t>
      </w:r>
      <w:r w:rsidR="00DB1951" w:rsidRPr="00DB1951">
        <w:rPr>
          <w:rFonts w:ascii="Calibri" w:hAnsi="Calibri" w:cs="Calibri"/>
          <w:color w:val="auto"/>
          <w:sz w:val="22"/>
          <w:szCs w:val="22"/>
        </w:rPr>
        <w:t>1</w:t>
      </w:r>
      <w:r w:rsidR="00AF7ED7">
        <w:rPr>
          <w:rFonts w:ascii="Calibri" w:hAnsi="Calibri" w:cs="Calibri"/>
          <w:color w:val="auto"/>
          <w:sz w:val="22"/>
          <w:szCs w:val="22"/>
        </w:rPr>
        <w:t>1</w:t>
      </w:r>
      <w:r w:rsidR="00DB1951" w:rsidRPr="00DB1951">
        <w:rPr>
          <w:rFonts w:ascii="Calibri" w:hAnsi="Calibri" w:cs="Calibri"/>
          <w:color w:val="auto"/>
          <w:sz w:val="22"/>
          <w:szCs w:val="22"/>
        </w:rPr>
        <w:t>.00</w:t>
      </w:r>
      <w:r w:rsidRPr="00DB1951">
        <w:rPr>
          <w:rFonts w:ascii="Calibri" w:hAnsi="Calibri" w:cs="Calibri"/>
          <w:color w:val="auto"/>
          <w:sz w:val="22"/>
          <w:szCs w:val="22"/>
        </w:rPr>
        <w:t>%.  After crossing this minimum cost point, the capital costs of adding more CTs exceed the benefits from reducing reliability-related costs, so total costs increase.</w:t>
      </w:r>
    </w:p>
    <w:p w14:paraId="0D9C1B2F" w14:textId="409BA365" w:rsidR="004B58AD" w:rsidRPr="00DB1951" w:rsidRDefault="004B58AD" w:rsidP="00DB1951">
      <w:pPr>
        <w:pStyle w:val="Caption"/>
        <w:spacing w:after="0"/>
        <w:jc w:val="center"/>
        <w:rPr>
          <w:rFonts w:cs="Calibri"/>
          <w:b/>
          <w:bCs/>
          <w:i w:val="0"/>
          <w:iCs w:val="0"/>
          <w:color w:val="auto"/>
          <w:sz w:val="22"/>
          <w:szCs w:val="22"/>
        </w:rPr>
      </w:pPr>
      <w:bookmarkStart w:id="154" w:name="_Ref526325090"/>
      <w:r w:rsidRPr="00DB1951">
        <w:rPr>
          <w:rFonts w:cs="Calibri"/>
          <w:b/>
          <w:bCs/>
          <w:i w:val="0"/>
          <w:iCs w:val="0"/>
          <w:color w:val="auto"/>
          <w:sz w:val="22"/>
          <w:szCs w:val="22"/>
        </w:rPr>
        <w:t xml:space="preserve">Figure </w:t>
      </w:r>
      <w:r w:rsidRPr="00DB1951">
        <w:rPr>
          <w:rFonts w:cs="Calibri"/>
          <w:b/>
          <w:bCs/>
          <w:i w:val="0"/>
          <w:iCs w:val="0"/>
          <w:color w:val="auto"/>
          <w:sz w:val="22"/>
          <w:szCs w:val="22"/>
        </w:rPr>
        <w:fldChar w:fldCharType="begin"/>
      </w:r>
      <w:r w:rsidRPr="00DB1951">
        <w:rPr>
          <w:rFonts w:cs="Calibri"/>
          <w:b/>
          <w:bCs/>
          <w:i w:val="0"/>
          <w:iCs w:val="0"/>
          <w:color w:val="auto"/>
          <w:sz w:val="22"/>
          <w:szCs w:val="22"/>
        </w:rPr>
        <w:instrText xml:space="preserve"> SEQ Figure \* ARABIC </w:instrText>
      </w:r>
      <w:r w:rsidRPr="00DB1951">
        <w:rPr>
          <w:rFonts w:cs="Calibri"/>
          <w:b/>
          <w:bCs/>
          <w:i w:val="0"/>
          <w:iCs w:val="0"/>
          <w:color w:val="auto"/>
          <w:sz w:val="22"/>
          <w:szCs w:val="22"/>
        </w:rPr>
        <w:fldChar w:fldCharType="separate"/>
      </w:r>
      <w:r w:rsidR="006304AC">
        <w:rPr>
          <w:rFonts w:cs="Calibri"/>
          <w:b/>
          <w:bCs/>
          <w:i w:val="0"/>
          <w:iCs w:val="0"/>
          <w:noProof/>
          <w:color w:val="auto"/>
          <w:sz w:val="22"/>
          <w:szCs w:val="22"/>
        </w:rPr>
        <w:t>8</w:t>
      </w:r>
      <w:r w:rsidRPr="00DB1951">
        <w:rPr>
          <w:rFonts w:cs="Calibri"/>
          <w:b/>
          <w:bCs/>
          <w:i w:val="0"/>
          <w:iCs w:val="0"/>
          <w:color w:val="auto"/>
          <w:sz w:val="22"/>
          <w:szCs w:val="22"/>
        </w:rPr>
        <w:fldChar w:fldCharType="end"/>
      </w:r>
      <w:bookmarkEnd w:id="154"/>
      <w:r w:rsidR="00326E77" w:rsidRPr="00DB1951">
        <w:rPr>
          <w:rFonts w:cs="Calibri"/>
          <w:b/>
          <w:bCs/>
          <w:i w:val="0"/>
          <w:iCs w:val="0"/>
          <w:color w:val="auto"/>
          <w:sz w:val="22"/>
          <w:szCs w:val="22"/>
        </w:rPr>
        <w:t xml:space="preserve">. </w:t>
      </w:r>
      <w:r w:rsidRPr="00DB1951">
        <w:rPr>
          <w:rFonts w:cs="Calibri"/>
          <w:b/>
          <w:bCs/>
          <w:i w:val="0"/>
          <w:iCs w:val="0"/>
          <w:color w:val="auto"/>
          <w:sz w:val="22"/>
          <w:szCs w:val="22"/>
        </w:rPr>
        <w:t>Total System Costs across Planning Reserve Margins</w:t>
      </w:r>
    </w:p>
    <w:p w14:paraId="38CB8E3A" w14:textId="33A261AF" w:rsidR="004B58AD" w:rsidRPr="006F0B7A" w:rsidRDefault="00D73568" w:rsidP="004B58AD">
      <w:pPr>
        <w:pStyle w:val="BGInsertGraphic"/>
      </w:pPr>
      <w:r>
        <w:rPr>
          <w:noProof/>
        </w:rPr>
        <w:drawing>
          <wp:inline distT="0" distB="0" distL="0" distR="0" wp14:anchorId="2303FA05" wp14:editId="6C77D43C">
            <wp:extent cx="6065358" cy="4400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523" cy="4411553"/>
                    </a:xfrm>
                    <a:prstGeom prst="rect">
                      <a:avLst/>
                    </a:prstGeom>
                    <a:noFill/>
                  </pic:spPr>
                </pic:pic>
              </a:graphicData>
            </a:graphic>
          </wp:inline>
        </w:drawing>
      </w:r>
    </w:p>
    <w:p w14:paraId="741C0ABA" w14:textId="77777777" w:rsidR="004B58AD" w:rsidRPr="00DB1951" w:rsidRDefault="004B58AD" w:rsidP="004B58AD">
      <w:pPr>
        <w:pStyle w:val="BGInsertGraphic"/>
        <w:keepNext/>
        <w:tabs>
          <w:tab w:val="left" w:pos="180"/>
          <w:tab w:val="left" w:pos="1440"/>
        </w:tabs>
        <w:spacing w:before="0"/>
        <w:ind w:left="630" w:hanging="360"/>
        <w:jc w:val="both"/>
        <w:rPr>
          <w:rFonts w:ascii="Calibri" w:hAnsi="Calibri" w:cs="Calibri"/>
          <w:i/>
          <w:color w:val="auto"/>
          <w:sz w:val="16"/>
        </w:rPr>
      </w:pPr>
      <w:r w:rsidRPr="00DB1951">
        <w:rPr>
          <w:rFonts w:ascii="Calibri" w:hAnsi="Calibri" w:cs="Calibri"/>
          <w:i/>
          <w:color w:val="auto"/>
          <w:sz w:val="16"/>
        </w:rPr>
        <w:t>Notes:</w:t>
      </w:r>
    </w:p>
    <w:p w14:paraId="72D48298" w14:textId="7E362844" w:rsidR="004B58AD" w:rsidRPr="00084B9A" w:rsidRDefault="004B58AD" w:rsidP="004B58AD">
      <w:pPr>
        <w:pStyle w:val="BGInsertGraphic"/>
        <w:tabs>
          <w:tab w:val="left" w:pos="180"/>
          <w:tab w:val="left" w:pos="1080"/>
          <w:tab w:val="left" w:pos="1440"/>
        </w:tabs>
        <w:spacing w:before="0"/>
        <w:ind w:left="630" w:right="450" w:hanging="360"/>
        <w:jc w:val="both"/>
        <w:rPr>
          <w:rFonts w:ascii="Calibri" w:hAnsi="Calibri" w:cs="Calibri"/>
          <w:color w:val="C00000"/>
          <w:sz w:val="16"/>
        </w:rPr>
      </w:pPr>
      <w:r w:rsidRPr="00DB1951">
        <w:rPr>
          <w:rFonts w:ascii="Calibri" w:hAnsi="Calibri" w:cs="Calibri"/>
          <w:color w:val="auto"/>
          <w:sz w:val="16"/>
        </w:rPr>
        <w:tab/>
        <w:t>Total system costs include a large baseline of total system costs that do not change across reserve margins, including $13.4B/year in transmission and distribution</w:t>
      </w:r>
      <w:r w:rsidR="00F55D48">
        <w:rPr>
          <w:rFonts w:ascii="Calibri" w:hAnsi="Calibri" w:cs="Calibri"/>
          <w:color w:val="auto"/>
          <w:sz w:val="16"/>
        </w:rPr>
        <w:t xml:space="preserve"> (assumption not updated from 2018 study)</w:t>
      </w:r>
      <w:r w:rsidRPr="00DB1951">
        <w:rPr>
          <w:rFonts w:ascii="Calibri" w:hAnsi="Calibri" w:cs="Calibri"/>
          <w:color w:val="auto"/>
          <w:sz w:val="16"/>
        </w:rPr>
        <w:t>, $</w:t>
      </w:r>
      <w:r w:rsidR="00DB1951" w:rsidRPr="00DB1951">
        <w:rPr>
          <w:rFonts w:ascii="Calibri" w:hAnsi="Calibri" w:cs="Calibri"/>
          <w:color w:val="auto"/>
          <w:sz w:val="16"/>
        </w:rPr>
        <w:t>7.</w:t>
      </w:r>
      <w:r w:rsidR="00061DA1">
        <w:rPr>
          <w:rFonts w:ascii="Calibri" w:hAnsi="Calibri" w:cs="Calibri"/>
          <w:color w:val="auto"/>
          <w:sz w:val="16"/>
        </w:rPr>
        <w:t>5</w:t>
      </w:r>
      <w:r w:rsidRPr="00DB1951">
        <w:rPr>
          <w:rFonts w:ascii="Calibri" w:hAnsi="Calibri" w:cs="Calibri"/>
          <w:color w:val="auto"/>
          <w:sz w:val="16"/>
        </w:rPr>
        <w:t>B/year in external system costs, and $5.</w:t>
      </w:r>
      <w:r w:rsidR="00DB1951" w:rsidRPr="00DB1951">
        <w:rPr>
          <w:rFonts w:ascii="Calibri" w:hAnsi="Calibri" w:cs="Calibri"/>
          <w:color w:val="auto"/>
          <w:sz w:val="16"/>
        </w:rPr>
        <w:t>2</w:t>
      </w:r>
      <w:r w:rsidRPr="00DB1951">
        <w:rPr>
          <w:rFonts w:ascii="Calibri" w:hAnsi="Calibri" w:cs="Calibri"/>
          <w:color w:val="auto"/>
          <w:sz w:val="16"/>
        </w:rPr>
        <w:t>B/year in production costs.</w:t>
      </w:r>
    </w:p>
    <w:p w14:paraId="5DA2F954" w14:textId="6E162727" w:rsidR="004B58AD" w:rsidRPr="00084B9A" w:rsidRDefault="004B58AD" w:rsidP="004B58AD">
      <w:pPr>
        <w:pStyle w:val="BGNormal125"/>
        <w:rPr>
          <w:rFonts w:ascii="Calibri" w:hAnsi="Calibri" w:cs="Calibri"/>
          <w:color w:val="C00000"/>
          <w:sz w:val="22"/>
          <w:szCs w:val="22"/>
        </w:rPr>
      </w:pPr>
      <w:r w:rsidRPr="00101B0D">
        <w:rPr>
          <w:rFonts w:ascii="Calibri" w:hAnsi="Calibri" w:cs="Calibri"/>
          <w:color w:val="auto"/>
          <w:sz w:val="22"/>
          <w:szCs w:val="22"/>
        </w:rPr>
        <w:t>The total cost curve shown above has a shape similar to</w:t>
      </w:r>
      <w:r w:rsidRPr="00101B0D" w:rsidDel="002C7942">
        <w:rPr>
          <w:rFonts w:ascii="Calibri" w:hAnsi="Calibri" w:cs="Calibri"/>
          <w:color w:val="auto"/>
          <w:sz w:val="22"/>
          <w:szCs w:val="22"/>
        </w:rPr>
        <w:t xml:space="preserve"> </w:t>
      </w:r>
      <w:r w:rsidRPr="00101B0D">
        <w:rPr>
          <w:rFonts w:ascii="Calibri" w:hAnsi="Calibri" w:cs="Calibri"/>
          <w:color w:val="auto"/>
          <w:sz w:val="22"/>
          <w:szCs w:val="22"/>
        </w:rPr>
        <w:t>those we have observed in value-of-service studies for many other electric systems.</w:t>
      </w:r>
      <w:r w:rsidRPr="00101B0D">
        <w:rPr>
          <w:rFonts w:ascii="Calibri" w:hAnsi="Calibri" w:cs="Calibri"/>
          <w:color w:val="auto"/>
          <w:sz w:val="22"/>
          <w:szCs w:val="22"/>
          <w:vertAlign w:val="superscript"/>
        </w:rPr>
        <w:footnoteReference w:id="24"/>
      </w:r>
      <w:r w:rsidRPr="00101B0D">
        <w:rPr>
          <w:rFonts w:ascii="Calibri" w:hAnsi="Calibri" w:cs="Calibri"/>
          <w:color w:val="auto"/>
          <w:sz w:val="22"/>
          <w:szCs w:val="22"/>
        </w:rPr>
        <w:t xml:space="preserve">  The curve is relatively flat near the minimum average cost point, </w:t>
      </w:r>
      <w:r w:rsidRPr="00101B0D" w:rsidDel="002D6111">
        <w:rPr>
          <w:rFonts w:ascii="Calibri" w:hAnsi="Calibri" w:cs="Calibri"/>
          <w:color w:val="auto"/>
          <w:sz w:val="22"/>
          <w:szCs w:val="22"/>
        </w:rPr>
        <w:t xml:space="preserve">indicating that </w:t>
      </w:r>
      <w:r w:rsidRPr="00101B0D">
        <w:rPr>
          <w:rFonts w:ascii="Calibri" w:hAnsi="Calibri" w:cs="Calibri"/>
          <w:color w:val="auto"/>
          <w:sz w:val="22"/>
          <w:szCs w:val="22"/>
        </w:rPr>
        <w:t xml:space="preserve">expected total </w:t>
      </w:r>
      <w:r w:rsidRPr="00101B0D" w:rsidDel="002D6111">
        <w:rPr>
          <w:rFonts w:ascii="Calibri" w:hAnsi="Calibri" w:cs="Calibri"/>
          <w:color w:val="auto"/>
          <w:sz w:val="22"/>
          <w:szCs w:val="22"/>
        </w:rPr>
        <w:t xml:space="preserve">costs </w:t>
      </w:r>
      <w:r w:rsidRPr="00101B0D">
        <w:rPr>
          <w:rFonts w:ascii="Calibri" w:hAnsi="Calibri" w:cs="Calibri"/>
          <w:color w:val="auto"/>
          <w:sz w:val="22"/>
          <w:szCs w:val="22"/>
        </w:rPr>
        <w:t xml:space="preserve">do not vary substantially between reserve margins of </w:t>
      </w:r>
      <w:r w:rsidR="00AF7ED7">
        <w:rPr>
          <w:rFonts w:ascii="Calibri" w:hAnsi="Calibri" w:cs="Calibri"/>
          <w:color w:val="auto"/>
          <w:sz w:val="22"/>
          <w:szCs w:val="22"/>
        </w:rPr>
        <w:t>10</w:t>
      </w:r>
      <w:r w:rsidRPr="00101B0D">
        <w:rPr>
          <w:rFonts w:ascii="Calibri" w:hAnsi="Calibri" w:cs="Calibri"/>
          <w:color w:val="auto"/>
          <w:sz w:val="22"/>
          <w:szCs w:val="22"/>
        </w:rPr>
        <w:t>%–1</w:t>
      </w:r>
      <w:r w:rsidR="00AF7ED7">
        <w:rPr>
          <w:rFonts w:ascii="Calibri" w:hAnsi="Calibri" w:cs="Calibri"/>
          <w:color w:val="auto"/>
          <w:sz w:val="22"/>
          <w:szCs w:val="22"/>
        </w:rPr>
        <w:t>2</w:t>
      </w:r>
      <w:r w:rsidRPr="00101B0D">
        <w:rPr>
          <w:rFonts w:ascii="Calibri" w:hAnsi="Calibri" w:cs="Calibri"/>
          <w:color w:val="auto"/>
          <w:sz w:val="22"/>
          <w:szCs w:val="22"/>
        </w:rPr>
        <w:t>%.  However, the lower end of that range (</w:t>
      </w:r>
      <w:r w:rsidR="00AF7ED7">
        <w:rPr>
          <w:rFonts w:ascii="Calibri" w:hAnsi="Calibri" w:cs="Calibri"/>
          <w:color w:val="auto"/>
          <w:sz w:val="22"/>
          <w:szCs w:val="22"/>
        </w:rPr>
        <w:t>10</w:t>
      </w:r>
      <w:r w:rsidRPr="00101B0D">
        <w:rPr>
          <w:rFonts w:ascii="Calibri" w:hAnsi="Calibri" w:cs="Calibri"/>
          <w:color w:val="auto"/>
          <w:sz w:val="22"/>
          <w:szCs w:val="22"/>
        </w:rPr>
        <w:t>%) is associated with much more uncertainty in realized annual reliability costs, which we discuss in the next section, and a much larger number of severe, high-cost reliability events.  At the 1</w:t>
      </w:r>
      <w:r w:rsidR="00AF7ED7">
        <w:rPr>
          <w:rFonts w:ascii="Calibri" w:hAnsi="Calibri" w:cs="Calibri"/>
          <w:color w:val="auto"/>
          <w:sz w:val="22"/>
          <w:szCs w:val="22"/>
        </w:rPr>
        <w:t>2</w:t>
      </w:r>
      <w:r w:rsidRPr="00101B0D">
        <w:rPr>
          <w:rFonts w:ascii="Calibri" w:hAnsi="Calibri" w:cs="Calibri"/>
          <w:color w:val="auto"/>
          <w:sz w:val="22"/>
          <w:szCs w:val="22"/>
        </w:rPr>
        <w:t>% reserve margin, a greater proportion of total annual costs is associated with the costs of adding new units (which has less uncertainty), and a smaller proportion of the average annual costs are from uncertain, low-probability, but high-cost reliability events.</w:t>
      </w:r>
      <w:r w:rsidRPr="00101B0D">
        <w:rPr>
          <w:rStyle w:val="FootnoteReference"/>
          <w:rFonts w:ascii="Calibri" w:hAnsi="Calibri" w:cs="Calibri"/>
          <w:color w:val="auto"/>
          <w:sz w:val="22"/>
          <w:szCs w:val="22"/>
        </w:rPr>
        <w:footnoteReference w:id="25"/>
      </w:r>
      <w:r w:rsidR="009A3484">
        <w:rPr>
          <w:rFonts w:ascii="Calibri" w:hAnsi="Calibri" w:cs="Calibri"/>
          <w:color w:val="auto"/>
          <w:sz w:val="22"/>
          <w:szCs w:val="22"/>
        </w:rPr>
        <w:t xml:space="preserve"> One notable difference from the components of the EORM curve is the smaller magnitude of production cost savings. Since </w:t>
      </w:r>
      <w:r w:rsidR="00873DCC">
        <w:rPr>
          <w:rFonts w:ascii="Calibri" w:hAnsi="Calibri" w:cs="Calibri"/>
          <w:color w:val="auto"/>
          <w:sz w:val="22"/>
          <w:szCs w:val="22"/>
        </w:rPr>
        <w:t>CTs</w:t>
      </w:r>
      <w:r w:rsidR="009A3484">
        <w:rPr>
          <w:rFonts w:ascii="Calibri" w:hAnsi="Calibri" w:cs="Calibri"/>
          <w:color w:val="auto"/>
          <w:sz w:val="22"/>
          <w:szCs w:val="22"/>
        </w:rPr>
        <w:t xml:space="preserve"> are near the top of the dispatch stack, increasing penetration does not provide much incremental production cost savings.</w:t>
      </w:r>
    </w:p>
    <w:p w14:paraId="5043EBF3" w14:textId="16657637" w:rsidR="004B58AD" w:rsidRPr="00101B0D" w:rsidRDefault="004B58AD" w:rsidP="004B58AD">
      <w:pPr>
        <w:pStyle w:val="BGNormal125"/>
        <w:rPr>
          <w:rFonts w:ascii="Calibri" w:hAnsi="Calibri" w:cs="Calibri"/>
          <w:color w:val="auto"/>
          <w:sz w:val="22"/>
          <w:szCs w:val="22"/>
        </w:rPr>
      </w:pPr>
      <w:r w:rsidRPr="00101B0D">
        <w:rPr>
          <w:rFonts w:ascii="Calibri" w:hAnsi="Calibri" w:cs="Calibri"/>
          <w:color w:val="auto"/>
          <w:sz w:val="22"/>
          <w:szCs w:val="22"/>
        </w:rPr>
        <w:t xml:space="preserve">At each reserve margin level in </w:t>
      </w:r>
      <w:r w:rsidRPr="00101B0D">
        <w:rPr>
          <w:rFonts w:ascii="Calibri" w:hAnsi="Calibri" w:cs="Calibri"/>
          <w:color w:val="auto"/>
          <w:sz w:val="22"/>
          <w:szCs w:val="22"/>
        </w:rPr>
        <w:fldChar w:fldCharType="begin"/>
      </w:r>
      <w:r w:rsidRPr="00101B0D">
        <w:rPr>
          <w:rFonts w:ascii="Calibri" w:hAnsi="Calibri" w:cs="Calibri"/>
          <w:color w:val="auto"/>
          <w:sz w:val="22"/>
          <w:szCs w:val="22"/>
        </w:rPr>
        <w:instrText xml:space="preserve"> REF _Ref526325090 \h  \* MERGEFORMAT </w:instrText>
      </w:r>
      <w:r w:rsidRPr="00101B0D">
        <w:rPr>
          <w:rFonts w:ascii="Calibri" w:hAnsi="Calibri" w:cs="Calibri"/>
          <w:color w:val="auto"/>
          <w:sz w:val="22"/>
          <w:szCs w:val="22"/>
        </w:rPr>
      </w:r>
      <w:r w:rsidRPr="00101B0D">
        <w:rPr>
          <w:rFonts w:ascii="Calibri" w:hAnsi="Calibri" w:cs="Calibri"/>
          <w:color w:val="auto"/>
          <w:sz w:val="22"/>
          <w:szCs w:val="22"/>
        </w:rPr>
        <w:fldChar w:fldCharType="separate"/>
      </w:r>
      <w:r w:rsidRPr="00101B0D">
        <w:rPr>
          <w:rFonts w:ascii="Calibri" w:hAnsi="Calibri" w:cs="Calibri"/>
          <w:color w:val="auto"/>
          <w:sz w:val="22"/>
          <w:szCs w:val="22"/>
        </w:rPr>
        <w:t xml:space="preserve">Figure </w:t>
      </w:r>
      <w:r w:rsidRPr="00101B0D">
        <w:rPr>
          <w:rFonts w:ascii="Calibri" w:hAnsi="Calibri" w:cs="Calibri"/>
          <w:noProof/>
          <w:color w:val="auto"/>
          <w:sz w:val="22"/>
          <w:szCs w:val="22"/>
        </w:rPr>
        <w:t>8</w:t>
      </w:r>
      <w:r w:rsidRPr="00101B0D">
        <w:rPr>
          <w:rFonts w:ascii="Calibri" w:hAnsi="Calibri" w:cs="Calibri"/>
          <w:color w:val="auto"/>
          <w:sz w:val="22"/>
          <w:szCs w:val="22"/>
        </w:rPr>
        <w:fldChar w:fldCharType="end"/>
      </w:r>
      <w:r w:rsidRPr="00101B0D">
        <w:rPr>
          <w:rFonts w:ascii="Calibri" w:hAnsi="Calibri" w:cs="Calibri"/>
          <w:color w:val="auto"/>
          <w:sz w:val="22"/>
          <w:szCs w:val="22"/>
        </w:rPr>
        <w:t xml:space="preserve">, we show the weighted-average costs across all </w:t>
      </w:r>
      <w:r w:rsidR="000565D6">
        <w:rPr>
          <w:rFonts w:ascii="Calibri" w:hAnsi="Calibri" w:cs="Calibri"/>
          <w:color w:val="auto"/>
          <w:sz w:val="22"/>
          <w:szCs w:val="22"/>
        </w:rPr>
        <w:t>10</w:t>
      </w:r>
      <w:r w:rsidRPr="00101B0D">
        <w:rPr>
          <w:rFonts w:ascii="Calibri" w:hAnsi="Calibri" w:cs="Calibri"/>
          <w:color w:val="auto"/>
          <w:sz w:val="22"/>
          <w:szCs w:val="22"/>
        </w:rPr>
        <w:t>,</w:t>
      </w:r>
      <w:r w:rsidR="000565D6">
        <w:rPr>
          <w:rFonts w:ascii="Calibri" w:hAnsi="Calibri" w:cs="Calibri"/>
          <w:color w:val="auto"/>
          <w:sz w:val="22"/>
          <w:szCs w:val="22"/>
        </w:rPr>
        <w:t>0</w:t>
      </w:r>
      <w:r w:rsidRPr="00101B0D">
        <w:rPr>
          <w:rFonts w:ascii="Calibri" w:hAnsi="Calibri" w:cs="Calibri"/>
          <w:color w:val="auto"/>
          <w:sz w:val="22"/>
          <w:szCs w:val="22"/>
        </w:rPr>
        <w:t>00 annual simulations for several components of system costs that change with reserve margins.  We estimated each of the components of system costs based on the following assumptions:</w:t>
      </w:r>
    </w:p>
    <w:p w14:paraId="58BF9A59" w14:textId="63F6E4B8" w:rsidR="004B58AD" w:rsidRPr="00C41616" w:rsidRDefault="004B58AD" w:rsidP="00FA0DFD">
      <w:pPr>
        <w:pStyle w:val="BGBulletedList"/>
        <w:numPr>
          <w:ilvl w:val="0"/>
          <w:numId w:val="2"/>
        </w:numPr>
        <w:tabs>
          <w:tab w:val="left" w:pos="360"/>
          <w:tab w:val="left" w:pos="720"/>
        </w:tabs>
        <w:autoSpaceDE w:val="0"/>
        <w:autoSpaceDN w:val="0"/>
        <w:adjustRightInd w:val="0"/>
        <w:ind w:right="720"/>
        <w:rPr>
          <w:rFonts w:ascii="Calibri" w:hAnsi="Calibri" w:cs="Calibri"/>
          <w:color w:val="auto"/>
          <w:sz w:val="22"/>
          <w:szCs w:val="22"/>
        </w:rPr>
      </w:pPr>
      <w:r w:rsidRPr="00C41616">
        <w:rPr>
          <w:rFonts w:ascii="Calibri" w:hAnsi="Calibri" w:cs="Calibri"/>
          <w:b/>
          <w:color w:val="auto"/>
          <w:sz w:val="22"/>
          <w:szCs w:val="22"/>
        </w:rPr>
        <w:t>Marginal CT Capital Costs</w:t>
      </w:r>
      <w:r w:rsidRPr="00C41616">
        <w:rPr>
          <w:rFonts w:ascii="Calibri" w:hAnsi="Calibri" w:cs="Calibri"/>
          <w:color w:val="auto"/>
          <w:sz w:val="22"/>
          <w:szCs w:val="22"/>
        </w:rPr>
        <w:t xml:space="preserve"> are the annualized fixed costs associated with building CT plants</w:t>
      </w:r>
      <w:r w:rsidR="00A65044" w:rsidRPr="00C41616">
        <w:rPr>
          <w:rFonts w:ascii="Calibri" w:hAnsi="Calibri" w:cs="Calibri"/>
          <w:color w:val="auto"/>
          <w:sz w:val="22"/>
          <w:szCs w:val="22"/>
        </w:rPr>
        <w:t xml:space="preserve"> at a cost of </w:t>
      </w:r>
      <w:r w:rsidRPr="00C41616">
        <w:rPr>
          <w:rFonts w:ascii="Calibri" w:hAnsi="Calibri" w:cs="Calibri"/>
          <w:color w:val="auto"/>
          <w:sz w:val="22"/>
          <w:szCs w:val="22"/>
        </w:rPr>
        <w:t>$</w:t>
      </w:r>
      <w:r w:rsidR="00101B0D">
        <w:rPr>
          <w:rFonts w:ascii="Calibri" w:hAnsi="Calibri" w:cs="Calibri"/>
          <w:color w:val="auto"/>
          <w:sz w:val="22"/>
          <w:szCs w:val="22"/>
        </w:rPr>
        <w:t>93.5</w:t>
      </w:r>
      <w:r w:rsidRPr="00C41616">
        <w:rPr>
          <w:rFonts w:ascii="Calibri" w:hAnsi="Calibri" w:cs="Calibri"/>
          <w:color w:val="auto"/>
          <w:sz w:val="22"/>
          <w:szCs w:val="22"/>
        </w:rPr>
        <w:t>/kW-year in the Base Case.</w:t>
      </w:r>
    </w:p>
    <w:p w14:paraId="499136B3" w14:textId="7EB3AEB6" w:rsidR="004B58AD" w:rsidRPr="00084B9A"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C00000"/>
          <w:sz w:val="22"/>
          <w:szCs w:val="22"/>
        </w:rPr>
      </w:pPr>
      <w:r w:rsidRPr="00C41616">
        <w:rPr>
          <w:rFonts w:ascii="Calibri" w:hAnsi="Calibri" w:cs="Calibri"/>
          <w:b/>
          <w:color w:val="auto"/>
          <w:sz w:val="22"/>
          <w:szCs w:val="22"/>
        </w:rPr>
        <w:t>Production Costs (</w:t>
      </w:r>
      <w:r w:rsidRPr="00101B0D">
        <w:rPr>
          <w:rFonts w:ascii="Calibri" w:hAnsi="Calibri" w:cs="Calibri"/>
          <w:b/>
          <w:color w:val="auto"/>
          <w:sz w:val="22"/>
          <w:szCs w:val="22"/>
        </w:rPr>
        <w:t>Above $</w:t>
      </w:r>
      <w:r w:rsidR="00101B0D" w:rsidRPr="00101B0D">
        <w:rPr>
          <w:rFonts w:ascii="Calibri" w:hAnsi="Calibri" w:cs="Calibri"/>
          <w:b/>
          <w:color w:val="auto"/>
          <w:sz w:val="22"/>
          <w:szCs w:val="22"/>
        </w:rPr>
        <w:t>5.2</w:t>
      </w:r>
      <w:r w:rsidRPr="00101B0D">
        <w:rPr>
          <w:rFonts w:ascii="Calibri" w:hAnsi="Calibri" w:cs="Calibri"/>
          <w:b/>
          <w:color w:val="auto"/>
          <w:sz w:val="22"/>
          <w:szCs w:val="22"/>
        </w:rPr>
        <w:t xml:space="preserve"> billion per year Baseline)</w:t>
      </w:r>
      <w:r w:rsidRPr="00101B0D">
        <w:rPr>
          <w:rFonts w:ascii="Calibri" w:hAnsi="Calibri" w:cs="Calibri"/>
          <w:color w:val="auto"/>
          <w:sz w:val="22"/>
          <w:szCs w:val="22"/>
        </w:rPr>
        <w:t xml:space="preserve"> are total system production costs of all resources above an arbitrary baseline cost of $</w:t>
      </w:r>
      <w:r w:rsidR="00101B0D" w:rsidRPr="00101B0D">
        <w:rPr>
          <w:rFonts w:ascii="Calibri" w:hAnsi="Calibri" w:cs="Calibri"/>
          <w:color w:val="auto"/>
          <w:sz w:val="22"/>
          <w:szCs w:val="22"/>
        </w:rPr>
        <w:t>5.2</w:t>
      </w:r>
      <w:r w:rsidRPr="00101B0D">
        <w:rPr>
          <w:rFonts w:ascii="Calibri" w:hAnsi="Calibri" w:cs="Calibri"/>
          <w:color w:val="auto"/>
          <w:sz w:val="22"/>
          <w:szCs w:val="22"/>
        </w:rPr>
        <w:t xml:space="preserve"> billion.  We show only a portion of total system costs as an individual slice on the chart in order to avoid having production costs dwarf the magnitude of other cost components and subtract the same $</w:t>
      </w:r>
      <w:r w:rsidR="00101B0D" w:rsidRPr="00101B0D">
        <w:rPr>
          <w:rFonts w:ascii="Calibri" w:hAnsi="Calibri" w:cs="Calibri"/>
          <w:color w:val="auto"/>
          <w:sz w:val="22"/>
          <w:szCs w:val="22"/>
        </w:rPr>
        <w:t>5.2</w:t>
      </w:r>
      <w:r w:rsidRPr="00101B0D">
        <w:rPr>
          <w:rFonts w:ascii="Calibri" w:hAnsi="Calibri" w:cs="Calibri"/>
          <w:color w:val="auto"/>
          <w:sz w:val="22"/>
          <w:szCs w:val="22"/>
        </w:rPr>
        <w:t xml:space="preserve"> billion </w:t>
      </w:r>
      <w:r w:rsidRPr="00C41616">
        <w:rPr>
          <w:rFonts w:ascii="Calibri" w:hAnsi="Calibri" w:cs="Calibri"/>
          <w:color w:val="auto"/>
          <w:sz w:val="22"/>
          <w:szCs w:val="22"/>
        </w:rPr>
        <w:t xml:space="preserve">at all reserve margins shown. Production costs decrease at higher reserve margins because adding efficient new gas CTs reduces the need to dispatch higher-cost </w:t>
      </w:r>
      <w:proofErr w:type="spellStart"/>
      <w:r w:rsidRPr="00C41616">
        <w:rPr>
          <w:rFonts w:ascii="Calibri" w:hAnsi="Calibri" w:cs="Calibri"/>
          <w:color w:val="auto"/>
          <w:sz w:val="22"/>
          <w:szCs w:val="22"/>
        </w:rPr>
        <w:t>peakers</w:t>
      </w:r>
      <w:proofErr w:type="spellEnd"/>
      <w:r w:rsidRPr="00C41616">
        <w:rPr>
          <w:rFonts w:ascii="Calibri" w:hAnsi="Calibri" w:cs="Calibri"/>
          <w:color w:val="auto"/>
          <w:sz w:val="22"/>
          <w:szCs w:val="22"/>
        </w:rPr>
        <w:t>.</w:t>
      </w:r>
    </w:p>
    <w:p w14:paraId="62EC6038" w14:textId="77777777" w:rsidR="004B58AD" w:rsidRPr="00C41616"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auto"/>
          <w:sz w:val="22"/>
          <w:szCs w:val="22"/>
        </w:rPr>
      </w:pPr>
      <w:r w:rsidRPr="00C41616">
        <w:rPr>
          <w:rFonts w:ascii="Calibri" w:hAnsi="Calibri" w:cs="Calibri"/>
          <w:b/>
          <w:color w:val="auto"/>
          <w:sz w:val="22"/>
          <w:szCs w:val="22"/>
        </w:rPr>
        <w:t>External System Costs (Above Baseline)</w:t>
      </w:r>
      <w:r w:rsidRPr="00C41616">
        <w:rPr>
          <w:rFonts w:ascii="Calibri" w:hAnsi="Calibri" w:cs="Calibri"/>
          <w:color w:val="auto"/>
          <w:sz w:val="22"/>
          <w:szCs w:val="22"/>
        </w:rPr>
        <w:t xml:space="preserve"> include production and scarcity costs in neighboring regions above an arbitrary baseline, which drop by a small amount with increasing reserve margins because ERCOT will rely less on imports from high-cost external </w:t>
      </w:r>
      <w:proofErr w:type="spellStart"/>
      <w:r w:rsidRPr="00C41616">
        <w:rPr>
          <w:rFonts w:ascii="Calibri" w:hAnsi="Calibri" w:cs="Calibri"/>
          <w:color w:val="auto"/>
          <w:sz w:val="22"/>
          <w:szCs w:val="22"/>
        </w:rPr>
        <w:t>peakers</w:t>
      </w:r>
      <w:proofErr w:type="spellEnd"/>
      <w:r w:rsidRPr="00C41616">
        <w:rPr>
          <w:rFonts w:ascii="Calibri" w:hAnsi="Calibri" w:cs="Calibri"/>
          <w:color w:val="auto"/>
          <w:sz w:val="22"/>
          <w:szCs w:val="22"/>
        </w:rPr>
        <w:t xml:space="preserve"> during internal scarcity events, and may be able to export more supply during external scarcity events.</w:t>
      </w:r>
      <w:r w:rsidRPr="00C41616">
        <w:rPr>
          <w:rStyle w:val="FootnoteReference"/>
          <w:rFonts w:ascii="Calibri" w:hAnsi="Calibri" w:cs="Calibri"/>
          <w:color w:val="auto"/>
          <w:sz w:val="22"/>
          <w:szCs w:val="22"/>
        </w:rPr>
        <w:footnoteReference w:id="26"/>
      </w:r>
    </w:p>
    <w:p w14:paraId="21343377" w14:textId="620AD7D7" w:rsidR="004B58AD" w:rsidRPr="00A65044"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auto"/>
          <w:sz w:val="22"/>
          <w:szCs w:val="22"/>
        </w:rPr>
      </w:pPr>
      <w:r w:rsidRPr="00A65044">
        <w:rPr>
          <w:rFonts w:ascii="Calibri" w:hAnsi="Calibri" w:cs="Calibri"/>
          <w:b/>
          <w:color w:val="auto"/>
          <w:sz w:val="22"/>
          <w:szCs w:val="22"/>
        </w:rPr>
        <w:t>Emergency Generation</w:t>
      </w:r>
      <w:r w:rsidRPr="00A65044">
        <w:rPr>
          <w:rFonts w:ascii="Calibri" w:hAnsi="Calibri" w:cs="Calibri"/>
          <w:color w:val="auto"/>
          <w:sz w:val="22"/>
          <w:szCs w:val="22"/>
        </w:rPr>
        <w:t xml:space="preserve"> is the price-driven dispatch of units outputting at high levels above their summer peak ratings at an assumed cost of $</w:t>
      </w:r>
      <w:r w:rsidR="00101B0D">
        <w:rPr>
          <w:rFonts w:ascii="Calibri" w:hAnsi="Calibri" w:cs="Calibri"/>
          <w:color w:val="auto"/>
          <w:sz w:val="22"/>
          <w:szCs w:val="22"/>
        </w:rPr>
        <w:t>1</w:t>
      </w:r>
      <w:r w:rsidRPr="00A65044">
        <w:rPr>
          <w:rFonts w:ascii="Calibri" w:hAnsi="Calibri" w:cs="Calibri"/>
          <w:color w:val="auto"/>
          <w:sz w:val="22"/>
          <w:szCs w:val="22"/>
        </w:rPr>
        <w:t>,</w:t>
      </w:r>
      <w:r w:rsidR="00101B0D">
        <w:rPr>
          <w:rFonts w:ascii="Calibri" w:hAnsi="Calibri" w:cs="Calibri"/>
          <w:color w:val="auto"/>
          <w:sz w:val="22"/>
          <w:szCs w:val="22"/>
        </w:rPr>
        <w:t>372</w:t>
      </w:r>
      <w:r w:rsidRPr="00A65044">
        <w:rPr>
          <w:rFonts w:ascii="Calibri" w:hAnsi="Calibri" w:cs="Calibri"/>
          <w:color w:val="auto"/>
          <w:sz w:val="22"/>
          <w:szCs w:val="22"/>
        </w:rPr>
        <w:t>/MWh, see Appendix 1.</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_Ref526444149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E</w:t>
      </w:r>
      <w:r w:rsidRPr="00A65044">
        <w:rPr>
          <w:rFonts w:ascii="Calibri" w:hAnsi="Calibri" w:cs="Calibri"/>
          <w:color w:val="auto"/>
          <w:sz w:val="22"/>
          <w:szCs w:val="22"/>
        </w:rPr>
        <w:fldChar w:fldCharType="end"/>
      </w:r>
      <w:r w:rsidRPr="00A65044">
        <w:rPr>
          <w:rFonts w:ascii="Calibri" w:hAnsi="Calibri" w:cs="Calibri"/>
          <w:color w:val="auto"/>
          <w:sz w:val="22"/>
          <w:szCs w:val="22"/>
        </w:rPr>
        <w:t>.</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_Ref526444160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3</w:t>
      </w:r>
      <w:r w:rsidRPr="00A65044">
        <w:rPr>
          <w:rFonts w:ascii="Calibri" w:hAnsi="Calibri" w:cs="Calibri"/>
          <w:color w:val="auto"/>
          <w:sz w:val="22"/>
          <w:szCs w:val="22"/>
        </w:rPr>
        <w:fldChar w:fldCharType="end"/>
      </w:r>
      <w:r w:rsidRPr="00A65044">
        <w:rPr>
          <w:rFonts w:ascii="Calibri" w:hAnsi="Calibri" w:cs="Calibri"/>
          <w:color w:val="auto"/>
          <w:sz w:val="22"/>
          <w:szCs w:val="22"/>
        </w:rPr>
        <w:t>.</w:t>
      </w:r>
    </w:p>
    <w:p w14:paraId="6AA71E04" w14:textId="1BE630AB" w:rsidR="004B58AD" w:rsidRPr="00A65044"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auto"/>
          <w:sz w:val="22"/>
          <w:szCs w:val="22"/>
        </w:rPr>
      </w:pPr>
      <w:r w:rsidRPr="00A65044">
        <w:rPr>
          <w:rFonts w:ascii="Calibri" w:hAnsi="Calibri" w:cs="Calibri"/>
          <w:b/>
          <w:color w:val="auto"/>
          <w:sz w:val="22"/>
          <w:szCs w:val="22"/>
        </w:rPr>
        <w:t>10-Minute and 30-Minute ERS</w:t>
      </w:r>
      <w:r w:rsidRPr="00A65044">
        <w:rPr>
          <w:rFonts w:ascii="Calibri" w:hAnsi="Calibri" w:cs="Calibri"/>
          <w:color w:val="auto"/>
          <w:sz w:val="22"/>
          <w:szCs w:val="22"/>
        </w:rPr>
        <w:t xml:space="preserve"> is the cost of dispatching these resources during emergency events at assumed costs of $</w:t>
      </w:r>
      <w:r w:rsidR="00101B0D">
        <w:rPr>
          <w:rFonts w:ascii="Calibri" w:hAnsi="Calibri" w:cs="Calibri"/>
          <w:color w:val="auto"/>
          <w:sz w:val="22"/>
          <w:szCs w:val="22"/>
        </w:rPr>
        <w:t>2,469</w:t>
      </w:r>
      <w:r w:rsidRPr="00A65044">
        <w:rPr>
          <w:rFonts w:ascii="Calibri" w:hAnsi="Calibri" w:cs="Calibri"/>
          <w:color w:val="auto"/>
          <w:sz w:val="22"/>
          <w:szCs w:val="22"/>
        </w:rPr>
        <w:t xml:space="preserve"> and $</w:t>
      </w:r>
      <w:r w:rsidR="00101B0D">
        <w:rPr>
          <w:rFonts w:ascii="Calibri" w:hAnsi="Calibri" w:cs="Calibri"/>
          <w:color w:val="auto"/>
          <w:sz w:val="22"/>
          <w:szCs w:val="22"/>
        </w:rPr>
        <w:t>1,372</w:t>
      </w:r>
      <w:r w:rsidRPr="00A65044">
        <w:rPr>
          <w:rFonts w:ascii="Calibri" w:hAnsi="Calibri" w:cs="Calibri"/>
          <w:color w:val="auto"/>
          <w:sz w:val="22"/>
          <w:szCs w:val="22"/>
        </w:rPr>
        <w:t>/MWh for 10-minute and 30-minute ERS respectively, see Appendix 1.</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_Ref522192972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C</w:t>
      </w:r>
      <w:r w:rsidRPr="00A65044">
        <w:rPr>
          <w:rFonts w:ascii="Calibri" w:hAnsi="Calibri" w:cs="Calibri"/>
          <w:color w:val="auto"/>
          <w:sz w:val="22"/>
          <w:szCs w:val="22"/>
        </w:rPr>
        <w:fldChar w:fldCharType="end"/>
      </w:r>
      <w:r w:rsidRPr="00A65044">
        <w:rPr>
          <w:rFonts w:ascii="Calibri" w:hAnsi="Calibri" w:cs="Calibri"/>
          <w:color w:val="auto"/>
          <w:sz w:val="22"/>
          <w:szCs w:val="22"/>
        </w:rPr>
        <w:t>.</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_Ref526444187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1</w:t>
      </w:r>
      <w:r w:rsidRPr="00A65044">
        <w:rPr>
          <w:rFonts w:ascii="Calibri" w:hAnsi="Calibri" w:cs="Calibri"/>
          <w:color w:val="auto"/>
          <w:sz w:val="22"/>
          <w:szCs w:val="22"/>
        </w:rPr>
        <w:fldChar w:fldCharType="end"/>
      </w:r>
      <w:r w:rsidRPr="00A65044">
        <w:rPr>
          <w:rFonts w:ascii="Calibri" w:hAnsi="Calibri" w:cs="Calibri"/>
          <w:color w:val="auto"/>
          <w:sz w:val="22"/>
          <w:szCs w:val="22"/>
        </w:rPr>
        <w:t>.</w:t>
      </w:r>
    </w:p>
    <w:p w14:paraId="28376BBA" w14:textId="53FD8977" w:rsidR="004B58AD" w:rsidRPr="00A65044"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auto"/>
          <w:sz w:val="22"/>
          <w:szCs w:val="22"/>
        </w:rPr>
      </w:pPr>
      <w:r w:rsidRPr="00A65044">
        <w:rPr>
          <w:rFonts w:ascii="Calibri" w:hAnsi="Calibri" w:cs="Calibri"/>
          <w:b/>
          <w:color w:val="auto"/>
          <w:sz w:val="22"/>
          <w:szCs w:val="22"/>
        </w:rPr>
        <w:t xml:space="preserve">Non-Controllable LR </w:t>
      </w:r>
      <w:r w:rsidRPr="00A65044">
        <w:rPr>
          <w:rFonts w:ascii="Calibri" w:hAnsi="Calibri" w:cs="Calibri"/>
          <w:color w:val="auto"/>
          <w:sz w:val="22"/>
          <w:szCs w:val="22"/>
        </w:rPr>
        <w:t>costs reflect the cost of administratively re-dispatching LRs from supplying Responsive Reserve Service (RRS) to supplying energy at a cost of $</w:t>
      </w:r>
      <w:r w:rsidR="00101B0D">
        <w:rPr>
          <w:rFonts w:ascii="Calibri" w:hAnsi="Calibri" w:cs="Calibri"/>
          <w:color w:val="auto"/>
          <w:sz w:val="22"/>
          <w:szCs w:val="22"/>
        </w:rPr>
        <w:t>2,469</w:t>
      </w:r>
      <w:r w:rsidRPr="00A65044">
        <w:rPr>
          <w:rFonts w:ascii="Calibri" w:hAnsi="Calibri" w:cs="Calibri"/>
          <w:color w:val="auto"/>
          <w:sz w:val="22"/>
          <w:szCs w:val="22"/>
        </w:rPr>
        <w:t>/MWh during emergencies, see Appendix 1.</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_Ref522192972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C</w:t>
      </w:r>
      <w:r w:rsidRPr="00A65044">
        <w:rPr>
          <w:rFonts w:ascii="Calibri" w:hAnsi="Calibri" w:cs="Calibri"/>
          <w:color w:val="auto"/>
          <w:sz w:val="22"/>
          <w:szCs w:val="22"/>
        </w:rPr>
        <w:fldChar w:fldCharType="end"/>
      </w:r>
      <w:r w:rsidRPr="00A65044">
        <w:rPr>
          <w:rFonts w:ascii="Calibri" w:hAnsi="Calibri" w:cs="Calibri"/>
          <w:color w:val="auto"/>
          <w:sz w:val="22"/>
          <w:szCs w:val="22"/>
        </w:rPr>
        <w:t>.</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_Ref526444226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2</w:t>
      </w:r>
      <w:r w:rsidRPr="00A65044">
        <w:rPr>
          <w:rFonts w:ascii="Calibri" w:hAnsi="Calibri" w:cs="Calibri"/>
          <w:color w:val="auto"/>
          <w:sz w:val="22"/>
          <w:szCs w:val="22"/>
        </w:rPr>
        <w:fldChar w:fldCharType="end"/>
      </w:r>
      <w:r w:rsidRPr="00A65044">
        <w:rPr>
          <w:rFonts w:ascii="Calibri" w:hAnsi="Calibri" w:cs="Calibri"/>
          <w:color w:val="auto"/>
          <w:sz w:val="22"/>
          <w:szCs w:val="22"/>
        </w:rPr>
        <w:t>.</w:t>
      </w:r>
    </w:p>
    <w:p w14:paraId="712C841A" w14:textId="06C4B4B7" w:rsidR="004B58AD" w:rsidRPr="00A65044"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auto"/>
          <w:sz w:val="22"/>
          <w:szCs w:val="22"/>
        </w:rPr>
      </w:pPr>
      <w:r w:rsidRPr="00A65044">
        <w:rPr>
          <w:rFonts w:ascii="Calibri" w:hAnsi="Calibri" w:cs="Calibri"/>
          <w:b/>
          <w:color w:val="auto"/>
          <w:sz w:val="22"/>
          <w:szCs w:val="22"/>
        </w:rPr>
        <w:t>TDSP Load Management</w:t>
      </w:r>
      <w:r w:rsidRPr="00A65044">
        <w:rPr>
          <w:rFonts w:ascii="Calibri" w:hAnsi="Calibri" w:cs="Calibri"/>
          <w:color w:val="auto"/>
          <w:sz w:val="22"/>
          <w:szCs w:val="22"/>
        </w:rPr>
        <w:t xml:space="preserve"> costs are incurred when ERCOT administratively orders these demand-side resources to curtail during emergencies at an assumed cost of $</w:t>
      </w:r>
      <w:r w:rsidR="00101B0D">
        <w:rPr>
          <w:rFonts w:ascii="Calibri" w:hAnsi="Calibri" w:cs="Calibri"/>
          <w:color w:val="auto"/>
          <w:sz w:val="22"/>
          <w:szCs w:val="22"/>
        </w:rPr>
        <w:t>2,469</w:t>
      </w:r>
      <w:r w:rsidRPr="00A65044">
        <w:rPr>
          <w:rFonts w:ascii="Calibri" w:hAnsi="Calibri" w:cs="Calibri"/>
          <w:color w:val="auto"/>
          <w:sz w:val="22"/>
          <w:szCs w:val="22"/>
        </w:rPr>
        <w:t>/MWh, see Appendix 1.</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_Ref526444249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E</w:t>
      </w:r>
      <w:r w:rsidRPr="00A65044">
        <w:rPr>
          <w:rFonts w:ascii="Calibri" w:hAnsi="Calibri" w:cs="Calibri"/>
          <w:color w:val="auto"/>
          <w:sz w:val="22"/>
          <w:szCs w:val="22"/>
        </w:rPr>
        <w:fldChar w:fldCharType="end"/>
      </w:r>
      <w:r w:rsidRPr="00A65044">
        <w:rPr>
          <w:rFonts w:ascii="Calibri" w:hAnsi="Calibri" w:cs="Calibri"/>
          <w:color w:val="auto"/>
          <w:sz w:val="22"/>
          <w:szCs w:val="22"/>
        </w:rPr>
        <w:t>.</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_Ref526444258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2</w:t>
      </w:r>
      <w:r w:rsidRPr="00A65044">
        <w:rPr>
          <w:rFonts w:ascii="Calibri" w:hAnsi="Calibri" w:cs="Calibri"/>
          <w:color w:val="auto"/>
          <w:sz w:val="22"/>
          <w:szCs w:val="22"/>
        </w:rPr>
        <w:fldChar w:fldCharType="end"/>
      </w:r>
      <w:r w:rsidRPr="00A65044">
        <w:rPr>
          <w:rFonts w:ascii="Calibri" w:hAnsi="Calibri" w:cs="Calibri"/>
          <w:color w:val="auto"/>
          <w:sz w:val="22"/>
          <w:szCs w:val="22"/>
        </w:rPr>
        <w:t>.</w:t>
      </w:r>
    </w:p>
    <w:p w14:paraId="53D4C8DD" w14:textId="0C137A63" w:rsidR="004B58AD" w:rsidRPr="00A65044"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auto"/>
          <w:sz w:val="22"/>
          <w:szCs w:val="22"/>
        </w:rPr>
      </w:pPr>
      <w:r w:rsidRPr="00A65044">
        <w:rPr>
          <w:rFonts w:ascii="Calibri" w:hAnsi="Calibri" w:cs="Calibri"/>
          <w:b/>
          <w:color w:val="auto"/>
          <w:sz w:val="22"/>
          <w:szCs w:val="22"/>
        </w:rPr>
        <w:t xml:space="preserve">Spinning and Non-Spinning Reserve Scarcity </w:t>
      </w:r>
      <w:r w:rsidRPr="00A65044">
        <w:rPr>
          <w:rFonts w:ascii="Calibri" w:hAnsi="Calibri" w:cs="Calibri"/>
          <w:color w:val="auto"/>
          <w:sz w:val="22"/>
          <w:szCs w:val="22"/>
        </w:rPr>
        <w:t>costs are calculated as the area under the ORDC curve, calculated assuming load would be shed at X = 1,000 MW, see Appendix 1.</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_Ref526444286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E</w:t>
      </w:r>
      <w:r w:rsidRPr="00A65044">
        <w:rPr>
          <w:rFonts w:ascii="Calibri" w:hAnsi="Calibri" w:cs="Calibri"/>
          <w:color w:val="auto"/>
          <w:sz w:val="22"/>
          <w:szCs w:val="22"/>
        </w:rPr>
        <w:fldChar w:fldCharType="end"/>
      </w:r>
      <w:r w:rsidRPr="00A65044">
        <w:rPr>
          <w:rFonts w:ascii="Calibri" w:hAnsi="Calibri" w:cs="Calibri"/>
          <w:color w:val="auto"/>
          <w:sz w:val="22"/>
          <w:szCs w:val="22"/>
        </w:rPr>
        <w:t>.</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_Ref526444294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4</w:t>
      </w:r>
      <w:r w:rsidRPr="00A65044">
        <w:rPr>
          <w:rFonts w:ascii="Calibri" w:hAnsi="Calibri" w:cs="Calibri"/>
          <w:color w:val="auto"/>
          <w:sz w:val="22"/>
          <w:szCs w:val="22"/>
        </w:rPr>
        <w:fldChar w:fldCharType="end"/>
      </w:r>
      <w:r w:rsidRPr="00A65044">
        <w:rPr>
          <w:rFonts w:ascii="Calibri" w:hAnsi="Calibri" w:cs="Calibri"/>
          <w:color w:val="auto"/>
          <w:sz w:val="22"/>
          <w:szCs w:val="22"/>
        </w:rPr>
        <w:t>.</w:t>
      </w:r>
    </w:p>
    <w:p w14:paraId="252AA406" w14:textId="3CC55D62" w:rsidR="004B58AD" w:rsidRPr="00A65044" w:rsidRDefault="004B58AD" w:rsidP="00FA0DFD">
      <w:pPr>
        <w:pStyle w:val="BGBulletedList"/>
        <w:numPr>
          <w:ilvl w:val="0"/>
          <w:numId w:val="2"/>
        </w:numPr>
        <w:tabs>
          <w:tab w:val="left" w:pos="360"/>
          <w:tab w:val="left" w:pos="720"/>
        </w:tabs>
        <w:autoSpaceDE w:val="0"/>
        <w:autoSpaceDN w:val="0"/>
        <w:adjustRightInd w:val="0"/>
        <w:spacing w:before="60"/>
        <w:ind w:right="720"/>
        <w:rPr>
          <w:rFonts w:ascii="Calibri" w:hAnsi="Calibri" w:cs="Calibri"/>
          <w:color w:val="auto"/>
          <w:sz w:val="22"/>
          <w:szCs w:val="22"/>
        </w:rPr>
      </w:pPr>
      <w:r w:rsidRPr="00A65044">
        <w:rPr>
          <w:rFonts w:ascii="Calibri" w:hAnsi="Calibri" w:cs="Calibri"/>
          <w:b/>
          <w:color w:val="auto"/>
          <w:sz w:val="22"/>
          <w:szCs w:val="22"/>
        </w:rPr>
        <w:t xml:space="preserve">Regulation Scarcity </w:t>
      </w:r>
      <w:r w:rsidRPr="00A65044">
        <w:rPr>
          <w:rFonts w:ascii="Calibri" w:hAnsi="Calibri" w:cs="Calibri"/>
          <w:color w:val="auto"/>
          <w:sz w:val="22"/>
          <w:szCs w:val="22"/>
        </w:rPr>
        <w:t>costs are calculated according to the Power Balance Penalty Curve (PBPC) assuming that this curve accurately reflects the marginal cost of running short on regulating reserves, see Appendix 1.</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_Ref526444317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E</w:t>
      </w:r>
      <w:r w:rsidRPr="00A65044">
        <w:rPr>
          <w:rFonts w:ascii="Calibri" w:hAnsi="Calibri" w:cs="Calibri"/>
          <w:color w:val="auto"/>
          <w:sz w:val="22"/>
          <w:szCs w:val="22"/>
        </w:rPr>
        <w:fldChar w:fldCharType="end"/>
      </w:r>
      <w:r w:rsidRPr="00A65044">
        <w:rPr>
          <w:rFonts w:ascii="Calibri" w:hAnsi="Calibri" w:cs="Calibri"/>
          <w:color w:val="auto"/>
          <w:sz w:val="22"/>
          <w:szCs w:val="22"/>
        </w:rPr>
        <w:t>.</w:t>
      </w:r>
      <w:r w:rsidRPr="00A65044">
        <w:rPr>
          <w:rFonts w:ascii="Calibri" w:hAnsi="Calibri" w:cs="Calibri"/>
          <w:color w:val="auto"/>
          <w:sz w:val="22"/>
          <w:szCs w:val="22"/>
        </w:rPr>
        <w:fldChar w:fldCharType="begin"/>
      </w:r>
      <w:r w:rsidRPr="00A65044">
        <w:rPr>
          <w:rFonts w:ascii="Calibri" w:hAnsi="Calibri" w:cs="Calibri"/>
          <w:color w:val="auto"/>
          <w:sz w:val="22"/>
          <w:szCs w:val="22"/>
        </w:rPr>
        <w:instrText xml:space="preserve"> REF _Ref526444325 \n \h </w:instrText>
      </w:r>
      <w:r w:rsidR="00084B9A" w:rsidRPr="00A65044">
        <w:rPr>
          <w:rFonts w:ascii="Calibri" w:hAnsi="Calibri" w:cs="Calibri"/>
          <w:color w:val="auto"/>
          <w:sz w:val="22"/>
          <w:szCs w:val="22"/>
        </w:rPr>
        <w:instrText xml:space="preserve"> \* MERGEFORMAT </w:instrText>
      </w:r>
      <w:r w:rsidRPr="00A65044">
        <w:rPr>
          <w:rFonts w:ascii="Calibri" w:hAnsi="Calibri" w:cs="Calibri"/>
          <w:color w:val="auto"/>
          <w:sz w:val="22"/>
          <w:szCs w:val="22"/>
        </w:rPr>
      </w:r>
      <w:r w:rsidRPr="00A65044">
        <w:rPr>
          <w:rFonts w:ascii="Calibri" w:hAnsi="Calibri" w:cs="Calibri"/>
          <w:color w:val="auto"/>
          <w:sz w:val="22"/>
          <w:szCs w:val="22"/>
        </w:rPr>
        <w:fldChar w:fldCharType="separate"/>
      </w:r>
      <w:r w:rsidRPr="00A65044">
        <w:rPr>
          <w:rFonts w:ascii="Calibri" w:hAnsi="Calibri" w:cs="Calibri"/>
          <w:color w:val="auto"/>
          <w:sz w:val="22"/>
          <w:szCs w:val="22"/>
        </w:rPr>
        <w:t>5</w:t>
      </w:r>
      <w:r w:rsidRPr="00A65044">
        <w:rPr>
          <w:rFonts w:ascii="Calibri" w:hAnsi="Calibri" w:cs="Calibri"/>
          <w:color w:val="auto"/>
          <w:sz w:val="22"/>
          <w:szCs w:val="22"/>
        </w:rPr>
        <w:fldChar w:fldCharType="end"/>
      </w:r>
      <w:r w:rsidRPr="00A65044">
        <w:rPr>
          <w:rFonts w:ascii="Calibri" w:hAnsi="Calibri" w:cs="Calibri"/>
          <w:color w:val="auto"/>
          <w:sz w:val="22"/>
          <w:szCs w:val="22"/>
        </w:rPr>
        <w:t>.</w:t>
      </w:r>
    </w:p>
    <w:p w14:paraId="375D0833" w14:textId="62C00699" w:rsidR="009A3484" w:rsidRPr="00077409" w:rsidRDefault="004B58AD" w:rsidP="00077409">
      <w:pPr>
        <w:pStyle w:val="BGBulletedList"/>
        <w:numPr>
          <w:ilvl w:val="0"/>
          <w:numId w:val="2"/>
        </w:numPr>
        <w:tabs>
          <w:tab w:val="left" w:pos="360"/>
          <w:tab w:val="left" w:pos="720"/>
        </w:tabs>
        <w:autoSpaceDE w:val="0"/>
        <w:autoSpaceDN w:val="0"/>
        <w:adjustRightInd w:val="0"/>
        <w:spacing w:before="60" w:after="240"/>
        <w:ind w:right="720"/>
        <w:rPr>
          <w:rFonts w:ascii="Calibri" w:hAnsi="Calibri" w:cs="Calibri"/>
          <w:color w:val="auto"/>
          <w:sz w:val="22"/>
          <w:szCs w:val="22"/>
        </w:rPr>
      </w:pPr>
      <w:r w:rsidRPr="00A65044">
        <w:rPr>
          <w:rFonts w:ascii="Calibri" w:hAnsi="Calibri" w:cs="Calibri"/>
          <w:b/>
          <w:color w:val="auto"/>
          <w:sz w:val="22"/>
          <w:szCs w:val="22"/>
        </w:rPr>
        <w:t>Firm Load Shedding</w:t>
      </w:r>
      <w:r w:rsidRPr="00A65044">
        <w:rPr>
          <w:rFonts w:ascii="Calibri" w:hAnsi="Calibri" w:cs="Calibri"/>
          <w:color w:val="auto"/>
          <w:sz w:val="22"/>
          <w:szCs w:val="22"/>
        </w:rPr>
        <w:t xml:space="preserve"> costs are the customer costs imposed during load-shed events at a cost at the assumed VOLL of $9,000/MWh.</w:t>
      </w:r>
    </w:p>
    <w:p w14:paraId="7AB1684F" w14:textId="19F85290" w:rsidR="004B58AD" w:rsidRDefault="004B58AD" w:rsidP="00FA0DFD">
      <w:pPr>
        <w:pStyle w:val="Heading3"/>
        <w:numPr>
          <w:ilvl w:val="0"/>
          <w:numId w:val="14"/>
        </w:numPr>
      </w:pPr>
      <w:bookmarkStart w:id="155" w:name="_Toc525079591"/>
      <w:bookmarkStart w:id="156" w:name="_Toc525851015"/>
      <w:bookmarkStart w:id="157" w:name="_Toc525938052"/>
      <w:bookmarkStart w:id="158" w:name="_Toc526279108"/>
      <w:bookmarkStart w:id="159" w:name="_Toc526437265"/>
      <w:bookmarkStart w:id="160" w:name="_Toc526439908"/>
      <w:bookmarkStart w:id="161" w:name="_Toc526440018"/>
      <w:bookmarkStart w:id="162" w:name="_Toc532834295"/>
      <w:bookmarkStart w:id="163" w:name="_Toc57193567"/>
      <w:r>
        <w:t>Exposure to Extreme Scarcity Events</w:t>
      </w:r>
      <w:bookmarkEnd w:id="155"/>
      <w:bookmarkEnd w:id="156"/>
      <w:bookmarkEnd w:id="157"/>
      <w:bookmarkEnd w:id="158"/>
      <w:bookmarkEnd w:id="159"/>
      <w:bookmarkEnd w:id="160"/>
      <w:bookmarkEnd w:id="161"/>
      <w:bookmarkEnd w:id="162"/>
      <w:bookmarkEnd w:id="163"/>
    </w:p>
    <w:p w14:paraId="02FBA6D9" w14:textId="520990F3" w:rsidR="004B58AD" w:rsidRPr="004801F8" w:rsidRDefault="004B58AD" w:rsidP="004B58AD">
      <w:pPr>
        <w:pStyle w:val="BGNormal125"/>
        <w:rPr>
          <w:rFonts w:ascii="Calibri" w:hAnsi="Calibri" w:cs="Calibri"/>
          <w:color w:val="auto"/>
          <w:sz w:val="22"/>
          <w:szCs w:val="22"/>
        </w:rPr>
      </w:pPr>
      <w:r w:rsidRPr="004801F8">
        <w:rPr>
          <w:rFonts w:ascii="Calibri" w:hAnsi="Calibri" w:cs="Calibri"/>
          <w:color w:val="auto"/>
          <w:sz w:val="22"/>
          <w:szCs w:val="22"/>
        </w:rPr>
        <w:t xml:space="preserve">The economic results shown above assume risk neutrality with respect to the uncertainty and volatility of reliability-related costs.  </w:t>
      </w:r>
      <w:r w:rsidRPr="004801F8">
        <w:rPr>
          <w:rFonts w:ascii="Calibri" w:hAnsi="Calibri" w:cs="Calibri"/>
          <w:color w:val="auto"/>
          <w:sz w:val="22"/>
          <w:szCs w:val="22"/>
        </w:rPr>
        <w:fldChar w:fldCharType="begin"/>
      </w:r>
      <w:r w:rsidRPr="004801F8">
        <w:rPr>
          <w:rFonts w:ascii="Calibri" w:hAnsi="Calibri" w:cs="Calibri"/>
          <w:color w:val="auto"/>
          <w:sz w:val="22"/>
          <w:szCs w:val="22"/>
        </w:rPr>
        <w:instrText xml:space="preserve"> REF _Ref526325090 \h  \* MERGEFORMAT </w:instrText>
      </w:r>
      <w:r w:rsidRPr="004801F8">
        <w:rPr>
          <w:rFonts w:ascii="Calibri" w:hAnsi="Calibri" w:cs="Calibri"/>
          <w:color w:val="auto"/>
          <w:sz w:val="22"/>
          <w:szCs w:val="22"/>
        </w:rPr>
      </w:r>
      <w:r w:rsidRPr="004801F8">
        <w:rPr>
          <w:rFonts w:ascii="Calibri" w:hAnsi="Calibri" w:cs="Calibri"/>
          <w:color w:val="auto"/>
          <w:sz w:val="22"/>
          <w:szCs w:val="22"/>
        </w:rPr>
        <w:fldChar w:fldCharType="separate"/>
      </w:r>
      <w:r w:rsidRPr="004801F8">
        <w:rPr>
          <w:rFonts w:ascii="Calibri" w:hAnsi="Calibri" w:cs="Calibri"/>
          <w:color w:val="auto"/>
          <w:sz w:val="22"/>
          <w:szCs w:val="22"/>
        </w:rPr>
        <w:t xml:space="preserve">Figure </w:t>
      </w:r>
      <w:r w:rsidRPr="004801F8">
        <w:rPr>
          <w:rFonts w:ascii="Calibri" w:hAnsi="Calibri" w:cs="Calibri"/>
          <w:noProof/>
          <w:color w:val="auto"/>
          <w:sz w:val="22"/>
          <w:szCs w:val="22"/>
        </w:rPr>
        <w:t>8</w:t>
      </w:r>
      <w:r w:rsidRPr="004801F8">
        <w:rPr>
          <w:rFonts w:ascii="Calibri" w:hAnsi="Calibri" w:cs="Calibri"/>
          <w:color w:val="auto"/>
          <w:sz w:val="22"/>
          <w:szCs w:val="22"/>
        </w:rPr>
        <w:fldChar w:fldCharType="end"/>
      </w:r>
      <w:r w:rsidRPr="004801F8">
        <w:rPr>
          <w:rFonts w:ascii="Calibri" w:hAnsi="Calibri" w:cs="Calibri"/>
          <w:color w:val="auto"/>
          <w:sz w:val="22"/>
          <w:szCs w:val="22"/>
        </w:rPr>
        <w:t xml:space="preserve"> compares total costs at different reserve margins as the probability-weighted average of annual reliability costs for all </w:t>
      </w:r>
      <w:r w:rsidR="004801F8" w:rsidRPr="004801F8">
        <w:rPr>
          <w:rFonts w:ascii="Calibri" w:hAnsi="Calibri" w:cs="Calibri"/>
          <w:color w:val="auto"/>
          <w:sz w:val="22"/>
          <w:szCs w:val="22"/>
        </w:rPr>
        <w:t>10</w:t>
      </w:r>
      <w:r w:rsidRPr="004801F8">
        <w:rPr>
          <w:rFonts w:ascii="Calibri" w:hAnsi="Calibri" w:cs="Calibri"/>
          <w:color w:val="auto"/>
          <w:sz w:val="22"/>
          <w:szCs w:val="22"/>
        </w:rPr>
        <w:t>,</w:t>
      </w:r>
      <w:r w:rsidR="004801F8" w:rsidRPr="004801F8">
        <w:rPr>
          <w:rFonts w:ascii="Calibri" w:hAnsi="Calibri" w:cs="Calibri"/>
          <w:color w:val="auto"/>
          <w:sz w:val="22"/>
          <w:szCs w:val="22"/>
        </w:rPr>
        <w:t>0</w:t>
      </w:r>
      <w:r w:rsidRPr="004801F8">
        <w:rPr>
          <w:rFonts w:ascii="Calibri" w:hAnsi="Calibri" w:cs="Calibri"/>
          <w:color w:val="auto"/>
          <w:sz w:val="22"/>
          <w:szCs w:val="22"/>
        </w:rPr>
        <w:t xml:space="preserve">00 simulation draws.  However, there is substantial volatility around the average level of possible reliability cost outcomes.  Most simulated years will have very modest reliability costs, while a small number of years have very high costs.  These high-cost outcomes account for the majority of the weighted-average annual costs shown as the individual bars in </w:t>
      </w:r>
      <w:r w:rsidRPr="004801F8">
        <w:rPr>
          <w:rFonts w:ascii="Calibri" w:hAnsi="Calibri" w:cs="Calibri"/>
          <w:color w:val="auto"/>
          <w:sz w:val="22"/>
          <w:szCs w:val="22"/>
        </w:rPr>
        <w:fldChar w:fldCharType="begin"/>
      </w:r>
      <w:r w:rsidRPr="004801F8">
        <w:rPr>
          <w:rFonts w:ascii="Calibri" w:hAnsi="Calibri" w:cs="Calibri"/>
          <w:color w:val="auto"/>
          <w:sz w:val="22"/>
          <w:szCs w:val="22"/>
        </w:rPr>
        <w:instrText xml:space="preserve"> REF _Ref526325090 \h  \* MERGEFORMAT </w:instrText>
      </w:r>
      <w:r w:rsidRPr="004801F8">
        <w:rPr>
          <w:rFonts w:ascii="Calibri" w:hAnsi="Calibri" w:cs="Calibri"/>
          <w:color w:val="auto"/>
          <w:sz w:val="22"/>
          <w:szCs w:val="22"/>
        </w:rPr>
      </w:r>
      <w:r w:rsidRPr="004801F8">
        <w:rPr>
          <w:rFonts w:ascii="Calibri" w:hAnsi="Calibri" w:cs="Calibri"/>
          <w:color w:val="auto"/>
          <w:sz w:val="22"/>
          <w:szCs w:val="22"/>
        </w:rPr>
        <w:fldChar w:fldCharType="separate"/>
      </w:r>
      <w:r w:rsidRPr="004801F8">
        <w:rPr>
          <w:rFonts w:ascii="Calibri" w:hAnsi="Calibri" w:cs="Calibri"/>
          <w:color w:val="auto"/>
          <w:sz w:val="22"/>
          <w:szCs w:val="22"/>
        </w:rPr>
        <w:t xml:space="preserve">Figure </w:t>
      </w:r>
      <w:r w:rsidRPr="004801F8">
        <w:rPr>
          <w:rFonts w:ascii="Calibri" w:hAnsi="Calibri" w:cs="Calibri"/>
          <w:noProof/>
          <w:color w:val="auto"/>
          <w:sz w:val="22"/>
          <w:szCs w:val="22"/>
        </w:rPr>
        <w:t>8</w:t>
      </w:r>
      <w:r w:rsidRPr="004801F8">
        <w:rPr>
          <w:rFonts w:ascii="Calibri" w:hAnsi="Calibri" w:cs="Calibri"/>
          <w:color w:val="auto"/>
          <w:sz w:val="22"/>
          <w:szCs w:val="22"/>
        </w:rPr>
        <w:fldChar w:fldCharType="end"/>
      </w:r>
      <w:r w:rsidRPr="004801F8">
        <w:rPr>
          <w:rFonts w:ascii="Calibri" w:hAnsi="Calibri" w:cs="Calibri"/>
          <w:color w:val="auto"/>
          <w:sz w:val="22"/>
          <w:szCs w:val="22"/>
        </w:rPr>
        <w:t xml:space="preserve"> above.</w:t>
      </w:r>
    </w:p>
    <w:p w14:paraId="0B3C87F6" w14:textId="6D628EBD" w:rsidR="004B58AD" w:rsidRPr="002B618C" w:rsidRDefault="004B58AD" w:rsidP="004B58AD">
      <w:pPr>
        <w:pStyle w:val="BGNormal125"/>
        <w:rPr>
          <w:rFonts w:ascii="Calibri" w:hAnsi="Calibri" w:cs="Calibri"/>
          <w:color w:val="auto"/>
          <w:sz w:val="22"/>
          <w:szCs w:val="22"/>
        </w:rPr>
      </w:pPr>
      <w:r w:rsidRPr="004801F8">
        <w:rPr>
          <w:rFonts w:ascii="Calibri" w:hAnsi="Calibri" w:cs="Calibri"/>
          <w:color w:val="auto"/>
          <w:sz w:val="22"/>
          <w:szCs w:val="22"/>
        </w:rPr>
        <w:fldChar w:fldCharType="begin"/>
      </w:r>
      <w:r w:rsidRPr="004801F8">
        <w:rPr>
          <w:rFonts w:ascii="Calibri" w:hAnsi="Calibri" w:cs="Calibri"/>
          <w:color w:val="auto"/>
          <w:sz w:val="22"/>
          <w:szCs w:val="22"/>
        </w:rPr>
        <w:instrText xml:space="preserve"> REF _Ref377842267 \h  \* MERGEFORMAT </w:instrText>
      </w:r>
      <w:r w:rsidRPr="004801F8">
        <w:rPr>
          <w:rFonts w:ascii="Calibri" w:hAnsi="Calibri" w:cs="Calibri"/>
          <w:color w:val="auto"/>
          <w:sz w:val="22"/>
          <w:szCs w:val="22"/>
        </w:rPr>
      </w:r>
      <w:r w:rsidRPr="004801F8">
        <w:rPr>
          <w:rFonts w:ascii="Calibri" w:hAnsi="Calibri" w:cs="Calibri"/>
          <w:color w:val="auto"/>
          <w:sz w:val="22"/>
          <w:szCs w:val="22"/>
        </w:rPr>
        <w:fldChar w:fldCharType="separate"/>
      </w:r>
      <w:r w:rsidRPr="004801F8">
        <w:rPr>
          <w:rFonts w:ascii="Calibri" w:hAnsi="Calibri" w:cs="Calibri"/>
          <w:color w:val="auto"/>
          <w:sz w:val="22"/>
          <w:szCs w:val="22"/>
        </w:rPr>
        <w:t xml:space="preserve">Figure </w:t>
      </w:r>
      <w:r w:rsidRPr="004801F8">
        <w:rPr>
          <w:rFonts w:ascii="Calibri" w:hAnsi="Calibri" w:cs="Calibri"/>
          <w:noProof/>
          <w:color w:val="auto"/>
          <w:sz w:val="22"/>
          <w:szCs w:val="22"/>
        </w:rPr>
        <w:t>9</w:t>
      </w:r>
      <w:r w:rsidRPr="004801F8">
        <w:rPr>
          <w:rFonts w:ascii="Calibri" w:hAnsi="Calibri" w:cs="Calibri"/>
          <w:color w:val="auto"/>
          <w:sz w:val="22"/>
          <w:szCs w:val="22"/>
        </w:rPr>
        <w:fldChar w:fldCharType="end"/>
      </w:r>
      <w:r w:rsidRPr="004801F8">
        <w:rPr>
          <w:rFonts w:ascii="Calibri" w:hAnsi="Calibri" w:cs="Calibri"/>
          <w:color w:val="auto"/>
          <w:sz w:val="22"/>
          <w:szCs w:val="22"/>
        </w:rPr>
        <w:t xml:space="preserve"> below summarizes this risk exposure by comparing the weighted-average costs for different </w:t>
      </w:r>
      <w:r w:rsidRPr="002B618C">
        <w:rPr>
          <w:rFonts w:ascii="Calibri" w:hAnsi="Calibri" w:cs="Calibri"/>
          <w:color w:val="auto"/>
          <w:sz w:val="22"/>
          <w:szCs w:val="22"/>
        </w:rPr>
        <w:t xml:space="preserve">reserve margins (red line, which is equal to the height of the individual bars in </w:t>
      </w:r>
      <w:r w:rsidRPr="002B618C">
        <w:rPr>
          <w:rFonts w:ascii="Calibri" w:hAnsi="Calibri" w:cs="Calibri"/>
          <w:color w:val="auto"/>
          <w:sz w:val="22"/>
          <w:szCs w:val="22"/>
        </w:rPr>
        <w:fldChar w:fldCharType="begin"/>
      </w:r>
      <w:r w:rsidRPr="002B618C">
        <w:rPr>
          <w:rFonts w:ascii="Calibri" w:hAnsi="Calibri" w:cs="Calibri"/>
          <w:color w:val="auto"/>
          <w:sz w:val="22"/>
          <w:szCs w:val="22"/>
        </w:rPr>
        <w:instrText xml:space="preserve"> REF _Ref526325090 \h  \* MERGEFORMAT </w:instrText>
      </w:r>
      <w:r w:rsidRPr="002B618C">
        <w:rPr>
          <w:rFonts w:ascii="Calibri" w:hAnsi="Calibri" w:cs="Calibri"/>
          <w:color w:val="auto"/>
          <w:sz w:val="22"/>
          <w:szCs w:val="22"/>
        </w:rPr>
      </w:r>
      <w:r w:rsidRPr="002B618C">
        <w:rPr>
          <w:rFonts w:ascii="Calibri" w:hAnsi="Calibri" w:cs="Calibri"/>
          <w:color w:val="auto"/>
          <w:sz w:val="22"/>
          <w:szCs w:val="22"/>
        </w:rPr>
        <w:fldChar w:fldCharType="separate"/>
      </w:r>
      <w:r w:rsidRPr="002B618C">
        <w:rPr>
          <w:rFonts w:ascii="Calibri" w:hAnsi="Calibri" w:cs="Calibri"/>
          <w:color w:val="auto"/>
          <w:sz w:val="22"/>
          <w:szCs w:val="22"/>
        </w:rPr>
        <w:t xml:space="preserve">Figure </w:t>
      </w:r>
      <w:r w:rsidRPr="002B618C">
        <w:rPr>
          <w:rFonts w:ascii="Calibri" w:hAnsi="Calibri" w:cs="Calibri"/>
          <w:noProof/>
          <w:color w:val="auto"/>
          <w:sz w:val="22"/>
          <w:szCs w:val="22"/>
        </w:rPr>
        <w:t>8</w:t>
      </w:r>
      <w:r w:rsidRPr="002B618C">
        <w:rPr>
          <w:rFonts w:ascii="Calibri" w:hAnsi="Calibri" w:cs="Calibri"/>
          <w:color w:val="auto"/>
          <w:sz w:val="22"/>
          <w:szCs w:val="22"/>
        </w:rPr>
        <w:fldChar w:fldCharType="end"/>
      </w:r>
      <w:r w:rsidRPr="002B618C">
        <w:rPr>
          <w:rFonts w:ascii="Calibri" w:hAnsi="Calibri" w:cs="Calibri"/>
          <w:color w:val="auto"/>
          <w:sz w:val="22"/>
          <w:szCs w:val="22"/>
        </w:rPr>
        <w:t>) to annual costs under the most costly possible outcomes, represented by the 75</w:t>
      </w:r>
      <w:r w:rsidRPr="002B618C">
        <w:rPr>
          <w:rFonts w:ascii="Calibri" w:hAnsi="Calibri" w:cs="Calibri"/>
          <w:color w:val="auto"/>
          <w:sz w:val="22"/>
          <w:szCs w:val="22"/>
          <w:vertAlign w:val="superscript"/>
        </w:rPr>
        <w:t>th</w:t>
      </w:r>
      <w:r w:rsidRPr="002B618C">
        <w:rPr>
          <w:rFonts w:ascii="Calibri" w:hAnsi="Calibri" w:cs="Calibri"/>
          <w:color w:val="auto"/>
          <w:sz w:val="22"/>
          <w:szCs w:val="22"/>
        </w:rPr>
        <w:t>, 90</w:t>
      </w:r>
      <w:r w:rsidRPr="002B618C">
        <w:rPr>
          <w:rFonts w:ascii="Calibri" w:hAnsi="Calibri" w:cs="Calibri"/>
          <w:color w:val="auto"/>
          <w:sz w:val="22"/>
          <w:szCs w:val="22"/>
          <w:vertAlign w:val="superscript"/>
        </w:rPr>
        <w:t>th</w:t>
      </w:r>
      <w:r w:rsidRPr="002B618C">
        <w:rPr>
          <w:rFonts w:ascii="Calibri" w:hAnsi="Calibri" w:cs="Calibri"/>
          <w:color w:val="auto"/>
          <w:sz w:val="22"/>
          <w:szCs w:val="22"/>
        </w:rPr>
        <w:t>, and 95</w:t>
      </w:r>
      <w:r w:rsidRPr="002B618C">
        <w:rPr>
          <w:rFonts w:ascii="Calibri" w:hAnsi="Calibri" w:cs="Calibri"/>
          <w:color w:val="auto"/>
          <w:sz w:val="22"/>
          <w:szCs w:val="22"/>
          <w:vertAlign w:val="superscript"/>
        </w:rPr>
        <w:t>th</w:t>
      </w:r>
      <w:r w:rsidRPr="002B618C" w:rsidDel="00BF2545">
        <w:rPr>
          <w:rFonts w:ascii="Calibri" w:hAnsi="Calibri" w:cs="Calibri"/>
          <w:color w:val="auto"/>
          <w:sz w:val="22"/>
          <w:szCs w:val="22"/>
        </w:rPr>
        <w:t xml:space="preserve"> </w:t>
      </w:r>
      <w:r w:rsidRPr="002B618C">
        <w:rPr>
          <w:rFonts w:ascii="Calibri" w:hAnsi="Calibri" w:cs="Calibri"/>
          <w:color w:val="auto"/>
          <w:sz w:val="22"/>
          <w:szCs w:val="22"/>
        </w:rPr>
        <w:t xml:space="preserve">percentiles of annual reliability costs across all </w:t>
      </w:r>
      <w:r w:rsidR="004801F8" w:rsidRPr="002B618C">
        <w:rPr>
          <w:rFonts w:ascii="Calibri" w:hAnsi="Calibri" w:cs="Calibri"/>
          <w:color w:val="auto"/>
          <w:sz w:val="22"/>
          <w:szCs w:val="22"/>
        </w:rPr>
        <w:t>10</w:t>
      </w:r>
      <w:r w:rsidRPr="002B618C">
        <w:rPr>
          <w:rFonts w:ascii="Calibri" w:hAnsi="Calibri" w:cs="Calibri"/>
          <w:color w:val="auto"/>
          <w:sz w:val="22"/>
          <w:szCs w:val="22"/>
        </w:rPr>
        <w:t>,</w:t>
      </w:r>
      <w:r w:rsidR="004801F8" w:rsidRPr="002B618C">
        <w:rPr>
          <w:rFonts w:ascii="Calibri" w:hAnsi="Calibri" w:cs="Calibri"/>
          <w:color w:val="auto"/>
          <w:sz w:val="22"/>
          <w:szCs w:val="22"/>
        </w:rPr>
        <w:t>0</w:t>
      </w:r>
      <w:r w:rsidRPr="002B618C">
        <w:rPr>
          <w:rFonts w:ascii="Calibri" w:hAnsi="Calibri" w:cs="Calibri"/>
          <w:color w:val="auto"/>
          <w:sz w:val="22"/>
          <w:szCs w:val="22"/>
        </w:rPr>
        <w:t>00 simulated scenarios.</w:t>
      </w:r>
    </w:p>
    <w:p w14:paraId="2C389388" w14:textId="22ABBF71" w:rsidR="004B58AD" w:rsidRPr="000565D6" w:rsidRDefault="004B58AD" w:rsidP="004B58AD">
      <w:pPr>
        <w:pStyle w:val="BGNormal125"/>
        <w:rPr>
          <w:rFonts w:ascii="Calibri" w:hAnsi="Calibri" w:cs="Calibri"/>
          <w:color w:val="C00000"/>
          <w:sz w:val="22"/>
          <w:szCs w:val="22"/>
        </w:rPr>
      </w:pPr>
      <w:r w:rsidRPr="002B618C">
        <w:rPr>
          <w:rFonts w:ascii="Calibri" w:hAnsi="Calibri" w:cs="Calibri"/>
          <w:color w:val="auto"/>
          <w:sz w:val="22"/>
          <w:szCs w:val="22"/>
        </w:rPr>
        <w:t>Considering the higher-cost uncertainty exposure at lower reserve margins, some policymakers prefer reserve margins to exceed the risk-neutral economic optimum.  As the simulation results show, a several percentage point increase in the reserve margin would only slightly increase the average annual costs, but more significantly reduce the likelihood of experiencing very high-cost events.  Total average costs change by a relatively modest amount over a range of planning reserve margins (</w:t>
      </w:r>
      <w:r w:rsidRPr="002B618C">
        <w:rPr>
          <w:rFonts w:ascii="Calibri" w:hAnsi="Calibri" w:cs="Calibri"/>
          <w:i/>
          <w:color w:val="auto"/>
          <w:sz w:val="22"/>
          <w:szCs w:val="22"/>
        </w:rPr>
        <w:t>e.g.</w:t>
      </w:r>
      <w:r w:rsidRPr="002B618C">
        <w:rPr>
          <w:rFonts w:ascii="Calibri" w:hAnsi="Calibri" w:cs="Calibri"/>
          <w:color w:val="auto"/>
          <w:sz w:val="22"/>
          <w:szCs w:val="22"/>
        </w:rPr>
        <w:t>, average system costs increase by just $</w:t>
      </w:r>
      <w:r w:rsidR="002B3011">
        <w:rPr>
          <w:rFonts w:ascii="Calibri" w:hAnsi="Calibri" w:cs="Calibri"/>
          <w:color w:val="auto"/>
          <w:sz w:val="22"/>
          <w:szCs w:val="22"/>
        </w:rPr>
        <w:t>5</w:t>
      </w:r>
      <w:r w:rsidRPr="002B618C">
        <w:rPr>
          <w:rFonts w:ascii="Calibri" w:hAnsi="Calibri" w:cs="Calibri"/>
          <w:color w:val="auto"/>
          <w:sz w:val="22"/>
          <w:szCs w:val="22"/>
        </w:rPr>
        <w:t xml:space="preserve"> million with an increase in reserve margin from 10% to 15%).  However, lower planning reserve margins have a significantly larger uncertainty in reliability costs and the likelihood of high-cost outcomes than can be encountered in any particula</w:t>
      </w:r>
      <w:r w:rsidRPr="002B3011">
        <w:rPr>
          <w:rFonts w:ascii="Calibri" w:hAnsi="Calibri" w:cs="Calibri"/>
          <w:color w:val="auto"/>
          <w:sz w:val="22"/>
          <w:szCs w:val="22"/>
        </w:rPr>
        <w:t>r year.  For example, at a 7% reserve margin</w:t>
      </w:r>
      <w:r w:rsidR="00403A0B">
        <w:rPr>
          <w:rFonts w:ascii="Calibri" w:hAnsi="Calibri" w:cs="Calibri"/>
          <w:color w:val="auto"/>
          <w:sz w:val="22"/>
          <w:szCs w:val="22"/>
        </w:rPr>
        <w:t>,</w:t>
      </w:r>
      <w:r w:rsidRPr="002B3011">
        <w:rPr>
          <w:rFonts w:ascii="Calibri" w:hAnsi="Calibri" w:cs="Calibri"/>
          <w:color w:val="auto"/>
          <w:sz w:val="22"/>
          <w:szCs w:val="22"/>
        </w:rPr>
        <w:t xml:space="preserve"> costs are expected to be $</w:t>
      </w:r>
      <w:r w:rsidR="001A7D98">
        <w:rPr>
          <w:rFonts w:ascii="Calibri" w:hAnsi="Calibri" w:cs="Calibri"/>
          <w:color w:val="auto"/>
          <w:sz w:val="22"/>
          <w:szCs w:val="22"/>
        </w:rPr>
        <w:t>2.2</w:t>
      </w:r>
      <w:r w:rsidRPr="002B3011">
        <w:rPr>
          <w:rFonts w:ascii="Calibri" w:hAnsi="Calibri" w:cs="Calibri"/>
          <w:color w:val="auto"/>
          <w:sz w:val="22"/>
          <w:szCs w:val="22"/>
        </w:rPr>
        <w:t xml:space="preserve"> billion higher than average once every ten years, while at 11% they would increase with a similar frequency by </w:t>
      </w:r>
      <w:r w:rsidR="00873DCC">
        <w:rPr>
          <w:rFonts w:ascii="Calibri" w:hAnsi="Calibri" w:cs="Calibri"/>
          <w:color w:val="auto"/>
          <w:sz w:val="22"/>
          <w:szCs w:val="22"/>
        </w:rPr>
        <w:t>$</w:t>
      </w:r>
      <w:r w:rsidRPr="002B3011">
        <w:rPr>
          <w:rFonts w:ascii="Calibri" w:hAnsi="Calibri" w:cs="Calibri"/>
          <w:color w:val="auto"/>
          <w:sz w:val="22"/>
          <w:szCs w:val="22"/>
        </w:rPr>
        <w:t>1.</w:t>
      </w:r>
      <w:r w:rsidR="001A7D98">
        <w:rPr>
          <w:rFonts w:ascii="Calibri" w:hAnsi="Calibri" w:cs="Calibri"/>
          <w:color w:val="auto"/>
          <w:sz w:val="22"/>
          <w:szCs w:val="22"/>
        </w:rPr>
        <w:t>2</w:t>
      </w:r>
      <w:r w:rsidRPr="002B3011">
        <w:rPr>
          <w:rFonts w:ascii="Calibri" w:hAnsi="Calibri" w:cs="Calibri"/>
          <w:color w:val="auto"/>
          <w:sz w:val="22"/>
          <w:szCs w:val="22"/>
        </w:rPr>
        <w:t xml:space="preserve"> billion.</w:t>
      </w:r>
      <w:r w:rsidR="00566426">
        <w:rPr>
          <w:rStyle w:val="FootnoteReference"/>
          <w:rFonts w:ascii="Calibri" w:hAnsi="Calibri" w:cs="Calibri"/>
          <w:color w:val="auto"/>
          <w:sz w:val="22"/>
          <w:szCs w:val="22"/>
        </w:rPr>
        <w:footnoteReference w:id="27"/>
      </w:r>
    </w:p>
    <w:p w14:paraId="0A6793EE" w14:textId="799F65B7" w:rsidR="004B58AD" w:rsidRPr="004801F8" w:rsidRDefault="004B58AD" w:rsidP="00B01004">
      <w:pPr>
        <w:pStyle w:val="Caption"/>
        <w:spacing w:after="0"/>
        <w:jc w:val="center"/>
        <w:rPr>
          <w:rFonts w:cs="Calibri"/>
          <w:b/>
          <w:bCs/>
          <w:i w:val="0"/>
          <w:iCs w:val="0"/>
          <w:color w:val="auto"/>
          <w:sz w:val="22"/>
          <w:szCs w:val="22"/>
        </w:rPr>
      </w:pPr>
      <w:bookmarkStart w:id="164" w:name="_Ref377842267"/>
      <w:r w:rsidRPr="006A1C94">
        <w:rPr>
          <w:rFonts w:cs="Calibri"/>
          <w:b/>
          <w:bCs/>
          <w:i w:val="0"/>
          <w:iCs w:val="0"/>
          <w:color w:val="auto"/>
          <w:sz w:val="22"/>
          <w:szCs w:val="22"/>
        </w:rPr>
        <w:t xml:space="preserve">Figure </w:t>
      </w:r>
      <w:r w:rsidRPr="006A1C94">
        <w:rPr>
          <w:rFonts w:cs="Calibri"/>
          <w:b/>
          <w:bCs/>
          <w:i w:val="0"/>
          <w:iCs w:val="0"/>
          <w:color w:val="auto"/>
          <w:sz w:val="22"/>
          <w:szCs w:val="22"/>
        </w:rPr>
        <w:fldChar w:fldCharType="begin"/>
      </w:r>
      <w:r w:rsidRPr="006A1C94">
        <w:rPr>
          <w:rFonts w:cs="Calibri"/>
          <w:b/>
          <w:bCs/>
          <w:i w:val="0"/>
          <w:iCs w:val="0"/>
          <w:color w:val="auto"/>
          <w:sz w:val="22"/>
          <w:szCs w:val="22"/>
        </w:rPr>
        <w:instrText xml:space="preserve"> SEQ Figure \* ARABIC </w:instrText>
      </w:r>
      <w:r w:rsidRPr="006A1C94">
        <w:rPr>
          <w:rFonts w:cs="Calibri"/>
          <w:b/>
          <w:bCs/>
          <w:i w:val="0"/>
          <w:iCs w:val="0"/>
          <w:color w:val="auto"/>
          <w:sz w:val="22"/>
          <w:szCs w:val="22"/>
        </w:rPr>
        <w:fldChar w:fldCharType="separate"/>
      </w:r>
      <w:r w:rsidR="006304AC">
        <w:rPr>
          <w:rFonts w:cs="Calibri"/>
          <w:b/>
          <w:bCs/>
          <w:i w:val="0"/>
          <w:iCs w:val="0"/>
          <w:noProof/>
          <w:color w:val="auto"/>
          <w:sz w:val="22"/>
          <w:szCs w:val="22"/>
        </w:rPr>
        <w:t>9</w:t>
      </w:r>
      <w:r w:rsidRPr="006A1C94">
        <w:rPr>
          <w:rFonts w:cs="Calibri"/>
          <w:b/>
          <w:bCs/>
          <w:i w:val="0"/>
          <w:iCs w:val="0"/>
          <w:color w:val="auto"/>
          <w:sz w:val="22"/>
          <w:szCs w:val="22"/>
        </w:rPr>
        <w:fldChar w:fldCharType="end"/>
      </w:r>
      <w:bookmarkEnd w:id="164"/>
      <w:r w:rsidR="00084B9A" w:rsidRPr="006A1C94">
        <w:rPr>
          <w:rFonts w:cs="Calibri"/>
          <w:b/>
          <w:bCs/>
          <w:i w:val="0"/>
          <w:iCs w:val="0"/>
          <w:color w:val="auto"/>
          <w:sz w:val="22"/>
          <w:szCs w:val="22"/>
        </w:rPr>
        <w:t xml:space="preserve">. </w:t>
      </w:r>
      <w:r w:rsidRPr="006A1C94">
        <w:rPr>
          <w:rFonts w:cs="Calibri"/>
          <w:b/>
          <w:bCs/>
          <w:i w:val="0"/>
          <w:iCs w:val="0"/>
          <w:color w:val="auto"/>
          <w:sz w:val="22"/>
          <w:szCs w:val="22"/>
        </w:rPr>
        <w:t>Year-to-Year Possible Realizations of Total Annual System Costs</w:t>
      </w:r>
      <w:r w:rsidRPr="00186BEB">
        <w:rPr>
          <w:color w:val="6A7277" w:themeColor="accent1"/>
        </w:rPr>
        <w:t xml:space="preserve"> </w:t>
      </w:r>
      <w:r w:rsidR="001A7D98">
        <w:rPr>
          <w:noProof/>
          <w:color w:val="6A7277" w:themeColor="accent1"/>
        </w:rPr>
        <w:drawing>
          <wp:inline distT="0" distB="0" distL="0" distR="0" wp14:anchorId="6A91710E" wp14:editId="29B66864">
            <wp:extent cx="6297930" cy="3712845"/>
            <wp:effectExtent l="0" t="0" r="762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7930" cy="3712845"/>
                    </a:xfrm>
                    <a:prstGeom prst="rect">
                      <a:avLst/>
                    </a:prstGeom>
                    <a:noFill/>
                  </pic:spPr>
                </pic:pic>
              </a:graphicData>
            </a:graphic>
          </wp:inline>
        </w:drawing>
      </w:r>
    </w:p>
    <w:p w14:paraId="42A2CB7E" w14:textId="77777777" w:rsidR="004B58AD" w:rsidRPr="006A1C94" w:rsidRDefault="004B58AD" w:rsidP="004B58AD">
      <w:pPr>
        <w:pStyle w:val="BGInsertGraphic"/>
        <w:keepNext/>
        <w:tabs>
          <w:tab w:val="left" w:pos="630"/>
          <w:tab w:val="left" w:pos="990"/>
          <w:tab w:val="left" w:pos="8730"/>
          <w:tab w:val="left" w:pos="8820"/>
        </w:tabs>
        <w:spacing w:before="0"/>
        <w:ind w:left="892" w:right="547" w:hanging="446"/>
        <w:jc w:val="both"/>
        <w:rPr>
          <w:rFonts w:ascii="Calibri" w:hAnsi="Calibri" w:cs="Calibri"/>
          <w:color w:val="auto"/>
        </w:rPr>
      </w:pPr>
      <w:r w:rsidRPr="006A1C94">
        <w:rPr>
          <w:rFonts w:ascii="Calibri" w:hAnsi="Calibri" w:cs="Calibri"/>
          <w:i/>
          <w:color w:val="auto"/>
          <w:sz w:val="16"/>
        </w:rPr>
        <w:t>Notes:</w:t>
      </w:r>
    </w:p>
    <w:p w14:paraId="7A65818A" w14:textId="5C77E4CC" w:rsidR="004B58AD" w:rsidRPr="006A1C94" w:rsidDel="00246548" w:rsidRDefault="004B58AD" w:rsidP="004B58AD">
      <w:pPr>
        <w:pStyle w:val="BGInsertGraphic"/>
        <w:tabs>
          <w:tab w:val="left" w:pos="180"/>
          <w:tab w:val="left" w:pos="270"/>
          <w:tab w:val="left" w:pos="630"/>
          <w:tab w:val="left" w:pos="990"/>
          <w:tab w:val="left" w:pos="1080"/>
          <w:tab w:val="left" w:pos="1260"/>
          <w:tab w:val="left" w:pos="1440"/>
          <w:tab w:val="left" w:pos="8730"/>
          <w:tab w:val="left" w:pos="8820"/>
        </w:tabs>
        <w:spacing w:before="0"/>
        <w:ind w:left="630" w:right="540" w:hanging="180"/>
        <w:jc w:val="both"/>
        <w:rPr>
          <w:rFonts w:ascii="Calibri" w:hAnsi="Calibri" w:cs="Calibri"/>
          <w:color w:val="auto"/>
          <w:sz w:val="16"/>
        </w:rPr>
      </w:pPr>
      <w:r w:rsidRPr="006A1C94">
        <w:rPr>
          <w:rFonts w:ascii="Calibri" w:hAnsi="Calibri" w:cs="Calibri"/>
          <w:color w:val="auto"/>
          <w:sz w:val="16"/>
        </w:rPr>
        <w:tab/>
        <w:t xml:space="preserve">Total system costs include scarcity-related and production costs (that decrease with reserve margin), generation capital costs (that increase with reserve margin), and T&amp;D costs (which remain constant across reserve margins.  Additional detail on the individual components of total system costs is available in Section </w:t>
      </w:r>
      <w:r w:rsidRPr="006A1C94">
        <w:rPr>
          <w:rFonts w:ascii="Calibri" w:hAnsi="Calibri" w:cs="Calibri"/>
          <w:color w:val="auto"/>
          <w:sz w:val="16"/>
        </w:rPr>
        <w:fldChar w:fldCharType="begin"/>
      </w:r>
      <w:r w:rsidRPr="006A1C94">
        <w:rPr>
          <w:rFonts w:ascii="Calibri" w:hAnsi="Calibri" w:cs="Calibri"/>
          <w:color w:val="auto"/>
          <w:sz w:val="16"/>
        </w:rPr>
        <w:instrText xml:space="preserve"> REF _Ref526851811 \w \h </w:instrText>
      </w:r>
      <w:r w:rsidR="00084B9A" w:rsidRPr="006A1C94">
        <w:rPr>
          <w:rFonts w:ascii="Calibri" w:hAnsi="Calibri" w:cs="Calibri"/>
          <w:color w:val="auto"/>
          <w:sz w:val="16"/>
        </w:rPr>
        <w:instrText xml:space="preserve"> \* MERGEFORMAT </w:instrText>
      </w:r>
      <w:r w:rsidRPr="006A1C94">
        <w:rPr>
          <w:rFonts w:ascii="Calibri" w:hAnsi="Calibri" w:cs="Calibri"/>
          <w:color w:val="auto"/>
          <w:sz w:val="16"/>
        </w:rPr>
      </w:r>
      <w:r w:rsidRPr="006A1C94">
        <w:rPr>
          <w:rFonts w:ascii="Calibri" w:hAnsi="Calibri" w:cs="Calibri"/>
          <w:color w:val="auto"/>
          <w:sz w:val="16"/>
        </w:rPr>
        <w:fldChar w:fldCharType="separate"/>
      </w:r>
      <w:r w:rsidRPr="006A1C94">
        <w:rPr>
          <w:rFonts w:ascii="Calibri" w:hAnsi="Calibri" w:cs="Calibri"/>
          <w:color w:val="auto"/>
          <w:sz w:val="16"/>
        </w:rPr>
        <w:t>III.B.1</w:t>
      </w:r>
      <w:r w:rsidRPr="006A1C94">
        <w:rPr>
          <w:rFonts w:ascii="Calibri" w:hAnsi="Calibri" w:cs="Calibri"/>
          <w:color w:val="auto"/>
          <w:sz w:val="16"/>
        </w:rPr>
        <w:fldChar w:fldCharType="end"/>
      </w:r>
      <w:r w:rsidRPr="006A1C94">
        <w:rPr>
          <w:rFonts w:ascii="Calibri" w:hAnsi="Calibri" w:cs="Calibri"/>
          <w:color w:val="auto"/>
          <w:sz w:val="16"/>
        </w:rPr>
        <w:t>.</w:t>
      </w:r>
    </w:p>
    <w:p w14:paraId="23278EB5" w14:textId="06124738" w:rsidR="004B58AD" w:rsidRDefault="004B58AD" w:rsidP="00FA0DFD">
      <w:pPr>
        <w:pStyle w:val="Heading2"/>
        <w:numPr>
          <w:ilvl w:val="0"/>
          <w:numId w:val="12"/>
        </w:numPr>
      </w:pPr>
      <w:bookmarkStart w:id="165" w:name="_Toc525079596"/>
      <w:bookmarkStart w:id="166" w:name="_Toc525851028"/>
      <w:bookmarkStart w:id="167" w:name="_Toc525938053"/>
      <w:bookmarkStart w:id="168" w:name="_Toc526279109"/>
      <w:bookmarkStart w:id="169" w:name="_Ref526330855"/>
      <w:bookmarkStart w:id="170" w:name="_Toc526437266"/>
      <w:bookmarkStart w:id="171" w:name="_Toc526439909"/>
      <w:bookmarkStart w:id="172" w:name="_Toc526440019"/>
      <w:bookmarkStart w:id="173" w:name="_Toc532834296"/>
      <w:bookmarkStart w:id="174" w:name="_Toc57193568"/>
      <w:r>
        <w:t>System Reliability</w:t>
      </w:r>
      <w:bookmarkEnd w:id="165"/>
      <w:bookmarkEnd w:id="166"/>
      <w:bookmarkEnd w:id="167"/>
      <w:bookmarkEnd w:id="168"/>
      <w:bookmarkEnd w:id="169"/>
      <w:bookmarkEnd w:id="170"/>
      <w:bookmarkEnd w:id="171"/>
      <w:bookmarkEnd w:id="172"/>
      <w:bookmarkEnd w:id="173"/>
      <w:bookmarkEnd w:id="174"/>
    </w:p>
    <w:p w14:paraId="3F9A8E18" w14:textId="0C2215FC" w:rsidR="004B58AD" w:rsidRPr="00C41616" w:rsidRDefault="00873DCC" w:rsidP="000F0C8B">
      <w:pPr>
        <w:pStyle w:val="BGNormal125"/>
        <w:spacing w:after="240"/>
        <w:rPr>
          <w:rFonts w:ascii="Calibri" w:hAnsi="Calibri" w:cs="Calibri"/>
          <w:color w:val="auto"/>
          <w:sz w:val="22"/>
          <w:szCs w:val="22"/>
        </w:rPr>
      </w:pPr>
      <w:r>
        <w:rPr>
          <w:rFonts w:ascii="Calibri" w:hAnsi="Calibri" w:cs="Calibri"/>
          <w:color w:val="auto"/>
          <w:sz w:val="22"/>
          <w:szCs w:val="22"/>
        </w:rPr>
        <w:t>In this section</w:t>
      </w:r>
      <w:r w:rsidR="004B58AD" w:rsidRPr="00C41616">
        <w:rPr>
          <w:rFonts w:ascii="Calibri" w:hAnsi="Calibri" w:cs="Calibri"/>
          <w:color w:val="auto"/>
          <w:sz w:val="22"/>
          <w:szCs w:val="22"/>
        </w:rPr>
        <w:t>, we compare the expected reliability of the market equilibrium reserve margin to traditional reliability metrics.</w:t>
      </w:r>
    </w:p>
    <w:p w14:paraId="274A0E7B" w14:textId="77B5906D" w:rsidR="004B58AD" w:rsidRDefault="004B58AD" w:rsidP="00FA0DFD">
      <w:pPr>
        <w:pStyle w:val="Heading3"/>
        <w:numPr>
          <w:ilvl w:val="0"/>
          <w:numId w:val="15"/>
        </w:numPr>
      </w:pPr>
      <w:bookmarkStart w:id="175" w:name="_Toc525079597"/>
      <w:bookmarkStart w:id="176" w:name="_Toc525851029"/>
      <w:bookmarkStart w:id="177" w:name="_Toc525938054"/>
      <w:bookmarkStart w:id="178" w:name="_Toc526279110"/>
      <w:bookmarkStart w:id="179" w:name="_Ref526363148"/>
      <w:bookmarkStart w:id="180" w:name="_Toc526437267"/>
      <w:bookmarkStart w:id="181" w:name="_Toc526439910"/>
      <w:bookmarkStart w:id="182" w:name="_Toc526440020"/>
      <w:bookmarkStart w:id="183" w:name="_Toc532834297"/>
      <w:bookmarkStart w:id="184" w:name="_Toc57193569"/>
      <w:r>
        <w:t>Physical Reliability Metrics</w:t>
      </w:r>
      <w:bookmarkEnd w:id="175"/>
      <w:bookmarkEnd w:id="176"/>
      <w:bookmarkEnd w:id="177"/>
      <w:bookmarkEnd w:id="178"/>
      <w:bookmarkEnd w:id="179"/>
      <w:bookmarkEnd w:id="180"/>
      <w:bookmarkEnd w:id="181"/>
      <w:bookmarkEnd w:id="182"/>
      <w:bookmarkEnd w:id="183"/>
      <w:bookmarkEnd w:id="184"/>
    </w:p>
    <w:p w14:paraId="5F1A3D67" w14:textId="30ACC2D3" w:rsidR="004B58AD" w:rsidRPr="00084B9A" w:rsidRDefault="004B58AD" w:rsidP="004B58AD">
      <w:pPr>
        <w:pStyle w:val="BGNormal125"/>
        <w:rPr>
          <w:rFonts w:ascii="Calibri" w:hAnsi="Calibri" w:cs="Calibri"/>
          <w:color w:val="C00000"/>
          <w:sz w:val="22"/>
          <w:szCs w:val="22"/>
        </w:rPr>
      </w:pPr>
      <w:r w:rsidRPr="006E39F4">
        <w:rPr>
          <w:rFonts w:ascii="Calibri" w:hAnsi="Calibri" w:cs="Calibri"/>
          <w:color w:val="auto"/>
          <w:sz w:val="22"/>
          <w:szCs w:val="22"/>
        </w:rPr>
        <w:t>At a market equilibrium reserve margin of 1</w:t>
      </w:r>
      <w:r w:rsidR="001A7D98">
        <w:rPr>
          <w:rFonts w:ascii="Calibri" w:hAnsi="Calibri" w:cs="Calibri"/>
          <w:color w:val="auto"/>
          <w:sz w:val="22"/>
          <w:szCs w:val="22"/>
        </w:rPr>
        <w:t>2</w:t>
      </w:r>
      <w:r w:rsidRPr="006E39F4">
        <w:rPr>
          <w:rFonts w:ascii="Calibri" w:hAnsi="Calibri" w:cs="Calibri"/>
          <w:color w:val="auto"/>
          <w:sz w:val="22"/>
          <w:szCs w:val="22"/>
        </w:rPr>
        <w:t>.25% ERCOT can expect a probability-weighted average of 0.</w:t>
      </w:r>
      <w:r w:rsidR="002B3011">
        <w:rPr>
          <w:rFonts w:ascii="Calibri" w:hAnsi="Calibri" w:cs="Calibri"/>
          <w:color w:val="auto"/>
          <w:sz w:val="22"/>
          <w:szCs w:val="22"/>
        </w:rPr>
        <w:t>5</w:t>
      </w:r>
      <w:r w:rsidRPr="006E39F4">
        <w:rPr>
          <w:rFonts w:ascii="Calibri" w:hAnsi="Calibri" w:cs="Calibri"/>
          <w:color w:val="auto"/>
          <w:sz w:val="22"/>
          <w:szCs w:val="22"/>
        </w:rPr>
        <w:t xml:space="preserve"> loss-of-load events (LOLE) per year</w:t>
      </w:r>
      <w:r w:rsidRPr="003431AB">
        <w:rPr>
          <w:rFonts w:ascii="Calibri" w:hAnsi="Calibri" w:cs="Calibri"/>
          <w:color w:val="auto"/>
          <w:sz w:val="22"/>
          <w:szCs w:val="22"/>
        </w:rPr>
        <w:t xml:space="preserve">.  </w:t>
      </w:r>
      <w:r w:rsidRPr="009163BD">
        <w:rPr>
          <w:rFonts w:ascii="Calibri" w:hAnsi="Calibri" w:cs="Calibri"/>
          <w:color w:val="auto"/>
          <w:sz w:val="22"/>
          <w:szCs w:val="22"/>
        </w:rPr>
        <w:t xml:space="preserve">Our simulations find that there is likely to be a loss-of-load event about every two years in the range of </w:t>
      </w:r>
      <w:r w:rsidR="00B35DC0" w:rsidRPr="009163BD">
        <w:rPr>
          <w:rFonts w:ascii="Calibri" w:hAnsi="Calibri" w:cs="Calibri"/>
          <w:color w:val="auto"/>
          <w:sz w:val="22"/>
          <w:szCs w:val="22"/>
        </w:rPr>
        <w:t>1,541</w:t>
      </w:r>
      <w:r w:rsidRPr="009163BD">
        <w:rPr>
          <w:rFonts w:ascii="Calibri" w:hAnsi="Calibri" w:cs="Calibri"/>
          <w:color w:val="auto"/>
          <w:sz w:val="22"/>
          <w:szCs w:val="22"/>
        </w:rPr>
        <w:t xml:space="preserve"> MW of load being shed for </w:t>
      </w:r>
      <w:r w:rsidR="00B35DC0" w:rsidRPr="009163BD">
        <w:rPr>
          <w:rFonts w:ascii="Calibri" w:hAnsi="Calibri" w:cs="Calibri"/>
          <w:color w:val="auto"/>
          <w:sz w:val="22"/>
          <w:szCs w:val="22"/>
        </w:rPr>
        <w:t>2</w:t>
      </w:r>
      <w:r w:rsidR="003431AB" w:rsidRPr="009163BD">
        <w:rPr>
          <w:rFonts w:ascii="Calibri" w:hAnsi="Calibri" w:cs="Calibri"/>
          <w:color w:val="auto"/>
          <w:sz w:val="22"/>
          <w:szCs w:val="22"/>
        </w:rPr>
        <w:t>.9</w:t>
      </w:r>
      <w:r w:rsidRPr="009163BD">
        <w:rPr>
          <w:rFonts w:ascii="Calibri" w:hAnsi="Calibri" w:cs="Calibri"/>
          <w:color w:val="auto"/>
          <w:sz w:val="22"/>
          <w:szCs w:val="22"/>
        </w:rPr>
        <w:t xml:space="preserve"> hours on average, for a total expected unserved energy of </w:t>
      </w:r>
      <w:r w:rsidR="00B35DC0" w:rsidRPr="009163BD">
        <w:rPr>
          <w:rFonts w:ascii="Calibri" w:hAnsi="Calibri" w:cs="Calibri"/>
          <w:color w:val="auto"/>
          <w:sz w:val="22"/>
          <w:szCs w:val="22"/>
        </w:rPr>
        <w:t>4</w:t>
      </w:r>
      <w:r w:rsidRPr="009163BD">
        <w:rPr>
          <w:rFonts w:ascii="Calibri" w:hAnsi="Calibri" w:cs="Calibri"/>
          <w:color w:val="auto"/>
          <w:sz w:val="22"/>
          <w:szCs w:val="22"/>
        </w:rPr>
        <w:t>,</w:t>
      </w:r>
      <w:r w:rsidR="00B35DC0" w:rsidRPr="009163BD">
        <w:rPr>
          <w:rFonts w:ascii="Calibri" w:hAnsi="Calibri" w:cs="Calibri"/>
          <w:color w:val="auto"/>
          <w:sz w:val="22"/>
          <w:szCs w:val="22"/>
        </w:rPr>
        <w:t>507</w:t>
      </w:r>
      <w:r w:rsidRPr="009163BD">
        <w:rPr>
          <w:rFonts w:ascii="Calibri" w:hAnsi="Calibri" w:cs="Calibri"/>
          <w:color w:val="auto"/>
          <w:sz w:val="22"/>
          <w:szCs w:val="22"/>
        </w:rPr>
        <w:t xml:space="preserve"> MWh</w:t>
      </w:r>
      <w:r w:rsidR="009E784B">
        <w:rPr>
          <w:rStyle w:val="FootnoteReference"/>
          <w:rFonts w:ascii="Calibri" w:hAnsi="Calibri" w:cs="Calibri"/>
          <w:color w:val="auto"/>
          <w:sz w:val="22"/>
          <w:szCs w:val="22"/>
        </w:rPr>
        <w:footnoteReference w:id="28"/>
      </w:r>
      <w:r w:rsidRPr="009163BD">
        <w:rPr>
          <w:rFonts w:ascii="Calibri" w:hAnsi="Calibri" w:cs="Calibri"/>
          <w:color w:val="auto"/>
          <w:sz w:val="22"/>
          <w:szCs w:val="22"/>
        </w:rPr>
        <w:t xml:space="preserve">. </w:t>
      </w:r>
      <w:r w:rsidRPr="003431AB">
        <w:rPr>
          <w:rFonts w:ascii="Calibri" w:hAnsi="Calibri" w:cs="Calibri"/>
          <w:color w:val="auto"/>
          <w:sz w:val="22"/>
          <w:szCs w:val="22"/>
        </w:rPr>
        <w:t xml:space="preserve"> Such events would be more frequent, longer, and deeper at lower reserve margins and less so at higher reserve margins.  </w:t>
      </w:r>
      <w:r w:rsidRPr="003431AB">
        <w:rPr>
          <w:rFonts w:ascii="Calibri" w:hAnsi="Calibri" w:cs="Calibri"/>
          <w:color w:val="auto"/>
          <w:sz w:val="22"/>
          <w:szCs w:val="22"/>
        </w:rPr>
        <w:fldChar w:fldCharType="begin"/>
      </w:r>
      <w:r w:rsidRPr="003431AB">
        <w:rPr>
          <w:rFonts w:ascii="Calibri" w:hAnsi="Calibri" w:cs="Calibri"/>
          <w:color w:val="auto"/>
          <w:sz w:val="22"/>
          <w:szCs w:val="22"/>
        </w:rPr>
        <w:instrText xml:space="preserve"> REF _Ref525043978 \h  \* MERGEFORMAT </w:instrText>
      </w:r>
      <w:r w:rsidRPr="003431AB">
        <w:rPr>
          <w:rFonts w:ascii="Calibri" w:hAnsi="Calibri" w:cs="Calibri"/>
          <w:color w:val="auto"/>
          <w:sz w:val="22"/>
          <w:szCs w:val="22"/>
        </w:rPr>
      </w:r>
      <w:r w:rsidRPr="003431AB">
        <w:rPr>
          <w:rFonts w:ascii="Calibri" w:hAnsi="Calibri" w:cs="Calibri"/>
          <w:color w:val="auto"/>
          <w:sz w:val="22"/>
          <w:szCs w:val="22"/>
        </w:rPr>
        <w:fldChar w:fldCharType="separate"/>
      </w:r>
      <w:r w:rsidRPr="003431AB">
        <w:rPr>
          <w:rFonts w:ascii="Calibri" w:hAnsi="Calibri" w:cs="Calibri"/>
          <w:color w:val="auto"/>
          <w:sz w:val="22"/>
          <w:szCs w:val="22"/>
        </w:rPr>
        <w:t xml:space="preserve">Figure </w:t>
      </w:r>
      <w:r w:rsidRPr="003431AB">
        <w:rPr>
          <w:rFonts w:ascii="Calibri" w:hAnsi="Calibri" w:cs="Calibri"/>
          <w:noProof/>
          <w:color w:val="auto"/>
          <w:sz w:val="22"/>
          <w:szCs w:val="22"/>
        </w:rPr>
        <w:t>10</w:t>
      </w:r>
      <w:r w:rsidRPr="003431AB">
        <w:rPr>
          <w:rFonts w:ascii="Calibri" w:hAnsi="Calibri" w:cs="Calibri"/>
          <w:color w:val="auto"/>
          <w:sz w:val="22"/>
          <w:szCs w:val="22"/>
        </w:rPr>
        <w:fldChar w:fldCharType="end"/>
      </w:r>
      <w:r w:rsidRPr="003431AB">
        <w:rPr>
          <w:rFonts w:ascii="Calibri" w:hAnsi="Calibri" w:cs="Calibri"/>
          <w:color w:val="auto"/>
          <w:sz w:val="22"/>
          <w:szCs w:val="22"/>
        </w:rPr>
        <w:t xml:space="preserve"> depicts how three physical reliability metrics vary with reserve margin: (1) LOLE on the left; (2) loss of load hours (LOLH) in the middle; (3) Normalized Expected Unserved Energy (EUE) on the right.</w:t>
      </w:r>
      <w:r w:rsidRPr="003431AB">
        <w:rPr>
          <w:rStyle w:val="FootnoteReference"/>
          <w:rFonts w:ascii="Calibri" w:hAnsi="Calibri" w:cs="Calibri"/>
          <w:color w:val="auto"/>
          <w:sz w:val="22"/>
          <w:szCs w:val="22"/>
        </w:rPr>
        <w:footnoteReference w:id="29"/>
      </w:r>
    </w:p>
    <w:p w14:paraId="0CB28584" w14:textId="33A58781" w:rsidR="004B58AD" w:rsidRPr="00AB4103" w:rsidRDefault="004B58AD" w:rsidP="00077409">
      <w:pPr>
        <w:pStyle w:val="Caption"/>
        <w:spacing w:before="240" w:after="0"/>
        <w:jc w:val="center"/>
        <w:rPr>
          <w:rFonts w:cs="Calibri"/>
          <w:b/>
          <w:bCs/>
          <w:i w:val="0"/>
          <w:iCs w:val="0"/>
          <w:color w:val="auto"/>
          <w:sz w:val="22"/>
          <w:szCs w:val="22"/>
        </w:rPr>
      </w:pPr>
      <w:bookmarkStart w:id="185" w:name="_Ref526435460"/>
      <w:bookmarkStart w:id="186" w:name="_Ref525043978"/>
      <w:r w:rsidRPr="00AB4103">
        <w:rPr>
          <w:rFonts w:cs="Calibri"/>
          <w:b/>
          <w:bCs/>
          <w:i w:val="0"/>
          <w:iCs w:val="0"/>
          <w:color w:val="auto"/>
          <w:sz w:val="22"/>
          <w:szCs w:val="22"/>
        </w:rPr>
        <w:t xml:space="preserve">Figure </w:t>
      </w:r>
      <w:r w:rsidRPr="00AB4103">
        <w:rPr>
          <w:rFonts w:cs="Calibri"/>
          <w:b/>
          <w:bCs/>
          <w:i w:val="0"/>
          <w:iCs w:val="0"/>
          <w:color w:val="auto"/>
          <w:sz w:val="22"/>
          <w:szCs w:val="22"/>
        </w:rPr>
        <w:fldChar w:fldCharType="begin"/>
      </w:r>
      <w:r w:rsidRPr="00AB4103">
        <w:rPr>
          <w:rFonts w:cs="Calibri"/>
          <w:b/>
          <w:bCs/>
          <w:i w:val="0"/>
          <w:iCs w:val="0"/>
          <w:color w:val="auto"/>
          <w:sz w:val="22"/>
          <w:szCs w:val="22"/>
        </w:rPr>
        <w:instrText xml:space="preserve"> SEQ Figure \* ARABIC </w:instrText>
      </w:r>
      <w:r w:rsidRPr="00AB4103">
        <w:rPr>
          <w:rFonts w:cs="Calibri"/>
          <w:b/>
          <w:bCs/>
          <w:i w:val="0"/>
          <w:iCs w:val="0"/>
          <w:color w:val="auto"/>
          <w:sz w:val="22"/>
          <w:szCs w:val="22"/>
        </w:rPr>
        <w:fldChar w:fldCharType="separate"/>
      </w:r>
      <w:r w:rsidR="006304AC">
        <w:rPr>
          <w:rFonts w:cs="Calibri"/>
          <w:b/>
          <w:bCs/>
          <w:i w:val="0"/>
          <w:iCs w:val="0"/>
          <w:noProof/>
          <w:color w:val="auto"/>
          <w:sz w:val="22"/>
          <w:szCs w:val="22"/>
        </w:rPr>
        <w:t>10</w:t>
      </w:r>
      <w:r w:rsidRPr="00AB4103">
        <w:rPr>
          <w:rFonts w:cs="Calibri"/>
          <w:b/>
          <w:bCs/>
          <w:i w:val="0"/>
          <w:iCs w:val="0"/>
          <w:color w:val="auto"/>
          <w:sz w:val="22"/>
          <w:szCs w:val="22"/>
        </w:rPr>
        <w:fldChar w:fldCharType="end"/>
      </w:r>
      <w:bookmarkEnd w:id="185"/>
      <w:bookmarkEnd w:id="186"/>
      <w:r w:rsidR="00084B9A" w:rsidRPr="00AB4103">
        <w:rPr>
          <w:rFonts w:cs="Calibri"/>
          <w:b/>
          <w:bCs/>
          <w:i w:val="0"/>
          <w:iCs w:val="0"/>
          <w:color w:val="auto"/>
          <w:sz w:val="22"/>
          <w:szCs w:val="22"/>
        </w:rPr>
        <w:t xml:space="preserve">. </w:t>
      </w:r>
      <w:r w:rsidRPr="00AB4103">
        <w:rPr>
          <w:rFonts w:cs="Calibri"/>
          <w:b/>
          <w:bCs/>
          <w:i w:val="0"/>
          <w:iCs w:val="0"/>
          <w:color w:val="auto"/>
          <w:sz w:val="22"/>
          <w:szCs w:val="22"/>
        </w:rPr>
        <w:t>Reliability Metrics that Vary with Reserve Margins</w:t>
      </w:r>
    </w:p>
    <w:p w14:paraId="37B8DE6A" w14:textId="6CA95AD2" w:rsidR="004B58AD" w:rsidRPr="00AB4103" w:rsidRDefault="004B58AD" w:rsidP="004B58AD">
      <w:pPr>
        <w:pStyle w:val="Caption"/>
        <w:rPr>
          <w:b/>
          <w:color w:val="auto"/>
          <w:sz w:val="22"/>
          <w:szCs w:val="22"/>
        </w:rPr>
      </w:pPr>
      <w:r w:rsidRPr="00AB4103">
        <w:rPr>
          <w:rFonts w:cs="Calibri"/>
          <w:color w:val="auto"/>
          <w:sz w:val="22"/>
          <w:szCs w:val="22"/>
        </w:rPr>
        <w:t xml:space="preserve">  </w:t>
      </w:r>
      <w:r w:rsidR="00084B9A" w:rsidRPr="00AB4103">
        <w:rPr>
          <w:rFonts w:cs="Calibri"/>
          <w:color w:val="auto"/>
          <w:sz w:val="22"/>
          <w:szCs w:val="22"/>
        </w:rPr>
        <w:t xml:space="preserve">  </w:t>
      </w:r>
      <w:r w:rsidRPr="00AB4103">
        <w:rPr>
          <w:rFonts w:cs="Calibri"/>
          <w:color w:val="auto"/>
          <w:sz w:val="22"/>
          <w:szCs w:val="22"/>
        </w:rPr>
        <w:t xml:space="preserve">    (a) LOLE                                       </w:t>
      </w:r>
      <w:r w:rsidR="00084B9A" w:rsidRPr="00AB4103">
        <w:rPr>
          <w:rFonts w:cs="Calibri"/>
          <w:color w:val="auto"/>
          <w:sz w:val="22"/>
          <w:szCs w:val="22"/>
        </w:rPr>
        <w:t xml:space="preserve">  </w:t>
      </w:r>
      <w:r w:rsidRPr="00AB4103">
        <w:rPr>
          <w:rFonts w:cs="Calibri"/>
          <w:color w:val="auto"/>
          <w:sz w:val="22"/>
          <w:szCs w:val="22"/>
        </w:rPr>
        <w:t xml:space="preserve">    (b) LOLH</w:t>
      </w:r>
      <w:r w:rsidRPr="00AB4103">
        <w:rPr>
          <w:color w:val="auto"/>
          <w:sz w:val="22"/>
          <w:szCs w:val="22"/>
        </w:rPr>
        <w:t xml:space="preserve">                                          </w:t>
      </w:r>
      <w:r w:rsidR="00084B9A" w:rsidRPr="00AB4103">
        <w:rPr>
          <w:color w:val="auto"/>
          <w:sz w:val="22"/>
          <w:szCs w:val="22"/>
        </w:rPr>
        <w:t xml:space="preserve">          </w:t>
      </w:r>
      <w:r w:rsidRPr="00AB4103">
        <w:rPr>
          <w:color w:val="auto"/>
          <w:sz w:val="22"/>
          <w:szCs w:val="22"/>
        </w:rPr>
        <w:t xml:space="preserve">  (c) EUE</w:t>
      </w:r>
    </w:p>
    <w:p w14:paraId="4A394A98" w14:textId="2B896F6B" w:rsidR="004B58AD" w:rsidRPr="00084B9A" w:rsidRDefault="001A7D98" w:rsidP="004B58AD">
      <w:pPr>
        <w:pStyle w:val="BGInsertGraphic"/>
        <w:rPr>
          <w:color w:val="C00000"/>
          <w:sz w:val="22"/>
          <w:szCs w:val="22"/>
        </w:rPr>
      </w:pPr>
      <w:r>
        <w:rPr>
          <w:noProof/>
          <w:color w:val="C00000"/>
          <w:sz w:val="22"/>
          <w:szCs w:val="22"/>
        </w:rPr>
        <w:drawing>
          <wp:inline distT="0" distB="0" distL="0" distR="0" wp14:anchorId="3A074C2D" wp14:editId="073490FD">
            <wp:extent cx="6139180" cy="26545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4227" cy="2665343"/>
                    </a:xfrm>
                    <a:prstGeom prst="rect">
                      <a:avLst/>
                    </a:prstGeom>
                    <a:noFill/>
                  </pic:spPr>
                </pic:pic>
              </a:graphicData>
            </a:graphic>
          </wp:inline>
        </w:drawing>
      </w:r>
    </w:p>
    <w:p w14:paraId="0AB45A6B" w14:textId="55BA7BC1" w:rsidR="004B58AD" w:rsidRPr="00AB4103" w:rsidRDefault="004B58AD" w:rsidP="00AB4103">
      <w:pPr>
        <w:pStyle w:val="BGNotesFiguresTables"/>
        <w:ind w:left="288" w:right="288"/>
        <w:rPr>
          <w:rFonts w:cs="Calibri"/>
          <w:i/>
          <w:color w:val="auto"/>
        </w:rPr>
      </w:pPr>
      <w:r w:rsidRPr="00AB4103">
        <w:rPr>
          <w:rFonts w:cs="Calibri"/>
          <w:i/>
          <w:color w:val="auto"/>
        </w:rPr>
        <w:t>Notes:</w:t>
      </w:r>
      <w:r w:rsidR="00AB4103" w:rsidRPr="00AB4103">
        <w:rPr>
          <w:rFonts w:cs="Calibri"/>
          <w:i/>
          <w:color w:val="auto"/>
        </w:rPr>
        <w:t xml:space="preserve"> </w:t>
      </w:r>
      <w:r w:rsidRPr="00AB4103">
        <w:rPr>
          <w:rFonts w:cs="Calibri"/>
          <w:color w:val="auto"/>
        </w:rPr>
        <w:t>Reflects</w:t>
      </w:r>
      <w:r w:rsidRPr="00AB4103" w:rsidDel="007B4299">
        <w:rPr>
          <w:rFonts w:cs="Calibri"/>
          <w:color w:val="auto"/>
        </w:rPr>
        <w:t xml:space="preserve"> </w:t>
      </w:r>
      <w:r w:rsidRPr="00AB4103">
        <w:rPr>
          <w:rFonts w:cs="Calibri"/>
          <w:color w:val="auto"/>
        </w:rPr>
        <w:t>Base Case assumptions, including</w:t>
      </w:r>
      <w:r w:rsidRPr="00AB4103" w:rsidDel="007B4299">
        <w:rPr>
          <w:rFonts w:cs="Calibri"/>
          <w:color w:val="auto"/>
        </w:rPr>
        <w:t xml:space="preserve"> </w:t>
      </w:r>
      <w:r w:rsidR="00AB4103" w:rsidRPr="00AB4103">
        <w:rPr>
          <w:rFonts w:cs="Calibri"/>
          <w:color w:val="auto"/>
        </w:rPr>
        <w:t>4</w:t>
      </w:r>
      <w:r w:rsidRPr="00AB4103">
        <w:rPr>
          <w:rFonts w:cs="Calibri"/>
          <w:color w:val="auto"/>
        </w:rPr>
        <w:t xml:space="preserve">-Year Forward LFE, and equal weather weights of all </w:t>
      </w:r>
      <w:r w:rsidR="00AB4103" w:rsidRPr="00AB4103">
        <w:rPr>
          <w:rFonts w:cs="Calibri"/>
          <w:color w:val="auto"/>
        </w:rPr>
        <w:t>40</w:t>
      </w:r>
      <w:r w:rsidRPr="00AB4103">
        <w:rPr>
          <w:rFonts w:cs="Calibri"/>
          <w:color w:val="auto"/>
        </w:rPr>
        <w:t xml:space="preserve"> weather years.</w:t>
      </w:r>
    </w:p>
    <w:p w14:paraId="43FD5F10" w14:textId="5D3740F3" w:rsidR="004B58AD" w:rsidRPr="00B90893" w:rsidRDefault="004B58AD" w:rsidP="004B58AD">
      <w:pPr>
        <w:pStyle w:val="BGNormal125"/>
        <w:rPr>
          <w:rFonts w:ascii="Calibri" w:hAnsi="Calibri" w:cs="Calibri"/>
          <w:color w:val="auto"/>
          <w:sz w:val="22"/>
          <w:szCs w:val="22"/>
        </w:rPr>
      </w:pPr>
      <w:r w:rsidRPr="00B90893">
        <w:rPr>
          <w:rFonts w:ascii="Calibri" w:hAnsi="Calibri" w:cs="Calibri"/>
          <w:color w:val="auto"/>
          <w:sz w:val="22"/>
          <w:szCs w:val="22"/>
          <w:highlight w:val="yellow"/>
        </w:rPr>
        <w:fldChar w:fldCharType="begin"/>
      </w:r>
      <w:r w:rsidRPr="00B90893">
        <w:rPr>
          <w:rFonts w:ascii="Calibri" w:hAnsi="Calibri" w:cs="Calibri"/>
          <w:color w:val="auto"/>
          <w:sz w:val="22"/>
          <w:szCs w:val="22"/>
          <w:highlight w:val="yellow"/>
        </w:rPr>
        <w:instrText xml:space="preserve"> REF _Ref526342248 \h </w:instrText>
      </w:r>
      <w:r w:rsidR="00084B9A" w:rsidRPr="00B90893">
        <w:rPr>
          <w:rFonts w:ascii="Calibri" w:hAnsi="Calibri" w:cs="Calibri"/>
          <w:color w:val="auto"/>
          <w:sz w:val="22"/>
          <w:szCs w:val="22"/>
          <w:highlight w:val="yellow"/>
        </w:rPr>
        <w:instrText xml:space="preserve"> \* MERGEFORMAT </w:instrText>
      </w:r>
      <w:r w:rsidRPr="00B90893">
        <w:rPr>
          <w:rFonts w:ascii="Calibri" w:hAnsi="Calibri" w:cs="Calibri"/>
          <w:color w:val="auto"/>
          <w:sz w:val="22"/>
          <w:szCs w:val="22"/>
          <w:highlight w:val="yellow"/>
        </w:rPr>
      </w:r>
      <w:r w:rsidRPr="00B90893">
        <w:rPr>
          <w:rFonts w:ascii="Calibri" w:hAnsi="Calibri" w:cs="Calibri"/>
          <w:color w:val="auto"/>
          <w:sz w:val="22"/>
          <w:szCs w:val="22"/>
          <w:highlight w:val="yellow"/>
        </w:rPr>
        <w:fldChar w:fldCharType="separate"/>
      </w:r>
      <w:r w:rsidR="006304AC" w:rsidRPr="009163BD">
        <w:rPr>
          <w:rFonts w:ascii="Calibri" w:hAnsi="Calibri" w:cs="Calibri"/>
          <w:color w:val="auto"/>
          <w:sz w:val="22"/>
          <w:szCs w:val="22"/>
        </w:rPr>
        <w:t xml:space="preserve">Table </w:t>
      </w:r>
      <w:r w:rsidR="006304AC" w:rsidRPr="009163BD">
        <w:rPr>
          <w:rFonts w:ascii="Calibri" w:hAnsi="Calibri" w:cs="Calibri"/>
          <w:noProof/>
          <w:color w:val="auto"/>
          <w:sz w:val="22"/>
          <w:szCs w:val="22"/>
        </w:rPr>
        <w:t>8</w:t>
      </w:r>
      <w:r w:rsidRPr="00B90893">
        <w:rPr>
          <w:rFonts w:ascii="Calibri" w:hAnsi="Calibri" w:cs="Calibri"/>
          <w:color w:val="auto"/>
          <w:sz w:val="22"/>
          <w:szCs w:val="22"/>
          <w:highlight w:val="yellow"/>
        </w:rPr>
        <w:fldChar w:fldCharType="end"/>
      </w:r>
      <w:r w:rsidRPr="00B90893">
        <w:rPr>
          <w:rFonts w:ascii="Calibri" w:hAnsi="Calibri" w:cs="Calibri"/>
          <w:color w:val="auto"/>
          <w:sz w:val="22"/>
          <w:szCs w:val="22"/>
        </w:rPr>
        <w:t xml:space="preserve"> shows the same information in tabular form, along with additional information describing the magnitude of outage events when they occur.</w:t>
      </w:r>
    </w:p>
    <w:p w14:paraId="6A34B862" w14:textId="2BC38D69" w:rsidR="004B58AD" w:rsidRPr="00B90893" w:rsidRDefault="004B58AD" w:rsidP="00077409">
      <w:pPr>
        <w:pStyle w:val="Caption"/>
        <w:spacing w:before="240"/>
        <w:jc w:val="center"/>
        <w:rPr>
          <w:rFonts w:cs="Calibri"/>
          <w:b/>
          <w:bCs/>
          <w:i w:val="0"/>
          <w:iCs w:val="0"/>
          <w:color w:val="auto"/>
          <w:sz w:val="22"/>
          <w:szCs w:val="22"/>
        </w:rPr>
      </w:pPr>
      <w:bookmarkStart w:id="187" w:name="_Ref526342248"/>
      <w:r w:rsidRPr="00B90893">
        <w:rPr>
          <w:rFonts w:cs="Calibri"/>
          <w:b/>
          <w:bCs/>
          <w:i w:val="0"/>
          <w:iCs w:val="0"/>
          <w:color w:val="auto"/>
          <w:sz w:val="22"/>
          <w:szCs w:val="22"/>
        </w:rPr>
        <w:t xml:space="preserve">Table </w:t>
      </w:r>
      <w:bookmarkStart w:id="188" w:name="_Ref525043778"/>
      <w:r w:rsidRPr="00B90893">
        <w:rPr>
          <w:rFonts w:cs="Calibri"/>
          <w:b/>
          <w:bCs/>
          <w:i w:val="0"/>
          <w:iCs w:val="0"/>
          <w:color w:val="auto"/>
          <w:sz w:val="22"/>
          <w:szCs w:val="22"/>
        </w:rPr>
        <w:fldChar w:fldCharType="begin"/>
      </w:r>
      <w:r w:rsidRPr="00B90893">
        <w:rPr>
          <w:rFonts w:cs="Calibri"/>
          <w:b/>
          <w:bCs/>
          <w:i w:val="0"/>
          <w:iCs w:val="0"/>
          <w:color w:val="auto"/>
          <w:sz w:val="22"/>
          <w:szCs w:val="22"/>
        </w:rPr>
        <w:instrText xml:space="preserve"> SEQ Table \* ARABIC </w:instrText>
      </w:r>
      <w:r w:rsidRPr="00B90893">
        <w:rPr>
          <w:rFonts w:cs="Calibri"/>
          <w:b/>
          <w:bCs/>
          <w:i w:val="0"/>
          <w:iCs w:val="0"/>
          <w:color w:val="auto"/>
          <w:sz w:val="22"/>
          <w:szCs w:val="22"/>
        </w:rPr>
        <w:fldChar w:fldCharType="separate"/>
      </w:r>
      <w:r w:rsidR="006304AC">
        <w:rPr>
          <w:rFonts w:cs="Calibri"/>
          <w:b/>
          <w:bCs/>
          <w:i w:val="0"/>
          <w:iCs w:val="0"/>
          <w:noProof/>
          <w:color w:val="auto"/>
          <w:sz w:val="22"/>
          <w:szCs w:val="22"/>
        </w:rPr>
        <w:t>8</w:t>
      </w:r>
      <w:r w:rsidRPr="00B90893">
        <w:rPr>
          <w:rFonts w:cs="Calibri"/>
          <w:b/>
          <w:bCs/>
          <w:i w:val="0"/>
          <w:iCs w:val="0"/>
          <w:color w:val="auto"/>
          <w:sz w:val="22"/>
          <w:szCs w:val="22"/>
        </w:rPr>
        <w:fldChar w:fldCharType="end"/>
      </w:r>
      <w:bookmarkEnd w:id="187"/>
      <w:bookmarkEnd w:id="188"/>
      <w:r w:rsidR="00C41616" w:rsidRPr="00B90893">
        <w:rPr>
          <w:rFonts w:cs="Calibri"/>
          <w:b/>
          <w:bCs/>
          <w:i w:val="0"/>
          <w:iCs w:val="0"/>
          <w:color w:val="auto"/>
          <w:sz w:val="22"/>
          <w:szCs w:val="22"/>
        </w:rPr>
        <w:t xml:space="preserve">. </w:t>
      </w:r>
      <w:r w:rsidRPr="00B90893">
        <w:rPr>
          <w:rFonts w:cs="Calibri"/>
          <w:b/>
          <w:bCs/>
          <w:i w:val="0"/>
          <w:iCs w:val="0"/>
          <w:color w:val="auto"/>
          <w:sz w:val="22"/>
          <w:szCs w:val="22"/>
        </w:rPr>
        <w:t>Detailed Reliability Metrics across Planning Reserve Margins in Base Case</w:t>
      </w:r>
    </w:p>
    <w:tbl>
      <w:tblPr>
        <w:tblW w:w="8296" w:type="dxa"/>
        <w:jc w:val="center"/>
        <w:tblLook w:val="04A0" w:firstRow="1" w:lastRow="0" w:firstColumn="1" w:lastColumn="0" w:noHBand="0" w:noVBand="1"/>
      </w:tblPr>
      <w:tblGrid>
        <w:gridCol w:w="1580"/>
        <w:gridCol w:w="1238"/>
        <w:gridCol w:w="1151"/>
        <w:gridCol w:w="940"/>
        <w:gridCol w:w="1027"/>
        <w:gridCol w:w="1354"/>
        <w:gridCol w:w="1006"/>
      </w:tblGrid>
      <w:tr w:rsidR="001A7D98" w:rsidRPr="001A7D98" w14:paraId="19606B91" w14:textId="77777777" w:rsidTr="00555E07">
        <w:trPr>
          <w:trHeight w:val="300"/>
          <w:jc w:val="center"/>
        </w:trPr>
        <w:tc>
          <w:tcPr>
            <w:tcW w:w="1580" w:type="dxa"/>
            <w:vMerge w:val="restart"/>
            <w:tcBorders>
              <w:top w:val="single" w:sz="4" w:space="0" w:color="auto"/>
              <w:left w:val="nil"/>
              <w:bottom w:val="nil"/>
              <w:right w:val="nil"/>
            </w:tcBorders>
            <w:shd w:val="clear" w:color="auto" w:fill="auto"/>
            <w:vAlign w:val="center"/>
            <w:hideMark/>
          </w:tcPr>
          <w:p w14:paraId="1F890011"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Reserve Margin</w:t>
            </w:r>
          </w:p>
        </w:tc>
        <w:tc>
          <w:tcPr>
            <w:tcW w:w="3329" w:type="dxa"/>
            <w:gridSpan w:val="3"/>
            <w:tcBorders>
              <w:top w:val="single" w:sz="4" w:space="0" w:color="auto"/>
              <w:left w:val="nil"/>
              <w:bottom w:val="single" w:sz="4" w:space="0" w:color="auto"/>
              <w:right w:val="nil"/>
            </w:tcBorders>
            <w:shd w:val="clear" w:color="auto" w:fill="auto"/>
            <w:noWrap/>
            <w:vAlign w:val="center"/>
            <w:hideMark/>
          </w:tcPr>
          <w:p w14:paraId="65D4498A"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Total Annual Loss of Load</w:t>
            </w:r>
          </w:p>
        </w:tc>
        <w:tc>
          <w:tcPr>
            <w:tcW w:w="3387" w:type="dxa"/>
            <w:gridSpan w:val="3"/>
            <w:tcBorders>
              <w:top w:val="single" w:sz="4" w:space="0" w:color="auto"/>
              <w:left w:val="nil"/>
              <w:bottom w:val="single" w:sz="4" w:space="0" w:color="auto"/>
              <w:right w:val="nil"/>
            </w:tcBorders>
            <w:shd w:val="clear" w:color="auto" w:fill="auto"/>
            <w:noWrap/>
            <w:vAlign w:val="center"/>
            <w:hideMark/>
          </w:tcPr>
          <w:p w14:paraId="1C162A45"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Average Outage Event</w:t>
            </w:r>
          </w:p>
        </w:tc>
      </w:tr>
      <w:tr w:rsidR="001A7D98" w:rsidRPr="001A7D98" w14:paraId="1AFB9E3E" w14:textId="77777777" w:rsidTr="006F7185">
        <w:trPr>
          <w:trHeight w:val="300"/>
          <w:jc w:val="center"/>
        </w:trPr>
        <w:tc>
          <w:tcPr>
            <w:tcW w:w="1580" w:type="dxa"/>
            <w:vMerge/>
            <w:tcBorders>
              <w:top w:val="single" w:sz="4" w:space="0" w:color="auto"/>
              <w:left w:val="nil"/>
              <w:bottom w:val="nil"/>
              <w:right w:val="nil"/>
            </w:tcBorders>
            <w:vAlign w:val="center"/>
            <w:hideMark/>
          </w:tcPr>
          <w:p w14:paraId="230B4CA1" w14:textId="77777777" w:rsidR="001A7D98" w:rsidRPr="001A7D98" w:rsidRDefault="001A7D98" w:rsidP="009163BD">
            <w:pPr>
              <w:spacing w:after="0" w:line="240" w:lineRule="auto"/>
              <w:jc w:val="center"/>
              <w:rPr>
                <w:rFonts w:eastAsia="Times New Roman" w:cs="Calibri"/>
                <w:b/>
                <w:bCs/>
                <w:kern w:val="0"/>
              </w:rPr>
            </w:pPr>
          </w:p>
        </w:tc>
        <w:tc>
          <w:tcPr>
            <w:tcW w:w="1238" w:type="dxa"/>
            <w:tcBorders>
              <w:top w:val="nil"/>
              <w:left w:val="nil"/>
              <w:bottom w:val="nil"/>
              <w:right w:val="nil"/>
            </w:tcBorders>
            <w:shd w:val="clear" w:color="auto" w:fill="auto"/>
            <w:vAlign w:val="center"/>
            <w:hideMark/>
          </w:tcPr>
          <w:p w14:paraId="038783C0"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LOLE</w:t>
            </w:r>
          </w:p>
        </w:tc>
        <w:tc>
          <w:tcPr>
            <w:tcW w:w="1151" w:type="dxa"/>
            <w:tcBorders>
              <w:top w:val="nil"/>
              <w:left w:val="nil"/>
              <w:bottom w:val="nil"/>
              <w:right w:val="nil"/>
            </w:tcBorders>
            <w:shd w:val="clear" w:color="auto" w:fill="auto"/>
            <w:vAlign w:val="center"/>
            <w:hideMark/>
          </w:tcPr>
          <w:p w14:paraId="00D60644"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LOLH</w:t>
            </w:r>
          </w:p>
        </w:tc>
        <w:tc>
          <w:tcPr>
            <w:tcW w:w="940" w:type="dxa"/>
            <w:tcBorders>
              <w:top w:val="nil"/>
              <w:left w:val="nil"/>
              <w:bottom w:val="nil"/>
              <w:right w:val="nil"/>
            </w:tcBorders>
            <w:shd w:val="clear" w:color="auto" w:fill="auto"/>
            <w:vAlign w:val="center"/>
            <w:hideMark/>
          </w:tcPr>
          <w:p w14:paraId="2DBB03F2"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EUE</w:t>
            </w:r>
          </w:p>
        </w:tc>
        <w:tc>
          <w:tcPr>
            <w:tcW w:w="1027" w:type="dxa"/>
            <w:tcBorders>
              <w:top w:val="nil"/>
              <w:left w:val="nil"/>
              <w:bottom w:val="nil"/>
              <w:right w:val="nil"/>
            </w:tcBorders>
            <w:shd w:val="clear" w:color="auto" w:fill="auto"/>
            <w:vAlign w:val="center"/>
            <w:hideMark/>
          </w:tcPr>
          <w:p w14:paraId="7A9318F4"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Duration</w:t>
            </w:r>
          </w:p>
        </w:tc>
        <w:tc>
          <w:tcPr>
            <w:tcW w:w="1354" w:type="dxa"/>
            <w:tcBorders>
              <w:top w:val="nil"/>
              <w:left w:val="nil"/>
              <w:bottom w:val="nil"/>
              <w:right w:val="nil"/>
            </w:tcBorders>
            <w:shd w:val="clear" w:color="auto" w:fill="auto"/>
            <w:vAlign w:val="center"/>
            <w:hideMark/>
          </w:tcPr>
          <w:p w14:paraId="78313D43"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Energy Lost</w:t>
            </w:r>
          </w:p>
        </w:tc>
        <w:tc>
          <w:tcPr>
            <w:tcW w:w="1006" w:type="dxa"/>
            <w:tcBorders>
              <w:top w:val="nil"/>
              <w:left w:val="nil"/>
              <w:bottom w:val="nil"/>
              <w:right w:val="nil"/>
            </w:tcBorders>
            <w:shd w:val="clear" w:color="auto" w:fill="auto"/>
            <w:vAlign w:val="center"/>
            <w:hideMark/>
          </w:tcPr>
          <w:p w14:paraId="14083C3D"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Depth</w:t>
            </w:r>
          </w:p>
        </w:tc>
      </w:tr>
      <w:tr w:rsidR="001A7D98" w:rsidRPr="001A7D98" w14:paraId="7EE8947D" w14:textId="77777777" w:rsidTr="006F7185">
        <w:trPr>
          <w:trHeight w:val="300"/>
          <w:jc w:val="center"/>
        </w:trPr>
        <w:tc>
          <w:tcPr>
            <w:tcW w:w="1580" w:type="dxa"/>
            <w:tcBorders>
              <w:top w:val="nil"/>
              <w:left w:val="nil"/>
              <w:bottom w:val="single" w:sz="4" w:space="0" w:color="auto"/>
              <w:right w:val="nil"/>
            </w:tcBorders>
            <w:shd w:val="clear" w:color="auto" w:fill="auto"/>
            <w:vAlign w:val="center"/>
            <w:hideMark/>
          </w:tcPr>
          <w:p w14:paraId="41F27F33"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w:t>
            </w:r>
          </w:p>
        </w:tc>
        <w:tc>
          <w:tcPr>
            <w:tcW w:w="1238" w:type="dxa"/>
            <w:tcBorders>
              <w:top w:val="nil"/>
              <w:left w:val="nil"/>
              <w:bottom w:val="single" w:sz="4" w:space="0" w:color="auto"/>
              <w:right w:val="nil"/>
            </w:tcBorders>
            <w:shd w:val="clear" w:color="auto" w:fill="auto"/>
            <w:vAlign w:val="center"/>
            <w:hideMark/>
          </w:tcPr>
          <w:p w14:paraId="0F0696BB"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(events/</w:t>
            </w:r>
            <w:proofErr w:type="spellStart"/>
            <w:r w:rsidRPr="001A7D98">
              <w:rPr>
                <w:rFonts w:eastAsia="Times New Roman" w:cs="Calibri"/>
                <w:b/>
                <w:bCs/>
                <w:kern w:val="0"/>
              </w:rPr>
              <w:t>yr</w:t>
            </w:r>
            <w:proofErr w:type="spellEnd"/>
            <w:r w:rsidRPr="001A7D98">
              <w:rPr>
                <w:rFonts w:eastAsia="Times New Roman" w:cs="Calibri"/>
                <w:b/>
                <w:bCs/>
                <w:kern w:val="0"/>
              </w:rPr>
              <w:t>)</w:t>
            </w:r>
          </w:p>
        </w:tc>
        <w:tc>
          <w:tcPr>
            <w:tcW w:w="1151" w:type="dxa"/>
            <w:tcBorders>
              <w:top w:val="nil"/>
              <w:left w:val="nil"/>
              <w:bottom w:val="single" w:sz="4" w:space="0" w:color="auto"/>
              <w:right w:val="nil"/>
            </w:tcBorders>
            <w:shd w:val="clear" w:color="auto" w:fill="auto"/>
            <w:vAlign w:val="center"/>
            <w:hideMark/>
          </w:tcPr>
          <w:p w14:paraId="0AD13730"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(hours/</w:t>
            </w:r>
            <w:proofErr w:type="spellStart"/>
            <w:r w:rsidRPr="001A7D98">
              <w:rPr>
                <w:rFonts w:eastAsia="Times New Roman" w:cs="Calibri"/>
                <w:b/>
                <w:bCs/>
                <w:kern w:val="0"/>
              </w:rPr>
              <w:t>yr</w:t>
            </w:r>
            <w:proofErr w:type="spellEnd"/>
            <w:r w:rsidRPr="001A7D98">
              <w:rPr>
                <w:rFonts w:eastAsia="Times New Roman" w:cs="Calibri"/>
                <w:b/>
                <w:bCs/>
                <w:kern w:val="0"/>
              </w:rPr>
              <w:t>)</w:t>
            </w:r>
          </w:p>
        </w:tc>
        <w:tc>
          <w:tcPr>
            <w:tcW w:w="940" w:type="dxa"/>
            <w:tcBorders>
              <w:top w:val="nil"/>
              <w:left w:val="nil"/>
              <w:bottom w:val="single" w:sz="4" w:space="0" w:color="auto"/>
              <w:right w:val="nil"/>
            </w:tcBorders>
            <w:shd w:val="clear" w:color="auto" w:fill="auto"/>
            <w:vAlign w:val="center"/>
            <w:hideMark/>
          </w:tcPr>
          <w:p w14:paraId="173EE935"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(MWh)</w:t>
            </w:r>
          </w:p>
        </w:tc>
        <w:tc>
          <w:tcPr>
            <w:tcW w:w="1027" w:type="dxa"/>
            <w:tcBorders>
              <w:top w:val="nil"/>
              <w:left w:val="nil"/>
              <w:bottom w:val="single" w:sz="4" w:space="0" w:color="auto"/>
              <w:right w:val="nil"/>
            </w:tcBorders>
            <w:shd w:val="clear" w:color="auto" w:fill="auto"/>
            <w:vAlign w:val="center"/>
            <w:hideMark/>
          </w:tcPr>
          <w:p w14:paraId="638555A4"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(hours)</w:t>
            </w:r>
          </w:p>
        </w:tc>
        <w:tc>
          <w:tcPr>
            <w:tcW w:w="1354" w:type="dxa"/>
            <w:tcBorders>
              <w:top w:val="nil"/>
              <w:left w:val="nil"/>
              <w:bottom w:val="single" w:sz="4" w:space="0" w:color="auto"/>
              <w:right w:val="nil"/>
            </w:tcBorders>
            <w:shd w:val="clear" w:color="auto" w:fill="auto"/>
            <w:vAlign w:val="center"/>
            <w:hideMark/>
          </w:tcPr>
          <w:p w14:paraId="0D33680C"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(MWh)</w:t>
            </w:r>
          </w:p>
        </w:tc>
        <w:tc>
          <w:tcPr>
            <w:tcW w:w="1006" w:type="dxa"/>
            <w:tcBorders>
              <w:top w:val="nil"/>
              <w:left w:val="nil"/>
              <w:bottom w:val="single" w:sz="4" w:space="0" w:color="auto"/>
              <w:right w:val="nil"/>
            </w:tcBorders>
            <w:shd w:val="clear" w:color="auto" w:fill="auto"/>
            <w:vAlign w:val="center"/>
            <w:hideMark/>
          </w:tcPr>
          <w:p w14:paraId="082B4451" w14:textId="77777777" w:rsidR="001A7D98" w:rsidRPr="001A7D98" w:rsidRDefault="001A7D98" w:rsidP="001A7D98">
            <w:pPr>
              <w:spacing w:after="0" w:line="240" w:lineRule="auto"/>
              <w:jc w:val="center"/>
              <w:rPr>
                <w:rFonts w:eastAsia="Times New Roman" w:cs="Calibri"/>
                <w:b/>
                <w:bCs/>
                <w:kern w:val="0"/>
              </w:rPr>
            </w:pPr>
            <w:r w:rsidRPr="001A7D98">
              <w:rPr>
                <w:rFonts w:eastAsia="Times New Roman" w:cs="Calibri"/>
                <w:b/>
                <w:bCs/>
                <w:kern w:val="0"/>
              </w:rPr>
              <w:t>(MW)</w:t>
            </w:r>
          </w:p>
        </w:tc>
      </w:tr>
      <w:tr w:rsidR="001A7D98" w:rsidRPr="001A7D98" w14:paraId="5A3CD6F6" w14:textId="77777777" w:rsidTr="00555E07">
        <w:trPr>
          <w:trHeight w:val="300"/>
          <w:jc w:val="center"/>
        </w:trPr>
        <w:tc>
          <w:tcPr>
            <w:tcW w:w="1580" w:type="dxa"/>
            <w:tcBorders>
              <w:top w:val="nil"/>
              <w:left w:val="nil"/>
              <w:bottom w:val="nil"/>
              <w:right w:val="nil"/>
            </w:tcBorders>
            <w:shd w:val="clear" w:color="000000" w:fill="D9D9D9"/>
            <w:noWrap/>
            <w:vAlign w:val="center"/>
            <w:hideMark/>
          </w:tcPr>
          <w:p w14:paraId="3B958109"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4%</w:t>
            </w:r>
          </w:p>
        </w:tc>
        <w:tc>
          <w:tcPr>
            <w:tcW w:w="1238" w:type="dxa"/>
            <w:tcBorders>
              <w:top w:val="nil"/>
              <w:left w:val="nil"/>
              <w:bottom w:val="nil"/>
              <w:right w:val="nil"/>
            </w:tcBorders>
            <w:shd w:val="clear" w:color="000000" w:fill="D9D9D9"/>
            <w:noWrap/>
            <w:vAlign w:val="center"/>
            <w:hideMark/>
          </w:tcPr>
          <w:p w14:paraId="7184196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17.61</w:t>
            </w:r>
          </w:p>
        </w:tc>
        <w:tc>
          <w:tcPr>
            <w:tcW w:w="1151" w:type="dxa"/>
            <w:tcBorders>
              <w:top w:val="nil"/>
              <w:left w:val="nil"/>
              <w:bottom w:val="nil"/>
              <w:right w:val="nil"/>
            </w:tcBorders>
            <w:shd w:val="clear" w:color="000000" w:fill="D9D9D9"/>
            <w:noWrap/>
            <w:vAlign w:val="center"/>
            <w:hideMark/>
          </w:tcPr>
          <w:p w14:paraId="73CF43CE"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79.45</w:t>
            </w:r>
          </w:p>
        </w:tc>
        <w:tc>
          <w:tcPr>
            <w:tcW w:w="940" w:type="dxa"/>
            <w:tcBorders>
              <w:top w:val="nil"/>
              <w:left w:val="nil"/>
              <w:bottom w:val="nil"/>
              <w:right w:val="nil"/>
            </w:tcBorders>
            <w:shd w:val="clear" w:color="000000" w:fill="D9D9D9"/>
            <w:noWrap/>
            <w:vAlign w:val="center"/>
            <w:hideMark/>
          </w:tcPr>
          <w:p w14:paraId="7169297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209,338</w:t>
            </w:r>
          </w:p>
        </w:tc>
        <w:tc>
          <w:tcPr>
            <w:tcW w:w="1027" w:type="dxa"/>
            <w:tcBorders>
              <w:top w:val="nil"/>
              <w:left w:val="nil"/>
              <w:bottom w:val="nil"/>
              <w:right w:val="nil"/>
            </w:tcBorders>
            <w:shd w:val="clear" w:color="000000" w:fill="D9D9D9"/>
            <w:noWrap/>
            <w:vAlign w:val="center"/>
            <w:hideMark/>
          </w:tcPr>
          <w:p w14:paraId="6A68051B"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4.51</w:t>
            </w:r>
          </w:p>
        </w:tc>
        <w:tc>
          <w:tcPr>
            <w:tcW w:w="1354" w:type="dxa"/>
            <w:tcBorders>
              <w:top w:val="nil"/>
              <w:left w:val="nil"/>
              <w:bottom w:val="nil"/>
              <w:right w:val="nil"/>
            </w:tcBorders>
            <w:shd w:val="clear" w:color="000000" w:fill="D9D9D9"/>
            <w:noWrap/>
            <w:vAlign w:val="center"/>
            <w:hideMark/>
          </w:tcPr>
          <w:p w14:paraId="3398BF0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11,890</w:t>
            </w:r>
          </w:p>
        </w:tc>
        <w:tc>
          <w:tcPr>
            <w:tcW w:w="1006" w:type="dxa"/>
            <w:tcBorders>
              <w:top w:val="nil"/>
              <w:left w:val="nil"/>
              <w:bottom w:val="nil"/>
              <w:right w:val="nil"/>
            </w:tcBorders>
            <w:shd w:val="clear" w:color="000000" w:fill="D9D9D9"/>
            <w:noWrap/>
            <w:vAlign w:val="center"/>
            <w:hideMark/>
          </w:tcPr>
          <w:p w14:paraId="05E5C17F"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2,635</w:t>
            </w:r>
          </w:p>
        </w:tc>
      </w:tr>
      <w:tr w:rsidR="001A7D98" w:rsidRPr="001A7D98" w14:paraId="0712FA86" w14:textId="77777777" w:rsidTr="006F7185">
        <w:trPr>
          <w:trHeight w:val="300"/>
          <w:jc w:val="center"/>
        </w:trPr>
        <w:tc>
          <w:tcPr>
            <w:tcW w:w="1580" w:type="dxa"/>
            <w:tcBorders>
              <w:top w:val="nil"/>
              <w:left w:val="nil"/>
              <w:bottom w:val="nil"/>
              <w:right w:val="nil"/>
            </w:tcBorders>
            <w:shd w:val="clear" w:color="auto" w:fill="auto"/>
            <w:noWrap/>
            <w:vAlign w:val="center"/>
            <w:hideMark/>
          </w:tcPr>
          <w:p w14:paraId="6B0F938D"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5%</w:t>
            </w:r>
          </w:p>
        </w:tc>
        <w:tc>
          <w:tcPr>
            <w:tcW w:w="1238" w:type="dxa"/>
            <w:tcBorders>
              <w:top w:val="nil"/>
              <w:left w:val="nil"/>
              <w:bottom w:val="nil"/>
              <w:right w:val="nil"/>
            </w:tcBorders>
            <w:shd w:val="clear" w:color="auto" w:fill="auto"/>
            <w:noWrap/>
            <w:vAlign w:val="center"/>
            <w:hideMark/>
          </w:tcPr>
          <w:p w14:paraId="4F9C6F8C"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11.41</w:t>
            </w:r>
          </w:p>
        </w:tc>
        <w:tc>
          <w:tcPr>
            <w:tcW w:w="1151" w:type="dxa"/>
            <w:tcBorders>
              <w:top w:val="nil"/>
              <w:left w:val="nil"/>
              <w:bottom w:val="nil"/>
              <w:right w:val="nil"/>
            </w:tcBorders>
            <w:shd w:val="clear" w:color="auto" w:fill="auto"/>
            <w:noWrap/>
            <w:vAlign w:val="center"/>
            <w:hideMark/>
          </w:tcPr>
          <w:p w14:paraId="3F703A48"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48.76</w:t>
            </w:r>
          </w:p>
        </w:tc>
        <w:tc>
          <w:tcPr>
            <w:tcW w:w="940" w:type="dxa"/>
            <w:tcBorders>
              <w:top w:val="nil"/>
              <w:left w:val="nil"/>
              <w:bottom w:val="nil"/>
              <w:right w:val="nil"/>
            </w:tcBorders>
            <w:shd w:val="clear" w:color="auto" w:fill="auto"/>
            <w:noWrap/>
            <w:vAlign w:val="center"/>
            <w:hideMark/>
          </w:tcPr>
          <w:p w14:paraId="4F78AFA0"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120,154</w:t>
            </w:r>
          </w:p>
        </w:tc>
        <w:tc>
          <w:tcPr>
            <w:tcW w:w="1027" w:type="dxa"/>
            <w:tcBorders>
              <w:top w:val="nil"/>
              <w:left w:val="nil"/>
              <w:bottom w:val="nil"/>
              <w:right w:val="nil"/>
            </w:tcBorders>
            <w:shd w:val="clear" w:color="auto" w:fill="auto"/>
            <w:noWrap/>
            <w:vAlign w:val="center"/>
            <w:hideMark/>
          </w:tcPr>
          <w:p w14:paraId="63F6744D"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4.27</w:t>
            </w:r>
          </w:p>
        </w:tc>
        <w:tc>
          <w:tcPr>
            <w:tcW w:w="1354" w:type="dxa"/>
            <w:tcBorders>
              <w:top w:val="nil"/>
              <w:left w:val="nil"/>
              <w:bottom w:val="nil"/>
              <w:right w:val="nil"/>
            </w:tcBorders>
            <w:shd w:val="clear" w:color="auto" w:fill="auto"/>
            <w:noWrap/>
            <w:vAlign w:val="center"/>
            <w:hideMark/>
          </w:tcPr>
          <w:p w14:paraId="00D88C6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10,532</w:t>
            </w:r>
          </w:p>
        </w:tc>
        <w:tc>
          <w:tcPr>
            <w:tcW w:w="1006" w:type="dxa"/>
            <w:tcBorders>
              <w:top w:val="nil"/>
              <w:left w:val="nil"/>
              <w:bottom w:val="nil"/>
              <w:right w:val="nil"/>
            </w:tcBorders>
            <w:shd w:val="clear" w:color="auto" w:fill="auto"/>
            <w:noWrap/>
            <w:vAlign w:val="center"/>
            <w:hideMark/>
          </w:tcPr>
          <w:p w14:paraId="0E8E605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2,464</w:t>
            </w:r>
          </w:p>
        </w:tc>
      </w:tr>
      <w:tr w:rsidR="001A7D98" w:rsidRPr="001A7D98" w14:paraId="4F32F5AC" w14:textId="77777777" w:rsidTr="00555E07">
        <w:trPr>
          <w:trHeight w:val="300"/>
          <w:jc w:val="center"/>
        </w:trPr>
        <w:tc>
          <w:tcPr>
            <w:tcW w:w="1580" w:type="dxa"/>
            <w:tcBorders>
              <w:top w:val="nil"/>
              <w:left w:val="nil"/>
              <w:bottom w:val="nil"/>
              <w:right w:val="nil"/>
            </w:tcBorders>
            <w:shd w:val="clear" w:color="000000" w:fill="D9D9D9"/>
            <w:noWrap/>
            <w:vAlign w:val="center"/>
            <w:hideMark/>
          </w:tcPr>
          <w:p w14:paraId="7E218A88"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6%</w:t>
            </w:r>
          </w:p>
        </w:tc>
        <w:tc>
          <w:tcPr>
            <w:tcW w:w="1238" w:type="dxa"/>
            <w:tcBorders>
              <w:top w:val="nil"/>
              <w:left w:val="nil"/>
              <w:bottom w:val="nil"/>
              <w:right w:val="nil"/>
            </w:tcBorders>
            <w:shd w:val="clear" w:color="000000" w:fill="D9D9D9"/>
            <w:noWrap/>
            <w:vAlign w:val="center"/>
            <w:hideMark/>
          </w:tcPr>
          <w:p w14:paraId="67CC6D2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7.39</w:t>
            </w:r>
          </w:p>
        </w:tc>
        <w:tc>
          <w:tcPr>
            <w:tcW w:w="1151" w:type="dxa"/>
            <w:tcBorders>
              <w:top w:val="nil"/>
              <w:left w:val="nil"/>
              <w:bottom w:val="nil"/>
              <w:right w:val="nil"/>
            </w:tcBorders>
            <w:shd w:val="clear" w:color="000000" w:fill="D9D9D9"/>
            <w:noWrap/>
            <w:vAlign w:val="center"/>
            <w:hideMark/>
          </w:tcPr>
          <w:p w14:paraId="2884E01E"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29.93</w:t>
            </w:r>
          </w:p>
        </w:tc>
        <w:tc>
          <w:tcPr>
            <w:tcW w:w="940" w:type="dxa"/>
            <w:tcBorders>
              <w:top w:val="nil"/>
              <w:left w:val="nil"/>
              <w:bottom w:val="nil"/>
              <w:right w:val="nil"/>
            </w:tcBorders>
            <w:shd w:val="clear" w:color="000000" w:fill="D9D9D9"/>
            <w:noWrap/>
            <w:vAlign w:val="center"/>
            <w:hideMark/>
          </w:tcPr>
          <w:p w14:paraId="0C969C0B"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68,964</w:t>
            </w:r>
          </w:p>
        </w:tc>
        <w:tc>
          <w:tcPr>
            <w:tcW w:w="1027" w:type="dxa"/>
            <w:tcBorders>
              <w:top w:val="nil"/>
              <w:left w:val="nil"/>
              <w:bottom w:val="nil"/>
              <w:right w:val="nil"/>
            </w:tcBorders>
            <w:shd w:val="clear" w:color="000000" w:fill="D9D9D9"/>
            <w:noWrap/>
            <w:vAlign w:val="center"/>
            <w:hideMark/>
          </w:tcPr>
          <w:p w14:paraId="08ED0DDE"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4.05</w:t>
            </w:r>
          </w:p>
        </w:tc>
        <w:tc>
          <w:tcPr>
            <w:tcW w:w="1354" w:type="dxa"/>
            <w:tcBorders>
              <w:top w:val="nil"/>
              <w:left w:val="nil"/>
              <w:bottom w:val="nil"/>
              <w:right w:val="nil"/>
            </w:tcBorders>
            <w:shd w:val="clear" w:color="000000" w:fill="D9D9D9"/>
            <w:noWrap/>
            <w:vAlign w:val="center"/>
            <w:hideMark/>
          </w:tcPr>
          <w:p w14:paraId="0939B62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9,329</w:t>
            </w:r>
          </w:p>
        </w:tc>
        <w:tc>
          <w:tcPr>
            <w:tcW w:w="1006" w:type="dxa"/>
            <w:tcBorders>
              <w:top w:val="nil"/>
              <w:left w:val="nil"/>
              <w:bottom w:val="nil"/>
              <w:right w:val="nil"/>
            </w:tcBorders>
            <w:shd w:val="clear" w:color="000000" w:fill="D9D9D9"/>
            <w:noWrap/>
            <w:vAlign w:val="center"/>
            <w:hideMark/>
          </w:tcPr>
          <w:p w14:paraId="060D81A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2,304</w:t>
            </w:r>
          </w:p>
        </w:tc>
      </w:tr>
      <w:tr w:rsidR="001A7D98" w:rsidRPr="001A7D98" w14:paraId="46AB2230" w14:textId="77777777" w:rsidTr="006F7185">
        <w:trPr>
          <w:trHeight w:val="300"/>
          <w:jc w:val="center"/>
        </w:trPr>
        <w:tc>
          <w:tcPr>
            <w:tcW w:w="1580" w:type="dxa"/>
            <w:tcBorders>
              <w:top w:val="nil"/>
              <w:left w:val="nil"/>
              <w:bottom w:val="nil"/>
              <w:right w:val="nil"/>
            </w:tcBorders>
            <w:shd w:val="clear" w:color="auto" w:fill="auto"/>
            <w:noWrap/>
            <w:vAlign w:val="center"/>
            <w:hideMark/>
          </w:tcPr>
          <w:p w14:paraId="7107AECF"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7%</w:t>
            </w:r>
          </w:p>
        </w:tc>
        <w:tc>
          <w:tcPr>
            <w:tcW w:w="1238" w:type="dxa"/>
            <w:tcBorders>
              <w:top w:val="nil"/>
              <w:left w:val="nil"/>
              <w:bottom w:val="nil"/>
              <w:right w:val="nil"/>
            </w:tcBorders>
            <w:shd w:val="clear" w:color="auto" w:fill="auto"/>
            <w:noWrap/>
            <w:vAlign w:val="center"/>
            <w:hideMark/>
          </w:tcPr>
          <w:p w14:paraId="4ECA278C"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4.79</w:t>
            </w:r>
          </w:p>
        </w:tc>
        <w:tc>
          <w:tcPr>
            <w:tcW w:w="1151" w:type="dxa"/>
            <w:tcBorders>
              <w:top w:val="nil"/>
              <w:left w:val="nil"/>
              <w:bottom w:val="nil"/>
              <w:right w:val="nil"/>
            </w:tcBorders>
            <w:shd w:val="clear" w:color="auto" w:fill="auto"/>
            <w:noWrap/>
            <w:vAlign w:val="center"/>
            <w:hideMark/>
          </w:tcPr>
          <w:p w14:paraId="3C5BF28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18.37</w:t>
            </w:r>
          </w:p>
        </w:tc>
        <w:tc>
          <w:tcPr>
            <w:tcW w:w="940" w:type="dxa"/>
            <w:tcBorders>
              <w:top w:val="nil"/>
              <w:left w:val="nil"/>
              <w:bottom w:val="nil"/>
              <w:right w:val="nil"/>
            </w:tcBorders>
            <w:shd w:val="clear" w:color="auto" w:fill="auto"/>
            <w:noWrap/>
            <w:vAlign w:val="center"/>
            <w:hideMark/>
          </w:tcPr>
          <w:p w14:paraId="2E735E7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39,583</w:t>
            </w:r>
          </w:p>
        </w:tc>
        <w:tc>
          <w:tcPr>
            <w:tcW w:w="1027" w:type="dxa"/>
            <w:tcBorders>
              <w:top w:val="nil"/>
              <w:left w:val="nil"/>
              <w:bottom w:val="nil"/>
              <w:right w:val="nil"/>
            </w:tcBorders>
            <w:shd w:val="clear" w:color="auto" w:fill="auto"/>
            <w:noWrap/>
            <w:vAlign w:val="center"/>
            <w:hideMark/>
          </w:tcPr>
          <w:p w14:paraId="1AFBAAA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3.83</w:t>
            </w:r>
          </w:p>
        </w:tc>
        <w:tc>
          <w:tcPr>
            <w:tcW w:w="1354" w:type="dxa"/>
            <w:tcBorders>
              <w:top w:val="nil"/>
              <w:left w:val="nil"/>
              <w:bottom w:val="nil"/>
              <w:right w:val="nil"/>
            </w:tcBorders>
            <w:shd w:val="clear" w:color="auto" w:fill="auto"/>
            <w:noWrap/>
            <w:vAlign w:val="center"/>
            <w:hideMark/>
          </w:tcPr>
          <w:p w14:paraId="43CEEE6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8,264</w:t>
            </w:r>
          </w:p>
        </w:tc>
        <w:tc>
          <w:tcPr>
            <w:tcW w:w="1006" w:type="dxa"/>
            <w:tcBorders>
              <w:top w:val="nil"/>
              <w:left w:val="nil"/>
              <w:bottom w:val="nil"/>
              <w:right w:val="nil"/>
            </w:tcBorders>
            <w:shd w:val="clear" w:color="auto" w:fill="auto"/>
            <w:noWrap/>
            <w:vAlign w:val="center"/>
            <w:hideMark/>
          </w:tcPr>
          <w:p w14:paraId="749D03E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2,155</w:t>
            </w:r>
          </w:p>
        </w:tc>
      </w:tr>
      <w:tr w:rsidR="001A7D98" w:rsidRPr="001A7D98" w14:paraId="7023E539" w14:textId="77777777" w:rsidTr="00555E07">
        <w:trPr>
          <w:trHeight w:val="300"/>
          <w:jc w:val="center"/>
        </w:trPr>
        <w:tc>
          <w:tcPr>
            <w:tcW w:w="1580" w:type="dxa"/>
            <w:tcBorders>
              <w:top w:val="nil"/>
              <w:left w:val="nil"/>
              <w:bottom w:val="nil"/>
              <w:right w:val="nil"/>
            </w:tcBorders>
            <w:shd w:val="clear" w:color="000000" w:fill="D9D9D9"/>
            <w:noWrap/>
            <w:vAlign w:val="center"/>
            <w:hideMark/>
          </w:tcPr>
          <w:p w14:paraId="2E4B55B1"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8%</w:t>
            </w:r>
          </w:p>
        </w:tc>
        <w:tc>
          <w:tcPr>
            <w:tcW w:w="1238" w:type="dxa"/>
            <w:tcBorders>
              <w:top w:val="nil"/>
              <w:left w:val="nil"/>
              <w:bottom w:val="nil"/>
              <w:right w:val="nil"/>
            </w:tcBorders>
            <w:shd w:val="clear" w:color="000000" w:fill="D9D9D9"/>
            <w:noWrap/>
            <w:vAlign w:val="center"/>
            <w:hideMark/>
          </w:tcPr>
          <w:p w14:paraId="1B23415E"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3.10</w:t>
            </w:r>
          </w:p>
        </w:tc>
        <w:tc>
          <w:tcPr>
            <w:tcW w:w="1151" w:type="dxa"/>
            <w:tcBorders>
              <w:top w:val="nil"/>
              <w:left w:val="nil"/>
              <w:bottom w:val="nil"/>
              <w:right w:val="nil"/>
            </w:tcBorders>
            <w:shd w:val="clear" w:color="000000" w:fill="D9D9D9"/>
            <w:noWrap/>
            <w:vAlign w:val="center"/>
            <w:hideMark/>
          </w:tcPr>
          <w:p w14:paraId="328F735D"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11.27</w:t>
            </w:r>
          </w:p>
        </w:tc>
        <w:tc>
          <w:tcPr>
            <w:tcW w:w="940" w:type="dxa"/>
            <w:tcBorders>
              <w:top w:val="nil"/>
              <w:left w:val="nil"/>
              <w:bottom w:val="nil"/>
              <w:right w:val="nil"/>
            </w:tcBorders>
            <w:shd w:val="clear" w:color="000000" w:fill="D9D9D9"/>
            <w:noWrap/>
            <w:vAlign w:val="center"/>
            <w:hideMark/>
          </w:tcPr>
          <w:p w14:paraId="444983D0"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22,720</w:t>
            </w:r>
          </w:p>
        </w:tc>
        <w:tc>
          <w:tcPr>
            <w:tcW w:w="1027" w:type="dxa"/>
            <w:tcBorders>
              <w:top w:val="nil"/>
              <w:left w:val="nil"/>
              <w:bottom w:val="nil"/>
              <w:right w:val="nil"/>
            </w:tcBorders>
            <w:shd w:val="clear" w:color="000000" w:fill="D9D9D9"/>
            <w:noWrap/>
            <w:vAlign w:val="center"/>
            <w:hideMark/>
          </w:tcPr>
          <w:p w14:paraId="535291E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3.63</w:t>
            </w:r>
          </w:p>
        </w:tc>
        <w:tc>
          <w:tcPr>
            <w:tcW w:w="1354" w:type="dxa"/>
            <w:tcBorders>
              <w:top w:val="nil"/>
              <w:left w:val="nil"/>
              <w:bottom w:val="nil"/>
              <w:right w:val="nil"/>
            </w:tcBorders>
            <w:shd w:val="clear" w:color="000000" w:fill="D9D9D9"/>
            <w:noWrap/>
            <w:vAlign w:val="center"/>
            <w:hideMark/>
          </w:tcPr>
          <w:p w14:paraId="21B47F3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7,320</w:t>
            </w:r>
          </w:p>
        </w:tc>
        <w:tc>
          <w:tcPr>
            <w:tcW w:w="1006" w:type="dxa"/>
            <w:tcBorders>
              <w:top w:val="nil"/>
              <w:left w:val="nil"/>
              <w:bottom w:val="nil"/>
              <w:right w:val="nil"/>
            </w:tcBorders>
            <w:shd w:val="clear" w:color="000000" w:fill="D9D9D9"/>
            <w:noWrap/>
            <w:vAlign w:val="center"/>
            <w:hideMark/>
          </w:tcPr>
          <w:p w14:paraId="24807C0E"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2,015</w:t>
            </w:r>
          </w:p>
        </w:tc>
      </w:tr>
      <w:tr w:rsidR="001A7D98" w:rsidRPr="001A7D98" w14:paraId="01143B2E" w14:textId="77777777" w:rsidTr="006F7185">
        <w:trPr>
          <w:trHeight w:val="300"/>
          <w:jc w:val="center"/>
        </w:trPr>
        <w:tc>
          <w:tcPr>
            <w:tcW w:w="1580" w:type="dxa"/>
            <w:tcBorders>
              <w:top w:val="nil"/>
              <w:left w:val="nil"/>
              <w:bottom w:val="nil"/>
              <w:right w:val="nil"/>
            </w:tcBorders>
            <w:shd w:val="clear" w:color="auto" w:fill="auto"/>
            <w:noWrap/>
            <w:vAlign w:val="center"/>
            <w:hideMark/>
          </w:tcPr>
          <w:p w14:paraId="2C1DA821"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9%</w:t>
            </w:r>
          </w:p>
        </w:tc>
        <w:tc>
          <w:tcPr>
            <w:tcW w:w="1238" w:type="dxa"/>
            <w:tcBorders>
              <w:top w:val="nil"/>
              <w:left w:val="nil"/>
              <w:bottom w:val="nil"/>
              <w:right w:val="nil"/>
            </w:tcBorders>
            <w:shd w:val="clear" w:color="auto" w:fill="auto"/>
            <w:noWrap/>
            <w:vAlign w:val="center"/>
            <w:hideMark/>
          </w:tcPr>
          <w:p w14:paraId="08C7CD8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2.01</w:t>
            </w:r>
          </w:p>
        </w:tc>
        <w:tc>
          <w:tcPr>
            <w:tcW w:w="1151" w:type="dxa"/>
            <w:tcBorders>
              <w:top w:val="nil"/>
              <w:left w:val="nil"/>
              <w:bottom w:val="nil"/>
              <w:right w:val="nil"/>
            </w:tcBorders>
            <w:shd w:val="clear" w:color="auto" w:fill="auto"/>
            <w:noWrap/>
            <w:vAlign w:val="center"/>
            <w:hideMark/>
          </w:tcPr>
          <w:p w14:paraId="7424C88C"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6.92</w:t>
            </w:r>
          </w:p>
        </w:tc>
        <w:tc>
          <w:tcPr>
            <w:tcW w:w="940" w:type="dxa"/>
            <w:tcBorders>
              <w:top w:val="nil"/>
              <w:left w:val="nil"/>
              <w:bottom w:val="nil"/>
              <w:right w:val="nil"/>
            </w:tcBorders>
            <w:shd w:val="clear" w:color="auto" w:fill="auto"/>
            <w:noWrap/>
            <w:vAlign w:val="center"/>
            <w:hideMark/>
          </w:tcPr>
          <w:p w14:paraId="422EA38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13,040</w:t>
            </w:r>
          </w:p>
        </w:tc>
        <w:tc>
          <w:tcPr>
            <w:tcW w:w="1027" w:type="dxa"/>
            <w:tcBorders>
              <w:top w:val="nil"/>
              <w:left w:val="nil"/>
              <w:bottom w:val="nil"/>
              <w:right w:val="nil"/>
            </w:tcBorders>
            <w:shd w:val="clear" w:color="auto" w:fill="auto"/>
            <w:noWrap/>
            <w:vAlign w:val="center"/>
            <w:hideMark/>
          </w:tcPr>
          <w:p w14:paraId="1243ADC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3.44</w:t>
            </w:r>
          </w:p>
        </w:tc>
        <w:tc>
          <w:tcPr>
            <w:tcW w:w="1354" w:type="dxa"/>
            <w:tcBorders>
              <w:top w:val="nil"/>
              <w:left w:val="nil"/>
              <w:bottom w:val="nil"/>
              <w:right w:val="nil"/>
            </w:tcBorders>
            <w:shd w:val="clear" w:color="auto" w:fill="auto"/>
            <w:noWrap/>
            <w:vAlign w:val="center"/>
            <w:hideMark/>
          </w:tcPr>
          <w:p w14:paraId="496EBFA7"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6,484</w:t>
            </w:r>
          </w:p>
        </w:tc>
        <w:tc>
          <w:tcPr>
            <w:tcW w:w="1006" w:type="dxa"/>
            <w:tcBorders>
              <w:top w:val="nil"/>
              <w:left w:val="nil"/>
              <w:bottom w:val="nil"/>
              <w:right w:val="nil"/>
            </w:tcBorders>
            <w:shd w:val="clear" w:color="auto" w:fill="auto"/>
            <w:noWrap/>
            <w:vAlign w:val="center"/>
            <w:hideMark/>
          </w:tcPr>
          <w:p w14:paraId="38BB3605"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1,885</w:t>
            </w:r>
          </w:p>
        </w:tc>
      </w:tr>
      <w:tr w:rsidR="001A7D98" w:rsidRPr="001A7D98" w14:paraId="32E23A6A" w14:textId="77777777" w:rsidTr="00555E07">
        <w:trPr>
          <w:trHeight w:val="300"/>
          <w:jc w:val="center"/>
        </w:trPr>
        <w:tc>
          <w:tcPr>
            <w:tcW w:w="1580" w:type="dxa"/>
            <w:tcBorders>
              <w:top w:val="nil"/>
              <w:left w:val="nil"/>
              <w:bottom w:val="nil"/>
              <w:right w:val="nil"/>
            </w:tcBorders>
            <w:shd w:val="clear" w:color="000000" w:fill="D9D9D9"/>
            <w:noWrap/>
            <w:vAlign w:val="center"/>
            <w:hideMark/>
          </w:tcPr>
          <w:p w14:paraId="002F13A1"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10%</w:t>
            </w:r>
          </w:p>
        </w:tc>
        <w:tc>
          <w:tcPr>
            <w:tcW w:w="1238" w:type="dxa"/>
            <w:tcBorders>
              <w:top w:val="nil"/>
              <w:left w:val="nil"/>
              <w:bottom w:val="nil"/>
              <w:right w:val="nil"/>
            </w:tcBorders>
            <w:shd w:val="clear" w:color="000000" w:fill="D9D9D9"/>
            <w:noWrap/>
            <w:vAlign w:val="center"/>
            <w:hideMark/>
          </w:tcPr>
          <w:p w14:paraId="2910B8A5"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1.30</w:t>
            </w:r>
          </w:p>
        </w:tc>
        <w:tc>
          <w:tcPr>
            <w:tcW w:w="1151" w:type="dxa"/>
            <w:tcBorders>
              <w:top w:val="nil"/>
              <w:left w:val="nil"/>
              <w:bottom w:val="nil"/>
              <w:right w:val="nil"/>
            </w:tcBorders>
            <w:shd w:val="clear" w:color="000000" w:fill="D9D9D9"/>
            <w:noWrap/>
            <w:vAlign w:val="center"/>
            <w:hideMark/>
          </w:tcPr>
          <w:p w14:paraId="018856E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4.25</w:t>
            </w:r>
          </w:p>
        </w:tc>
        <w:tc>
          <w:tcPr>
            <w:tcW w:w="940" w:type="dxa"/>
            <w:tcBorders>
              <w:top w:val="nil"/>
              <w:left w:val="nil"/>
              <w:bottom w:val="nil"/>
              <w:right w:val="nil"/>
            </w:tcBorders>
            <w:shd w:val="clear" w:color="000000" w:fill="D9D9D9"/>
            <w:noWrap/>
            <w:vAlign w:val="center"/>
            <w:hideMark/>
          </w:tcPr>
          <w:p w14:paraId="667B093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7,485</w:t>
            </w:r>
          </w:p>
        </w:tc>
        <w:tc>
          <w:tcPr>
            <w:tcW w:w="1027" w:type="dxa"/>
            <w:tcBorders>
              <w:top w:val="nil"/>
              <w:left w:val="nil"/>
              <w:bottom w:val="nil"/>
              <w:right w:val="nil"/>
            </w:tcBorders>
            <w:shd w:val="clear" w:color="000000" w:fill="D9D9D9"/>
            <w:noWrap/>
            <w:vAlign w:val="center"/>
            <w:hideMark/>
          </w:tcPr>
          <w:p w14:paraId="191DD515"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3.26</w:t>
            </w:r>
          </w:p>
        </w:tc>
        <w:tc>
          <w:tcPr>
            <w:tcW w:w="1354" w:type="dxa"/>
            <w:tcBorders>
              <w:top w:val="nil"/>
              <w:left w:val="nil"/>
              <w:bottom w:val="nil"/>
              <w:right w:val="nil"/>
            </w:tcBorders>
            <w:shd w:val="clear" w:color="000000" w:fill="D9D9D9"/>
            <w:noWrap/>
            <w:vAlign w:val="center"/>
            <w:hideMark/>
          </w:tcPr>
          <w:p w14:paraId="288451DC"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5,744</w:t>
            </w:r>
          </w:p>
        </w:tc>
        <w:tc>
          <w:tcPr>
            <w:tcW w:w="1006" w:type="dxa"/>
            <w:tcBorders>
              <w:top w:val="nil"/>
              <w:left w:val="nil"/>
              <w:bottom w:val="nil"/>
              <w:right w:val="nil"/>
            </w:tcBorders>
            <w:shd w:val="clear" w:color="000000" w:fill="D9D9D9"/>
            <w:noWrap/>
            <w:vAlign w:val="center"/>
            <w:hideMark/>
          </w:tcPr>
          <w:p w14:paraId="7745267B"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1,762</w:t>
            </w:r>
          </w:p>
        </w:tc>
      </w:tr>
      <w:tr w:rsidR="001A7D98" w:rsidRPr="001A7D98" w14:paraId="72642912" w14:textId="77777777" w:rsidTr="006F7185">
        <w:trPr>
          <w:trHeight w:val="300"/>
          <w:jc w:val="center"/>
        </w:trPr>
        <w:tc>
          <w:tcPr>
            <w:tcW w:w="1580" w:type="dxa"/>
            <w:tcBorders>
              <w:top w:val="nil"/>
              <w:left w:val="nil"/>
              <w:bottom w:val="nil"/>
              <w:right w:val="nil"/>
            </w:tcBorders>
            <w:shd w:val="clear" w:color="auto" w:fill="auto"/>
            <w:noWrap/>
            <w:vAlign w:val="center"/>
            <w:hideMark/>
          </w:tcPr>
          <w:p w14:paraId="2BE7C68E"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11%</w:t>
            </w:r>
          </w:p>
        </w:tc>
        <w:tc>
          <w:tcPr>
            <w:tcW w:w="1238" w:type="dxa"/>
            <w:tcBorders>
              <w:top w:val="nil"/>
              <w:left w:val="nil"/>
              <w:bottom w:val="nil"/>
              <w:right w:val="nil"/>
            </w:tcBorders>
            <w:shd w:val="clear" w:color="auto" w:fill="auto"/>
            <w:noWrap/>
            <w:vAlign w:val="center"/>
            <w:hideMark/>
          </w:tcPr>
          <w:p w14:paraId="75B90B7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0.84</w:t>
            </w:r>
          </w:p>
        </w:tc>
        <w:tc>
          <w:tcPr>
            <w:tcW w:w="1151" w:type="dxa"/>
            <w:tcBorders>
              <w:top w:val="nil"/>
              <w:left w:val="nil"/>
              <w:bottom w:val="nil"/>
              <w:right w:val="nil"/>
            </w:tcBorders>
            <w:shd w:val="clear" w:color="auto" w:fill="auto"/>
            <w:noWrap/>
            <w:vAlign w:val="center"/>
            <w:hideMark/>
          </w:tcPr>
          <w:p w14:paraId="56F9411F"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2.61</w:t>
            </w:r>
          </w:p>
        </w:tc>
        <w:tc>
          <w:tcPr>
            <w:tcW w:w="940" w:type="dxa"/>
            <w:tcBorders>
              <w:top w:val="nil"/>
              <w:left w:val="nil"/>
              <w:bottom w:val="nil"/>
              <w:right w:val="nil"/>
            </w:tcBorders>
            <w:shd w:val="clear" w:color="auto" w:fill="auto"/>
            <w:noWrap/>
            <w:vAlign w:val="center"/>
            <w:hideMark/>
          </w:tcPr>
          <w:p w14:paraId="33443654"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4,296</w:t>
            </w:r>
          </w:p>
        </w:tc>
        <w:tc>
          <w:tcPr>
            <w:tcW w:w="1027" w:type="dxa"/>
            <w:tcBorders>
              <w:top w:val="nil"/>
              <w:left w:val="nil"/>
              <w:bottom w:val="nil"/>
              <w:right w:val="nil"/>
            </w:tcBorders>
            <w:shd w:val="clear" w:color="auto" w:fill="auto"/>
            <w:noWrap/>
            <w:vAlign w:val="center"/>
            <w:hideMark/>
          </w:tcPr>
          <w:p w14:paraId="5AE4F5D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3.09</w:t>
            </w:r>
          </w:p>
        </w:tc>
        <w:tc>
          <w:tcPr>
            <w:tcW w:w="1354" w:type="dxa"/>
            <w:tcBorders>
              <w:top w:val="nil"/>
              <w:left w:val="nil"/>
              <w:bottom w:val="nil"/>
              <w:right w:val="nil"/>
            </w:tcBorders>
            <w:shd w:val="clear" w:color="auto" w:fill="auto"/>
            <w:noWrap/>
            <w:vAlign w:val="center"/>
            <w:hideMark/>
          </w:tcPr>
          <w:p w14:paraId="1CB8950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5,088</w:t>
            </w:r>
          </w:p>
        </w:tc>
        <w:tc>
          <w:tcPr>
            <w:tcW w:w="1006" w:type="dxa"/>
            <w:tcBorders>
              <w:top w:val="nil"/>
              <w:left w:val="nil"/>
              <w:bottom w:val="nil"/>
              <w:right w:val="nil"/>
            </w:tcBorders>
            <w:shd w:val="clear" w:color="auto" w:fill="auto"/>
            <w:noWrap/>
            <w:vAlign w:val="center"/>
            <w:hideMark/>
          </w:tcPr>
          <w:p w14:paraId="7039BF1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1,648</w:t>
            </w:r>
          </w:p>
        </w:tc>
      </w:tr>
      <w:tr w:rsidR="001A7D98" w:rsidRPr="001A7D98" w14:paraId="3626C5D6" w14:textId="77777777" w:rsidTr="00555E07">
        <w:trPr>
          <w:trHeight w:val="300"/>
          <w:jc w:val="center"/>
        </w:trPr>
        <w:tc>
          <w:tcPr>
            <w:tcW w:w="1580" w:type="dxa"/>
            <w:tcBorders>
              <w:top w:val="nil"/>
              <w:left w:val="nil"/>
              <w:bottom w:val="nil"/>
              <w:right w:val="nil"/>
            </w:tcBorders>
            <w:shd w:val="clear" w:color="000000" w:fill="D9D9D9"/>
            <w:noWrap/>
            <w:vAlign w:val="center"/>
            <w:hideMark/>
          </w:tcPr>
          <w:p w14:paraId="07888A68"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12%</w:t>
            </w:r>
          </w:p>
        </w:tc>
        <w:tc>
          <w:tcPr>
            <w:tcW w:w="1238" w:type="dxa"/>
            <w:tcBorders>
              <w:top w:val="nil"/>
              <w:left w:val="nil"/>
              <w:bottom w:val="nil"/>
              <w:right w:val="nil"/>
            </w:tcBorders>
            <w:shd w:val="clear" w:color="000000" w:fill="D9D9D9"/>
            <w:noWrap/>
            <w:vAlign w:val="center"/>
            <w:hideMark/>
          </w:tcPr>
          <w:p w14:paraId="1C327CCB"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0.55</w:t>
            </w:r>
          </w:p>
        </w:tc>
        <w:tc>
          <w:tcPr>
            <w:tcW w:w="1151" w:type="dxa"/>
            <w:tcBorders>
              <w:top w:val="nil"/>
              <w:left w:val="nil"/>
              <w:bottom w:val="nil"/>
              <w:right w:val="nil"/>
            </w:tcBorders>
            <w:shd w:val="clear" w:color="000000" w:fill="D9D9D9"/>
            <w:noWrap/>
            <w:vAlign w:val="center"/>
            <w:hideMark/>
          </w:tcPr>
          <w:p w14:paraId="57EA366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1.60</w:t>
            </w:r>
          </w:p>
        </w:tc>
        <w:tc>
          <w:tcPr>
            <w:tcW w:w="940" w:type="dxa"/>
            <w:tcBorders>
              <w:top w:val="nil"/>
              <w:left w:val="nil"/>
              <w:bottom w:val="nil"/>
              <w:right w:val="nil"/>
            </w:tcBorders>
            <w:shd w:val="clear" w:color="000000" w:fill="D9D9D9"/>
            <w:noWrap/>
            <w:vAlign w:val="center"/>
            <w:hideMark/>
          </w:tcPr>
          <w:p w14:paraId="4F35481C"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2,466</w:t>
            </w:r>
          </w:p>
        </w:tc>
        <w:tc>
          <w:tcPr>
            <w:tcW w:w="1027" w:type="dxa"/>
            <w:tcBorders>
              <w:top w:val="nil"/>
              <w:left w:val="nil"/>
              <w:bottom w:val="nil"/>
              <w:right w:val="nil"/>
            </w:tcBorders>
            <w:shd w:val="clear" w:color="000000" w:fill="D9D9D9"/>
            <w:noWrap/>
            <w:vAlign w:val="center"/>
            <w:hideMark/>
          </w:tcPr>
          <w:p w14:paraId="4A1C335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2.92</w:t>
            </w:r>
          </w:p>
        </w:tc>
        <w:tc>
          <w:tcPr>
            <w:tcW w:w="1354" w:type="dxa"/>
            <w:tcBorders>
              <w:top w:val="nil"/>
              <w:left w:val="nil"/>
              <w:bottom w:val="nil"/>
              <w:right w:val="nil"/>
            </w:tcBorders>
            <w:shd w:val="clear" w:color="000000" w:fill="D9D9D9"/>
            <w:noWrap/>
            <w:vAlign w:val="center"/>
            <w:hideMark/>
          </w:tcPr>
          <w:p w14:paraId="36EA49ED"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4,507</w:t>
            </w:r>
          </w:p>
        </w:tc>
        <w:tc>
          <w:tcPr>
            <w:tcW w:w="1006" w:type="dxa"/>
            <w:tcBorders>
              <w:top w:val="nil"/>
              <w:left w:val="nil"/>
              <w:bottom w:val="nil"/>
              <w:right w:val="nil"/>
            </w:tcBorders>
            <w:shd w:val="clear" w:color="000000" w:fill="D9D9D9"/>
            <w:noWrap/>
            <w:vAlign w:val="center"/>
            <w:hideMark/>
          </w:tcPr>
          <w:p w14:paraId="5522E13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1,541</w:t>
            </w:r>
          </w:p>
        </w:tc>
      </w:tr>
      <w:tr w:rsidR="001A7D98" w:rsidRPr="001A7D98" w14:paraId="7F05F894" w14:textId="77777777" w:rsidTr="006F7185">
        <w:trPr>
          <w:trHeight w:val="300"/>
          <w:jc w:val="center"/>
        </w:trPr>
        <w:tc>
          <w:tcPr>
            <w:tcW w:w="1580" w:type="dxa"/>
            <w:tcBorders>
              <w:top w:val="nil"/>
              <w:left w:val="nil"/>
              <w:bottom w:val="nil"/>
              <w:right w:val="nil"/>
            </w:tcBorders>
            <w:shd w:val="clear" w:color="auto" w:fill="auto"/>
            <w:noWrap/>
            <w:vAlign w:val="center"/>
            <w:hideMark/>
          </w:tcPr>
          <w:p w14:paraId="088067D4"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13%</w:t>
            </w:r>
          </w:p>
        </w:tc>
        <w:tc>
          <w:tcPr>
            <w:tcW w:w="1238" w:type="dxa"/>
            <w:tcBorders>
              <w:top w:val="nil"/>
              <w:left w:val="nil"/>
              <w:bottom w:val="nil"/>
              <w:right w:val="nil"/>
            </w:tcBorders>
            <w:shd w:val="clear" w:color="auto" w:fill="auto"/>
            <w:noWrap/>
            <w:vAlign w:val="center"/>
            <w:hideMark/>
          </w:tcPr>
          <w:p w14:paraId="411BF5A0"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0.35</w:t>
            </w:r>
          </w:p>
        </w:tc>
        <w:tc>
          <w:tcPr>
            <w:tcW w:w="1151" w:type="dxa"/>
            <w:tcBorders>
              <w:top w:val="nil"/>
              <w:left w:val="nil"/>
              <w:bottom w:val="nil"/>
              <w:right w:val="nil"/>
            </w:tcBorders>
            <w:shd w:val="clear" w:color="auto" w:fill="auto"/>
            <w:noWrap/>
            <w:vAlign w:val="center"/>
            <w:hideMark/>
          </w:tcPr>
          <w:p w14:paraId="68AACB25"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0.98</w:t>
            </w:r>
          </w:p>
        </w:tc>
        <w:tc>
          <w:tcPr>
            <w:tcW w:w="940" w:type="dxa"/>
            <w:tcBorders>
              <w:top w:val="nil"/>
              <w:left w:val="nil"/>
              <w:bottom w:val="nil"/>
              <w:right w:val="nil"/>
            </w:tcBorders>
            <w:shd w:val="clear" w:color="auto" w:fill="auto"/>
            <w:noWrap/>
            <w:vAlign w:val="center"/>
            <w:hideMark/>
          </w:tcPr>
          <w:p w14:paraId="7B404A57"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1,415</w:t>
            </w:r>
          </w:p>
        </w:tc>
        <w:tc>
          <w:tcPr>
            <w:tcW w:w="1027" w:type="dxa"/>
            <w:tcBorders>
              <w:top w:val="nil"/>
              <w:left w:val="nil"/>
              <w:bottom w:val="nil"/>
              <w:right w:val="nil"/>
            </w:tcBorders>
            <w:shd w:val="clear" w:color="auto" w:fill="auto"/>
            <w:noWrap/>
            <w:vAlign w:val="center"/>
            <w:hideMark/>
          </w:tcPr>
          <w:p w14:paraId="6C70EE21"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2.77</w:t>
            </w:r>
          </w:p>
        </w:tc>
        <w:tc>
          <w:tcPr>
            <w:tcW w:w="1354" w:type="dxa"/>
            <w:tcBorders>
              <w:top w:val="nil"/>
              <w:left w:val="nil"/>
              <w:bottom w:val="nil"/>
              <w:right w:val="nil"/>
            </w:tcBorders>
            <w:shd w:val="clear" w:color="auto" w:fill="auto"/>
            <w:noWrap/>
            <w:vAlign w:val="center"/>
            <w:hideMark/>
          </w:tcPr>
          <w:p w14:paraId="436C5203"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3,992</w:t>
            </w:r>
          </w:p>
        </w:tc>
        <w:tc>
          <w:tcPr>
            <w:tcW w:w="1006" w:type="dxa"/>
            <w:tcBorders>
              <w:top w:val="nil"/>
              <w:left w:val="nil"/>
              <w:bottom w:val="nil"/>
              <w:right w:val="nil"/>
            </w:tcBorders>
            <w:shd w:val="clear" w:color="auto" w:fill="auto"/>
            <w:noWrap/>
            <w:vAlign w:val="center"/>
            <w:hideMark/>
          </w:tcPr>
          <w:p w14:paraId="2D9317D4"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1,441</w:t>
            </w:r>
          </w:p>
        </w:tc>
      </w:tr>
      <w:tr w:rsidR="001A7D98" w:rsidRPr="001A7D98" w14:paraId="1DFC3CB1" w14:textId="77777777" w:rsidTr="00555E07">
        <w:trPr>
          <w:trHeight w:val="300"/>
          <w:jc w:val="center"/>
        </w:trPr>
        <w:tc>
          <w:tcPr>
            <w:tcW w:w="1580" w:type="dxa"/>
            <w:tcBorders>
              <w:top w:val="nil"/>
              <w:left w:val="nil"/>
              <w:bottom w:val="nil"/>
              <w:right w:val="nil"/>
            </w:tcBorders>
            <w:shd w:val="clear" w:color="000000" w:fill="D9D9D9"/>
            <w:noWrap/>
            <w:vAlign w:val="center"/>
            <w:hideMark/>
          </w:tcPr>
          <w:p w14:paraId="231E3A6E"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14%</w:t>
            </w:r>
          </w:p>
        </w:tc>
        <w:tc>
          <w:tcPr>
            <w:tcW w:w="1238" w:type="dxa"/>
            <w:tcBorders>
              <w:top w:val="nil"/>
              <w:left w:val="nil"/>
              <w:bottom w:val="nil"/>
              <w:right w:val="nil"/>
            </w:tcBorders>
            <w:shd w:val="clear" w:color="000000" w:fill="D9D9D9"/>
            <w:noWrap/>
            <w:vAlign w:val="center"/>
            <w:hideMark/>
          </w:tcPr>
          <w:p w14:paraId="59B460C1"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0.23</w:t>
            </w:r>
          </w:p>
        </w:tc>
        <w:tc>
          <w:tcPr>
            <w:tcW w:w="1151" w:type="dxa"/>
            <w:tcBorders>
              <w:top w:val="nil"/>
              <w:left w:val="nil"/>
              <w:bottom w:val="nil"/>
              <w:right w:val="nil"/>
            </w:tcBorders>
            <w:shd w:val="clear" w:color="000000" w:fill="D9D9D9"/>
            <w:noWrap/>
            <w:vAlign w:val="center"/>
            <w:hideMark/>
          </w:tcPr>
          <w:p w14:paraId="77F0C14C"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0.60</w:t>
            </w:r>
          </w:p>
        </w:tc>
        <w:tc>
          <w:tcPr>
            <w:tcW w:w="940" w:type="dxa"/>
            <w:tcBorders>
              <w:top w:val="nil"/>
              <w:left w:val="nil"/>
              <w:bottom w:val="nil"/>
              <w:right w:val="nil"/>
            </w:tcBorders>
            <w:shd w:val="clear" w:color="000000" w:fill="D9D9D9"/>
            <w:noWrap/>
            <w:vAlign w:val="center"/>
            <w:hideMark/>
          </w:tcPr>
          <w:p w14:paraId="6A34841B"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812</w:t>
            </w:r>
          </w:p>
        </w:tc>
        <w:tc>
          <w:tcPr>
            <w:tcW w:w="1027" w:type="dxa"/>
            <w:tcBorders>
              <w:top w:val="nil"/>
              <w:left w:val="nil"/>
              <w:bottom w:val="nil"/>
              <w:right w:val="nil"/>
            </w:tcBorders>
            <w:shd w:val="clear" w:color="000000" w:fill="D9D9D9"/>
            <w:noWrap/>
            <w:vAlign w:val="center"/>
            <w:hideMark/>
          </w:tcPr>
          <w:p w14:paraId="7BBCF79E"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2.62</w:t>
            </w:r>
          </w:p>
        </w:tc>
        <w:tc>
          <w:tcPr>
            <w:tcW w:w="1354" w:type="dxa"/>
            <w:tcBorders>
              <w:top w:val="nil"/>
              <w:left w:val="nil"/>
              <w:bottom w:val="nil"/>
              <w:right w:val="nil"/>
            </w:tcBorders>
            <w:shd w:val="clear" w:color="000000" w:fill="D9D9D9"/>
            <w:noWrap/>
            <w:vAlign w:val="center"/>
            <w:hideMark/>
          </w:tcPr>
          <w:p w14:paraId="1B745340"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3,536</w:t>
            </w:r>
          </w:p>
        </w:tc>
        <w:tc>
          <w:tcPr>
            <w:tcW w:w="1006" w:type="dxa"/>
            <w:tcBorders>
              <w:top w:val="nil"/>
              <w:left w:val="nil"/>
              <w:bottom w:val="nil"/>
              <w:right w:val="nil"/>
            </w:tcBorders>
            <w:shd w:val="clear" w:color="000000" w:fill="D9D9D9"/>
            <w:noWrap/>
            <w:vAlign w:val="center"/>
            <w:hideMark/>
          </w:tcPr>
          <w:p w14:paraId="58AA72A0"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1,348</w:t>
            </w:r>
          </w:p>
        </w:tc>
      </w:tr>
      <w:tr w:rsidR="001A7D98" w:rsidRPr="001A7D98" w14:paraId="7A42829A" w14:textId="77777777" w:rsidTr="006F7185">
        <w:trPr>
          <w:trHeight w:val="300"/>
          <w:jc w:val="center"/>
        </w:trPr>
        <w:tc>
          <w:tcPr>
            <w:tcW w:w="1580" w:type="dxa"/>
            <w:tcBorders>
              <w:top w:val="nil"/>
              <w:left w:val="nil"/>
              <w:bottom w:val="nil"/>
              <w:right w:val="nil"/>
            </w:tcBorders>
            <w:shd w:val="clear" w:color="auto" w:fill="auto"/>
            <w:noWrap/>
            <w:vAlign w:val="center"/>
            <w:hideMark/>
          </w:tcPr>
          <w:p w14:paraId="70B12099"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15%</w:t>
            </w:r>
          </w:p>
        </w:tc>
        <w:tc>
          <w:tcPr>
            <w:tcW w:w="1238" w:type="dxa"/>
            <w:tcBorders>
              <w:top w:val="nil"/>
              <w:left w:val="nil"/>
              <w:bottom w:val="nil"/>
              <w:right w:val="nil"/>
            </w:tcBorders>
            <w:shd w:val="clear" w:color="auto" w:fill="auto"/>
            <w:noWrap/>
            <w:vAlign w:val="center"/>
            <w:hideMark/>
          </w:tcPr>
          <w:p w14:paraId="563C86A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0.15</w:t>
            </w:r>
          </w:p>
        </w:tc>
        <w:tc>
          <w:tcPr>
            <w:tcW w:w="1151" w:type="dxa"/>
            <w:tcBorders>
              <w:top w:val="nil"/>
              <w:left w:val="nil"/>
              <w:bottom w:val="nil"/>
              <w:right w:val="nil"/>
            </w:tcBorders>
            <w:shd w:val="clear" w:color="auto" w:fill="auto"/>
            <w:noWrap/>
            <w:vAlign w:val="center"/>
            <w:hideMark/>
          </w:tcPr>
          <w:p w14:paraId="6B0715F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0.37</w:t>
            </w:r>
          </w:p>
        </w:tc>
        <w:tc>
          <w:tcPr>
            <w:tcW w:w="940" w:type="dxa"/>
            <w:tcBorders>
              <w:top w:val="nil"/>
              <w:left w:val="nil"/>
              <w:bottom w:val="nil"/>
              <w:right w:val="nil"/>
            </w:tcBorders>
            <w:shd w:val="clear" w:color="auto" w:fill="auto"/>
            <w:noWrap/>
            <w:vAlign w:val="center"/>
            <w:hideMark/>
          </w:tcPr>
          <w:p w14:paraId="09E2F915"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466</w:t>
            </w:r>
          </w:p>
        </w:tc>
        <w:tc>
          <w:tcPr>
            <w:tcW w:w="1027" w:type="dxa"/>
            <w:tcBorders>
              <w:top w:val="nil"/>
              <w:left w:val="nil"/>
              <w:bottom w:val="nil"/>
              <w:right w:val="nil"/>
            </w:tcBorders>
            <w:shd w:val="clear" w:color="auto" w:fill="auto"/>
            <w:noWrap/>
            <w:vAlign w:val="center"/>
            <w:hideMark/>
          </w:tcPr>
          <w:p w14:paraId="637A456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2.49</w:t>
            </w:r>
          </w:p>
        </w:tc>
        <w:tc>
          <w:tcPr>
            <w:tcW w:w="1354" w:type="dxa"/>
            <w:tcBorders>
              <w:top w:val="nil"/>
              <w:left w:val="nil"/>
              <w:bottom w:val="nil"/>
              <w:right w:val="nil"/>
            </w:tcBorders>
            <w:shd w:val="clear" w:color="auto" w:fill="auto"/>
            <w:noWrap/>
            <w:vAlign w:val="center"/>
            <w:hideMark/>
          </w:tcPr>
          <w:p w14:paraId="64C5C27B"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3,132</w:t>
            </w:r>
          </w:p>
        </w:tc>
        <w:tc>
          <w:tcPr>
            <w:tcW w:w="1006" w:type="dxa"/>
            <w:tcBorders>
              <w:top w:val="nil"/>
              <w:left w:val="nil"/>
              <w:bottom w:val="nil"/>
              <w:right w:val="nil"/>
            </w:tcBorders>
            <w:shd w:val="clear" w:color="auto" w:fill="auto"/>
            <w:noWrap/>
            <w:vAlign w:val="center"/>
            <w:hideMark/>
          </w:tcPr>
          <w:p w14:paraId="11C2D3C2"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1,260</w:t>
            </w:r>
          </w:p>
        </w:tc>
      </w:tr>
      <w:tr w:rsidR="001A7D98" w:rsidRPr="001A7D98" w14:paraId="4687559B" w14:textId="77777777" w:rsidTr="00555E07">
        <w:trPr>
          <w:trHeight w:val="300"/>
          <w:jc w:val="center"/>
        </w:trPr>
        <w:tc>
          <w:tcPr>
            <w:tcW w:w="1580" w:type="dxa"/>
            <w:tcBorders>
              <w:top w:val="nil"/>
              <w:left w:val="nil"/>
              <w:bottom w:val="nil"/>
              <w:right w:val="nil"/>
            </w:tcBorders>
            <w:shd w:val="clear" w:color="000000" w:fill="D9D9D9"/>
            <w:noWrap/>
            <w:vAlign w:val="center"/>
            <w:hideMark/>
          </w:tcPr>
          <w:p w14:paraId="649958EF"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16%</w:t>
            </w:r>
          </w:p>
        </w:tc>
        <w:tc>
          <w:tcPr>
            <w:tcW w:w="1238" w:type="dxa"/>
            <w:tcBorders>
              <w:top w:val="nil"/>
              <w:left w:val="nil"/>
              <w:bottom w:val="nil"/>
              <w:right w:val="nil"/>
            </w:tcBorders>
            <w:shd w:val="clear" w:color="000000" w:fill="D9D9D9"/>
            <w:noWrap/>
            <w:vAlign w:val="center"/>
            <w:hideMark/>
          </w:tcPr>
          <w:p w14:paraId="69F5C6ED" w14:textId="4D50F8A1"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w:t>
            </w:r>
            <w:r w:rsidR="002F5BE9">
              <w:rPr>
                <w:rFonts w:eastAsia="Times New Roman" w:cs="Calibri"/>
                <w:kern w:val="0"/>
              </w:rPr>
              <w:t>09</w:t>
            </w:r>
          </w:p>
        </w:tc>
        <w:tc>
          <w:tcPr>
            <w:tcW w:w="1151" w:type="dxa"/>
            <w:tcBorders>
              <w:top w:val="nil"/>
              <w:left w:val="nil"/>
              <w:bottom w:val="nil"/>
              <w:right w:val="nil"/>
            </w:tcBorders>
            <w:shd w:val="clear" w:color="000000" w:fill="D9D9D9"/>
            <w:noWrap/>
            <w:vAlign w:val="center"/>
            <w:hideMark/>
          </w:tcPr>
          <w:p w14:paraId="14DD66D7"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0.23</w:t>
            </w:r>
          </w:p>
        </w:tc>
        <w:tc>
          <w:tcPr>
            <w:tcW w:w="940" w:type="dxa"/>
            <w:tcBorders>
              <w:top w:val="nil"/>
              <w:left w:val="nil"/>
              <w:bottom w:val="nil"/>
              <w:right w:val="nil"/>
            </w:tcBorders>
            <w:shd w:val="clear" w:color="000000" w:fill="D9D9D9"/>
            <w:noWrap/>
            <w:vAlign w:val="center"/>
            <w:hideMark/>
          </w:tcPr>
          <w:p w14:paraId="0CBEF96F"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268</w:t>
            </w:r>
          </w:p>
        </w:tc>
        <w:tc>
          <w:tcPr>
            <w:tcW w:w="1027" w:type="dxa"/>
            <w:tcBorders>
              <w:top w:val="nil"/>
              <w:left w:val="nil"/>
              <w:bottom w:val="nil"/>
              <w:right w:val="nil"/>
            </w:tcBorders>
            <w:shd w:val="clear" w:color="000000" w:fill="D9D9D9"/>
            <w:noWrap/>
            <w:vAlign w:val="center"/>
            <w:hideMark/>
          </w:tcPr>
          <w:p w14:paraId="1573DB10"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2.35</w:t>
            </w:r>
          </w:p>
        </w:tc>
        <w:tc>
          <w:tcPr>
            <w:tcW w:w="1354" w:type="dxa"/>
            <w:tcBorders>
              <w:top w:val="nil"/>
              <w:left w:val="nil"/>
              <w:bottom w:val="nil"/>
              <w:right w:val="nil"/>
            </w:tcBorders>
            <w:shd w:val="clear" w:color="000000" w:fill="D9D9D9"/>
            <w:noWrap/>
            <w:vAlign w:val="center"/>
            <w:hideMark/>
          </w:tcPr>
          <w:p w14:paraId="18A7B015"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2,775</w:t>
            </w:r>
          </w:p>
        </w:tc>
        <w:tc>
          <w:tcPr>
            <w:tcW w:w="1006" w:type="dxa"/>
            <w:tcBorders>
              <w:top w:val="nil"/>
              <w:left w:val="nil"/>
              <w:bottom w:val="nil"/>
              <w:right w:val="nil"/>
            </w:tcBorders>
            <w:shd w:val="clear" w:color="000000" w:fill="D9D9D9"/>
            <w:noWrap/>
            <w:vAlign w:val="center"/>
            <w:hideMark/>
          </w:tcPr>
          <w:p w14:paraId="741AE31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1,179</w:t>
            </w:r>
          </w:p>
        </w:tc>
      </w:tr>
      <w:tr w:rsidR="001A7D98" w:rsidRPr="001A7D98" w14:paraId="280164C0" w14:textId="77777777" w:rsidTr="006F7185">
        <w:trPr>
          <w:trHeight w:val="300"/>
          <w:jc w:val="center"/>
        </w:trPr>
        <w:tc>
          <w:tcPr>
            <w:tcW w:w="1580" w:type="dxa"/>
            <w:tcBorders>
              <w:top w:val="nil"/>
              <w:left w:val="nil"/>
              <w:bottom w:val="nil"/>
              <w:right w:val="nil"/>
            </w:tcBorders>
            <w:shd w:val="clear" w:color="auto" w:fill="auto"/>
            <w:noWrap/>
            <w:vAlign w:val="center"/>
            <w:hideMark/>
          </w:tcPr>
          <w:p w14:paraId="50EBEA35"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17%</w:t>
            </w:r>
          </w:p>
        </w:tc>
        <w:tc>
          <w:tcPr>
            <w:tcW w:w="1238" w:type="dxa"/>
            <w:tcBorders>
              <w:top w:val="nil"/>
              <w:left w:val="nil"/>
              <w:bottom w:val="nil"/>
              <w:right w:val="nil"/>
            </w:tcBorders>
            <w:shd w:val="clear" w:color="auto" w:fill="auto"/>
            <w:noWrap/>
            <w:vAlign w:val="center"/>
            <w:hideMark/>
          </w:tcPr>
          <w:p w14:paraId="0584D75D"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0.06</w:t>
            </w:r>
          </w:p>
        </w:tc>
        <w:tc>
          <w:tcPr>
            <w:tcW w:w="1151" w:type="dxa"/>
            <w:tcBorders>
              <w:top w:val="nil"/>
              <w:left w:val="nil"/>
              <w:bottom w:val="nil"/>
              <w:right w:val="nil"/>
            </w:tcBorders>
            <w:shd w:val="clear" w:color="auto" w:fill="auto"/>
            <w:noWrap/>
            <w:vAlign w:val="center"/>
            <w:hideMark/>
          </w:tcPr>
          <w:p w14:paraId="5446B1AC"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0.14</w:t>
            </w:r>
          </w:p>
        </w:tc>
        <w:tc>
          <w:tcPr>
            <w:tcW w:w="940" w:type="dxa"/>
            <w:tcBorders>
              <w:top w:val="nil"/>
              <w:left w:val="nil"/>
              <w:bottom w:val="nil"/>
              <w:right w:val="nil"/>
            </w:tcBorders>
            <w:shd w:val="clear" w:color="auto" w:fill="auto"/>
            <w:noWrap/>
            <w:vAlign w:val="center"/>
            <w:hideMark/>
          </w:tcPr>
          <w:p w14:paraId="371AF7BD"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154</w:t>
            </w:r>
          </w:p>
        </w:tc>
        <w:tc>
          <w:tcPr>
            <w:tcW w:w="1027" w:type="dxa"/>
            <w:tcBorders>
              <w:top w:val="nil"/>
              <w:left w:val="nil"/>
              <w:bottom w:val="nil"/>
              <w:right w:val="nil"/>
            </w:tcBorders>
            <w:shd w:val="clear" w:color="auto" w:fill="auto"/>
            <w:noWrap/>
            <w:vAlign w:val="center"/>
            <w:hideMark/>
          </w:tcPr>
          <w:p w14:paraId="209EE8DA"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2.23</w:t>
            </w:r>
          </w:p>
        </w:tc>
        <w:tc>
          <w:tcPr>
            <w:tcW w:w="1354" w:type="dxa"/>
            <w:tcBorders>
              <w:top w:val="nil"/>
              <w:left w:val="nil"/>
              <w:bottom w:val="nil"/>
              <w:right w:val="nil"/>
            </w:tcBorders>
            <w:shd w:val="clear" w:color="auto" w:fill="auto"/>
            <w:noWrap/>
            <w:vAlign w:val="center"/>
            <w:hideMark/>
          </w:tcPr>
          <w:p w14:paraId="0B57A8D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2,458</w:t>
            </w:r>
          </w:p>
        </w:tc>
        <w:tc>
          <w:tcPr>
            <w:tcW w:w="1006" w:type="dxa"/>
            <w:tcBorders>
              <w:top w:val="nil"/>
              <w:left w:val="nil"/>
              <w:bottom w:val="nil"/>
              <w:right w:val="nil"/>
            </w:tcBorders>
            <w:shd w:val="clear" w:color="auto" w:fill="auto"/>
            <w:noWrap/>
            <w:vAlign w:val="center"/>
            <w:hideMark/>
          </w:tcPr>
          <w:p w14:paraId="3CF54268"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1,102</w:t>
            </w:r>
          </w:p>
        </w:tc>
      </w:tr>
      <w:tr w:rsidR="001A7D98" w:rsidRPr="001A7D98" w14:paraId="11BD0091" w14:textId="77777777" w:rsidTr="00555E07">
        <w:trPr>
          <w:trHeight w:val="300"/>
          <w:jc w:val="center"/>
        </w:trPr>
        <w:tc>
          <w:tcPr>
            <w:tcW w:w="1580" w:type="dxa"/>
            <w:tcBorders>
              <w:top w:val="nil"/>
              <w:left w:val="nil"/>
              <w:bottom w:val="single" w:sz="4" w:space="0" w:color="auto"/>
              <w:right w:val="nil"/>
            </w:tcBorders>
            <w:shd w:val="clear" w:color="000000" w:fill="D9D9D9"/>
            <w:noWrap/>
            <w:vAlign w:val="center"/>
            <w:hideMark/>
          </w:tcPr>
          <w:p w14:paraId="5882F2D7" w14:textId="77777777" w:rsidR="001A7D98" w:rsidRPr="001A7D98" w:rsidRDefault="001A7D98" w:rsidP="001A7D98">
            <w:pPr>
              <w:spacing w:after="0" w:line="240" w:lineRule="auto"/>
              <w:jc w:val="center"/>
              <w:rPr>
                <w:rFonts w:eastAsia="Times New Roman" w:cs="Calibri"/>
                <w:color w:val="000000"/>
                <w:kern w:val="0"/>
              </w:rPr>
            </w:pPr>
            <w:r w:rsidRPr="001A7D98">
              <w:rPr>
                <w:rFonts w:eastAsia="Times New Roman" w:cs="Calibri"/>
                <w:color w:val="000000"/>
                <w:kern w:val="0"/>
              </w:rPr>
              <w:t>18%</w:t>
            </w:r>
          </w:p>
        </w:tc>
        <w:tc>
          <w:tcPr>
            <w:tcW w:w="1238" w:type="dxa"/>
            <w:tcBorders>
              <w:top w:val="nil"/>
              <w:left w:val="nil"/>
              <w:bottom w:val="single" w:sz="4" w:space="0" w:color="auto"/>
              <w:right w:val="nil"/>
            </w:tcBorders>
            <w:shd w:val="clear" w:color="000000" w:fill="D9D9D9"/>
            <w:noWrap/>
            <w:vAlign w:val="center"/>
            <w:hideMark/>
          </w:tcPr>
          <w:p w14:paraId="32AAFAD2"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0.04</w:t>
            </w:r>
          </w:p>
        </w:tc>
        <w:tc>
          <w:tcPr>
            <w:tcW w:w="1151" w:type="dxa"/>
            <w:tcBorders>
              <w:top w:val="nil"/>
              <w:left w:val="nil"/>
              <w:bottom w:val="single" w:sz="4" w:space="0" w:color="auto"/>
              <w:right w:val="nil"/>
            </w:tcBorders>
            <w:shd w:val="clear" w:color="000000" w:fill="D9D9D9"/>
            <w:noWrap/>
            <w:vAlign w:val="center"/>
            <w:hideMark/>
          </w:tcPr>
          <w:p w14:paraId="6465268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0.09</w:t>
            </w:r>
          </w:p>
        </w:tc>
        <w:tc>
          <w:tcPr>
            <w:tcW w:w="940" w:type="dxa"/>
            <w:tcBorders>
              <w:top w:val="nil"/>
              <w:left w:val="nil"/>
              <w:bottom w:val="single" w:sz="4" w:space="0" w:color="auto"/>
              <w:right w:val="nil"/>
            </w:tcBorders>
            <w:shd w:val="clear" w:color="000000" w:fill="D9D9D9"/>
            <w:noWrap/>
            <w:vAlign w:val="center"/>
            <w:hideMark/>
          </w:tcPr>
          <w:p w14:paraId="1783D386"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88</w:t>
            </w:r>
          </w:p>
        </w:tc>
        <w:tc>
          <w:tcPr>
            <w:tcW w:w="1027" w:type="dxa"/>
            <w:tcBorders>
              <w:top w:val="nil"/>
              <w:left w:val="nil"/>
              <w:bottom w:val="single" w:sz="4" w:space="0" w:color="auto"/>
              <w:right w:val="nil"/>
            </w:tcBorders>
            <w:shd w:val="clear" w:color="000000" w:fill="D9D9D9"/>
            <w:noWrap/>
            <w:vAlign w:val="center"/>
            <w:hideMark/>
          </w:tcPr>
          <w:p w14:paraId="37568449"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2.11</w:t>
            </w:r>
          </w:p>
        </w:tc>
        <w:tc>
          <w:tcPr>
            <w:tcW w:w="1354" w:type="dxa"/>
            <w:tcBorders>
              <w:top w:val="nil"/>
              <w:left w:val="nil"/>
              <w:bottom w:val="single" w:sz="4" w:space="0" w:color="auto"/>
              <w:right w:val="nil"/>
            </w:tcBorders>
            <w:shd w:val="clear" w:color="000000" w:fill="D9D9D9"/>
            <w:noWrap/>
            <w:vAlign w:val="center"/>
            <w:hideMark/>
          </w:tcPr>
          <w:p w14:paraId="0D1DBEBD"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2,177</w:t>
            </w:r>
          </w:p>
        </w:tc>
        <w:tc>
          <w:tcPr>
            <w:tcW w:w="1006" w:type="dxa"/>
            <w:tcBorders>
              <w:top w:val="nil"/>
              <w:left w:val="nil"/>
              <w:bottom w:val="single" w:sz="4" w:space="0" w:color="auto"/>
              <w:right w:val="nil"/>
            </w:tcBorders>
            <w:shd w:val="clear" w:color="000000" w:fill="D9D9D9"/>
            <w:noWrap/>
            <w:vAlign w:val="center"/>
            <w:hideMark/>
          </w:tcPr>
          <w:p w14:paraId="492B0072" w14:textId="77777777" w:rsidR="001A7D98" w:rsidRPr="001A7D98" w:rsidRDefault="001A7D98" w:rsidP="001A7D98">
            <w:pPr>
              <w:spacing w:after="0" w:line="240" w:lineRule="auto"/>
              <w:jc w:val="center"/>
              <w:rPr>
                <w:rFonts w:eastAsia="Times New Roman" w:cs="Calibri"/>
                <w:kern w:val="0"/>
              </w:rPr>
            </w:pPr>
            <w:r w:rsidRPr="001A7D98">
              <w:rPr>
                <w:rFonts w:eastAsia="Times New Roman" w:cs="Calibri"/>
                <w:kern w:val="0"/>
              </w:rPr>
              <w:t>1,031</w:t>
            </w:r>
          </w:p>
        </w:tc>
      </w:tr>
    </w:tbl>
    <w:p w14:paraId="26E101FA" w14:textId="416DEDEA" w:rsidR="004B58AD" w:rsidRPr="00084B9A" w:rsidRDefault="004B58AD" w:rsidP="004B58AD">
      <w:pPr>
        <w:pStyle w:val="BGNormal125"/>
        <w:rPr>
          <w:rFonts w:ascii="Calibri" w:hAnsi="Calibri" w:cs="Calibri"/>
          <w:color w:val="C00000"/>
          <w:sz w:val="22"/>
          <w:szCs w:val="22"/>
        </w:rPr>
      </w:pPr>
      <w:r w:rsidRPr="00C41616">
        <w:rPr>
          <w:rFonts w:ascii="Calibri" w:hAnsi="Calibri" w:cs="Calibri"/>
          <w:color w:val="auto"/>
          <w:sz w:val="22"/>
          <w:szCs w:val="22"/>
        </w:rPr>
        <w:t>Most US areas set reliability metrics on the “1-in-10” standard,</w:t>
      </w:r>
      <w:r w:rsidRPr="00C41616" w:rsidDel="00AC7339">
        <w:rPr>
          <w:rFonts w:ascii="Calibri" w:hAnsi="Calibri" w:cs="Calibri"/>
          <w:color w:val="auto"/>
          <w:sz w:val="22"/>
          <w:szCs w:val="22"/>
        </w:rPr>
        <w:t xml:space="preserve"> </w:t>
      </w:r>
      <w:r w:rsidRPr="00C41616">
        <w:rPr>
          <w:rFonts w:ascii="Calibri" w:hAnsi="Calibri" w:cs="Calibri"/>
          <w:i/>
          <w:color w:val="auto"/>
          <w:sz w:val="22"/>
          <w:szCs w:val="22"/>
        </w:rPr>
        <w:t>i.e.</w:t>
      </w:r>
      <w:r w:rsidRPr="00C41616">
        <w:rPr>
          <w:rFonts w:ascii="Calibri" w:hAnsi="Calibri" w:cs="Calibri"/>
          <w:color w:val="auto"/>
          <w:sz w:val="22"/>
          <w:szCs w:val="22"/>
        </w:rPr>
        <w:t>, a probability-weighted average of 0.1 loss-of-load events (LOLE) per year.</w:t>
      </w:r>
      <w:r w:rsidRPr="00C41616">
        <w:rPr>
          <w:rStyle w:val="FootnoteReference"/>
          <w:rFonts w:ascii="Calibri" w:hAnsi="Calibri" w:cs="Calibri"/>
          <w:color w:val="auto"/>
          <w:sz w:val="22"/>
          <w:szCs w:val="22"/>
        </w:rPr>
        <w:footnoteReference w:id="30"/>
      </w:r>
      <w:r w:rsidRPr="00C41616">
        <w:rPr>
          <w:rFonts w:ascii="Calibri" w:hAnsi="Calibri" w:cs="Calibri"/>
          <w:color w:val="auto"/>
          <w:sz w:val="22"/>
          <w:szCs w:val="22"/>
        </w:rPr>
        <w:t xml:space="preserve">  </w:t>
      </w:r>
      <w:r w:rsidRPr="008A7D41">
        <w:rPr>
          <w:rFonts w:ascii="Calibri" w:hAnsi="Calibri" w:cs="Calibri"/>
          <w:color w:val="auto"/>
          <w:sz w:val="22"/>
          <w:szCs w:val="22"/>
        </w:rPr>
        <w:t xml:space="preserve">Under base case conditions a </w:t>
      </w:r>
      <w:r w:rsidR="008A7D41" w:rsidRPr="008A7D41">
        <w:rPr>
          <w:rFonts w:ascii="Calibri" w:hAnsi="Calibri" w:cs="Calibri"/>
          <w:color w:val="auto"/>
          <w:sz w:val="22"/>
          <w:szCs w:val="22"/>
        </w:rPr>
        <w:t>1</w:t>
      </w:r>
      <w:r w:rsidR="006F7185">
        <w:rPr>
          <w:rFonts w:ascii="Calibri" w:hAnsi="Calibri" w:cs="Calibri"/>
          <w:color w:val="auto"/>
          <w:sz w:val="22"/>
          <w:szCs w:val="22"/>
        </w:rPr>
        <w:t>5</w:t>
      </w:r>
      <w:r w:rsidR="00043927">
        <w:rPr>
          <w:rFonts w:ascii="Calibri" w:hAnsi="Calibri" w:cs="Calibri"/>
          <w:color w:val="auto"/>
          <w:sz w:val="22"/>
          <w:szCs w:val="22"/>
        </w:rPr>
        <w:t>.</w:t>
      </w:r>
      <w:r w:rsidR="00A049CD">
        <w:rPr>
          <w:rFonts w:ascii="Calibri" w:hAnsi="Calibri" w:cs="Calibri"/>
          <w:color w:val="auto"/>
          <w:sz w:val="22"/>
          <w:szCs w:val="22"/>
        </w:rPr>
        <w:t>7</w:t>
      </w:r>
      <w:r w:rsidR="00043927">
        <w:rPr>
          <w:rFonts w:ascii="Calibri" w:hAnsi="Calibri" w:cs="Calibri"/>
          <w:color w:val="auto"/>
          <w:sz w:val="22"/>
          <w:szCs w:val="22"/>
        </w:rPr>
        <w:t>5</w:t>
      </w:r>
      <w:r w:rsidRPr="008A7D41">
        <w:rPr>
          <w:rFonts w:ascii="Calibri" w:hAnsi="Calibri" w:cs="Calibri"/>
          <w:color w:val="auto"/>
          <w:sz w:val="22"/>
          <w:szCs w:val="22"/>
        </w:rPr>
        <w:t xml:space="preserve">% reserve margin would be required to achieve 0.1 LOLE, which is </w:t>
      </w:r>
      <w:r w:rsidR="00043927">
        <w:rPr>
          <w:rFonts w:ascii="Calibri" w:hAnsi="Calibri" w:cs="Calibri"/>
          <w:color w:val="auto"/>
          <w:sz w:val="22"/>
          <w:szCs w:val="22"/>
        </w:rPr>
        <w:t>3</w:t>
      </w:r>
      <w:r w:rsidR="008A7D41" w:rsidRPr="008A7D41">
        <w:rPr>
          <w:rFonts w:ascii="Calibri" w:hAnsi="Calibri" w:cs="Calibri"/>
          <w:color w:val="auto"/>
          <w:sz w:val="22"/>
          <w:szCs w:val="22"/>
        </w:rPr>
        <w:t>.5</w:t>
      </w:r>
      <w:r w:rsidR="00972AF7">
        <w:rPr>
          <w:rFonts w:ascii="Calibri" w:hAnsi="Calibri" w:cs="Calibri"/>
          <w:color w:val="auto"/>
          <w:sz w:val="22"/>
          <w:szCs w:val="22"/>
        </w:rPr>
        <w:t xml:space="preserve"> percentage points</w:t>
      </w:r>
      <w:r w:rsidRPr="008A7D41">
        <w:rPr>
          <w:rFonts w:ascii="Calibri" w:hAnsi="Calibri" w:cs="Calibri"/>
          <w:color w:val="auto"/>
          <w:sz w:val="22"/>
          <w:szCs w:val="22"/>
        </w:rPr>
        <w:t xml:space="preserve"> higher than MERM. </w:t>
      </w:r>
    </w:p>
    <w:p w14:paraId="21159516" w14:textId="77777777" w:rsidR="004B58AD" w:rsidRPr="00C41616" w:rsidRDefault="004B58AD" w:rsidP="004B58AD">
      <w:pPr>
        <w:pStyle w:val="BGNormal125"/>
        <w:rPr>
          <w:rFonts w:ascii="Calibri" w:hAnsi="Calibri" w:cs="Calibri"/>
          <w:color w:val="auto"/>
          <w:sz w:val="22"/>
          <w:szCs w:val="22"/>
        </w:rPr>
      </w:pPr>
      <w:r w:rsidRPr="00C41616">
        <w:rPr>
          <w:rFonts w:ascii="Calibri" w:hAnsi="Calibri" w:cs="Calibri"/>
          <w:color w:val="auto"/>
          <w:sz w:val="22"/>
          <w:szCs w:val="22"/>
        </w:rPr>
        <w:t>All of the reliability metrics shown above reflect the average over many possible outcomes at a given reserve margin.  Average statistics provide a convenient summary of a large amount of data, but they can obscure the wide distribution of possible outcomes around the average, as shown in the sections above.  Realized reliability in any given year will depend strongly on the weather and on generation availability.</w:t>
      </w:r>
    </w:p>
    <w:p w14:paraId="5405287C" w14:textId="20862137" w:rsidR="004B58AD" w:rsidRPr="00084B9A" w:rsidRDefault="004B58AD" w:rsidP="004B58AD">
      <w:pPr>
        <w:pStyle w:val="BGNormal125"/>
        <w:rPr>
          <w:rFonts w:ascii="Calibri" w:hAnsi="Calibri" w:cs="Calibri"/>
          <w:color w:val="C00000"/>
          <w:sz w:val="22"/>
          <w:szCs w:val="22"/>
        </w:rPr>
      </w:pPr>
      <w:r w:rsidRPr="006B7E14">
        <w:rPr>
          <w:rFonts w:ascii="Calibri" w:hAnsi="Calibri" w:cs="Calibri"/>
          <w:color w:val="auto"/>
          <w:sz w:val="22"/>
          <w:szCs w:val="22"/>
        </w:rPr>
        <w:t xml:space="preserve">To illustrate the distribution of possible outcomes, </w:t>
      </w:r>
      <w:r w:rsidRPr="006B7E14">
        <w:rPr>
          <w:rFonts w:ascii="Calibri" w:hAnsi="Calibri" w:cs="Calibri"/>
          <w:color w:val="auto"/>
          <w:sz w:val="22"/>
          <w:szCs w:val="22"/>
        </w:rPr>
        <w:fldChar w:fldCharType="begin"/>
      </w:r>
      <w:r w:rsidRPr="006B7E14">
        <w:rPr>
          <w:rFonts w:ascii="Calibri" w:hAnsi="Calibri" w:cs="Calibri"/>
          <w:color w:val="auto"/>
          <w:sz w:val="22"/>
          <w:szCs w:val="22"/>
        </w:rPr>
        <w:instrText xml:space="preserve"> REF _Ref525043697 \h  \* MERGEFORMAT </w:instrText>
      </w:r>
      <w:r w:rsidRPr="006B7E14">
        <w:rPr>
          <w:rFonts w:ascii="Calibri" w:hAnsi="Calibri" w:cs="Calibri"/>
          <w:color w:val="auto"/>
          <w:sz w:val="22"/>
          <w:szCs w:val="22"/>
        </w:rPr>
      </w:r>
      <w:r w:rsidRPr="006B7E14">
        <w:rPr>
          <w:rFonts w:ascii="Calibri" w:hAnsi="Calibri" w:cs="Calibri"/>
          <w:color w:val="auto"/>
          <w:sz w:val="22"/>
          <w:szCs w:val="22"/>
        </w:rPr>
        <w:fldChar w:fldCharType="separate"/>
      </w:r>
      <w:r w:rsidR="006304AC" w:rsidRPr="00F55D48">
        <w:rPr>
          <w:rFonts w:ascii="Calibri" w:hAnsi="Calibri" w:cs="Calibri"/>
          <w:color w:val="auto"/>
          <w:sz w:val="22"/>
          <w:szCs w:val="22"/>
        </w:rPr>
        <w:t xml:space="preserve">Figure </w:t>
      </w:r>
      <w:r w:rsidR="006304AC" w:rsidRPr="00F55D48">
        <w:rPr>
          <w:rFonts w:ascii="Calibri" w:hAnsi="Calibri" w:cs="Calibri"/>
          <w:noProof/>
          <w:color w:val="auto"/>
          <w:sz w:val="22"/>
          <w:szCs w:val="22"/>
        </w:rPr>
        <w:t>11</w:t>
      </w:r>
      <w:r w:rsidRPr="006B7E14">
        <w:rPr>
          <w:rFonts w:ascii="Calibri" w:hAnsi="Calibri" w:cs="Calibri"/>
          <w:color w:val="auto"/>
          <w:sz w:val="22"/>
          <w:szCs w:val="22"/>
        </w:rPr>
        <w:fldChar w:fldCharType="end"/>
      </w:r>
      <w:r w:rsidRPr="006B7E14">
        <w:rPr>
          <w:rFonts w:ascii="Calibri" w:hAnsi="Calibri" w:cs="Calibri"/>
          <w:color w:val="auto"/>
          <w:sz w:val="22"/>
          <w:szCs w:val="22"/>
        </w:rPr>
        <w:t xml:space="preserve"> below shows how reliability varies with weather, as measured by the annual expected unserved energy.  The teal bars show the total MWh of load shed during each of the </w:t>
      </w:r>
      <w:r w:rsidR="006B7E14" w:rsidRPr="006B7E14">
        <w:rPr>
          <w:rFonts w:ascii="Calibri" w:hAnsi="Calibri" w:cs="Calibri"/>
          <w:color w:val="auto"/>
          <w:sz w:val="22"/>
          <w:szCs w:val="22"/>
        </w:rPr>
        <w:t>40</w:t>
      </w:r>
      <w:r w:rsidRPr="006B7E14">
        <w:rPr>
          <w:rFonts w:ascii="Calibri" w:hAnsi="Calibri" w:cs="Calibri"/>
          <w:color w:val="auto"/>
          <w:sz w:val="22"/>
          <w:szCs w:val="22"/>
        </w:rPr>
        <w:t xml:space="preserve"> weather years for the Base Case simulations at a 1</w:t>
      </w:r>
      <w:r w:rsidR="006F7185">
        <w:rPr>
          <w:rFonts w:ascii="Calibri" w:hAnsi="Calibri" w:cs="Calibri"/>
          <w:color w:val="auto"/>
          <w:sz w:val="22"/>
          <w:szCs w:val="22"/>
        </w:rPr>
        <w:t>2</w:t>
      </w:r>
      <w:r w:rsidRPr="006B7E14">
        <w:rPr>
          <w:rFonts w:ascii="Calibri" w:hAnsi="Calibri" w:cs="Calibri"/>
          <w:color w:val="auto"/>
          <w:sz w:val="22"/>
          <w:szCs w:val="22"/>
        </w:rPr>
        <w:t xml:space="preserve">.25% reserve margin corresponding to the market equilibrium reserve margin.  The reoccurrence of 2011 weather conditions could lead to almost </w:t>
      </w:r>
      <w:r w:rsidR="006F7185">
        <w:rPr>
          <w:rFonts w:ascii="Calibri" w:hAnsi="Calibri" w:cs="Calibri"/>
          <w:color w:val="auto"/>
          <w:sz w:val="22"/>
          <w:szCs w:val="22"/>
        </w:rPr>
        <w:t>17</w:t>
      </w:r>
      <w:r w:rsidR="00043927">
        <w:rPr>
          <w:rFonts w:ascii="Calibri" w:hAnsi="Calibri" w:cs="Calibri"/>
          <w:color w:val="auto"/>
          <w:sz w:val="22"/>
          <w:szCs w:val="22"/>
        </w:rPr>
        <w:t>,</w:t>
      </w:r>
      <w:r w:rsidR="006F7185">
        <w:rPr>
          <w:rFonts w:ascii="Calibri" w:hAnsi="Calibri" w:cs="Calibri"/>
          <w:color w:val="auto"/>
          <w:sz w:val="22"/>
          <w:szCs w:val="22"/>
        </w:rPr>
        <w:t>080</w:t>
      </w:r>
      <w:r w:rsidRPr="006B7E14">
        <w:rPr>
          <w:rFonts w:ascii="Calibri" w:hAnsi="Calibri" w:cs="Calibri"/>
          <w:color w:val="auto"/>
          <w:sz w:val="22"/>
          <w:szCs w:val="22"/>
        </w:rPr>
        <w:t xml:space="preserve"> MWh of expected involuntary curtailment of firm load, far above the equal-probability-weighted average of 2,</w:t>
      </w:r>
      <w:r w:rsidR="00043927">
        <w:rPr>
          <w:rFonts w:ascii="Calibri" w:hAnsi="Calibri" w:cs="Calibri"/>
          <w:color w:val="auto"/>
          <w:sz w:val="22"/>
          <w:szCs w:val="22"/>
        </w:rPr>
        <w:t>171</w:t>
      </w:r>
      <w:r w:rsidRPr="006B7E14">
        <w:rPr>
          <w:rFonts w:ascii="Calibri" w:hAnsi="Calibri" w:cs="Calibri"/>
          <w:color w:val="auto"/>
          <w:sz w:val="22"/>
          <w:szCs w:val="22"/>
        </w:rPr>
        <w:t xml:space="preserve"> MWh over all </w:t>
      </w:r>
      <w:r w:rsidR="006B7E14" w:rsidRPr="006B7E14">
        <w:rPr>
          <w:rFonts w:ascii="Calibri" w:hAnsi="Calibri" w:cs="Calibri"/>
          <w:color w:val="auto"/>
          <w:sz w:val="22"/>
          <w:szCs w:val="22"/>
        </w:rPr>
        <w:t xml:space="preserve">40 </w:t>
      </w:r>
      <w:r w:rsidRPr="006B7E14">
        <w:rPr>
          <w:rFonts w:ascii="Calibri" w:hAnsi="Calibri" w:cs="Calibri"/>
          <w:color w:val="auto"/>
          <w:sz w:val="22"/>
          <w:szCs w:val="22"/>
        </w:rPr>
        <w:t xml:space="preserve">years depicted by the blue horizontal line.  By contrast, </w:t>
      </w:r>
      <w:r w:rsidR="00043927">
        <w:rPr>
          <w:rFonts w:ascii="Calibri" w:hAnsi="Calibri" w:cs="Calibri"/>
          <w:color w:val="auto"/>
          <w:sz w:val="22"/>
          <w:szCs w:val="22"/>
        </w:rPr>
        <w:t>2</w:t>
      </w:r>
      <w:r w:rsidR="006F7185">
        <w:rPr>
          <w:rFonts w:ascii="Calibri" w:hAnsi="Calibri" w:cs="Calibri"/>
          <w:color w:val="auto"/>
          <w:sz w:val="22"/>
          <w:szCs w:val="22"/>
        </w:rPr>
        <w:t>5</w:t>
      </w:r>
      <w:r w:rsidRPr="006B7E14">
        <w:rPr>
          <w:rFonts w:ascii="Calibri" w:hAnsi="Calibri" w:cs="Calibri"/>
          <w:color w:val="auto"/>
          <w:sz w:val="22"/>
          <w:szCs w:val="22"/>
        </w:rPr>
        <w:t xml:space="preserve"> out of the </w:t>
      </w:r>
      <w:r w:rsidR="006B7E14" w:rsidRPr="006B7E14">
        <w:rPr>
          <w:rFonts w:ascii="Calibri" w:hAnsi="Calibri" w:cs="Calibri"/>
          <w:color w:val="auto"/>
          <w:sz w:val="22"/>
          <w:szCs w:val="22"/>
        </w:rPr>
        <w:t>40</w:t>
      </w:r>
      <w:r w:rsidRPr="006B7E14">
        <w:rPr>
          <w:rFonts w:ascii="Calibri" w:hAnsi="Calibri" w:cs="Calibri"/>
          <w:color w:val="auto"/>
          <w:sz w:val="22"/>
          <w:szCs w:val="22"/>
        </w:rPr>
        <w:t xml:space="preserve"> years have much milder weather, with substantially less load shed than the average.  Thus</w:t>
      </w:r>
      <w:r w:rsidR="006B7E14" w:rsidRPr="006B7E14">
        <w:rPr>
          <w:rFonts w:ascii="Calibri" w:hAnsi="Calibri" w:cs="Calibri"/>
          <w:color w:val="auto"/>
          <w:sz w:val="22"/>
          <w:szCs w:val="22"/>
        </w:rPr>
        <w:t>,</w:t>
      </w:r>
      <w:r w:rsidRPr="006B7E14">
        <w:rPr>
          <w:rFonts w:ascii="Calibri" w:hAnsi="Calibri" w:cs="Calibri"/>
          <w:color w:val="auto"/>
          <w:sz w:val="22"/>
          <w:szCs w:val="22"/>
        </w:rPr>
        <w:t xml:space="preserve"> the actual reliability will vary.  In addition, the expected value of reliability would differ if different probability weights were assigned to the various weather patterns, as discussed in the next section.</w:t>
      </w:r>
    </w:p>
    <w:p w14:paraId="64EEFF6D" w14:textId="40E419DC" w:rsidR="004B58AD" w:rsidRPr="006B7E14" w:rsidRDefault="004B58AD" w:rsidP="00084B9A">
      <w:pPr>
        <w:pStyle w:val="Caption"/>
        <w:jc w:val="center"/>
        <w:rPr>
          <w:rFonts w:cs="Calibri"/>
          <w:b/>
          <w:bCs/>
          <w:i w:val="0"/>
          <w:iCs w:val="0"/>
          <w:color w:val="auto"/>
          <w:sz w:val="22"/>
          <w:szCs w:val="22"/>
        </w:rPr>
      </w:pPr>
      <w:bookmarkStart w:id="189" w:name="_Ref525043697"/>
      <w:r w:rsidRPr="006B7E14">
        <w:rPr>
          <w:rFonts w:cs="Calibri"/>
          <w:b/>
          <w:bCs/>
          <w:i w:val="0"/>
          <w:iCs w:val="0"/>
          <w:color w:val="auto"/>
          <w:sz w:val="22"/>
          <w:szCs w:val="22"/>
        </w:rPr>
        <w:t xml:space="preserve">Figure </w:t>
      </w:r>
      <w:r w:rsidRPr="006B7E14">
        <w:rPr>
          <w:rFonts w:cs="Calibri"/>
          <w:b/>
          <w:bCs/>
          <w:i w:val="0"/>
          <w:iCs w:val="0"/>
          <w:color w:val="auto"/>
          <w:sz w:val="22"/>
          <w:szCs w:val="22"/>
        </w:rPr>
        <w:fldChar w:fldCharType="begin"/>
      </w:r>
      <w:r w:rsidRPr="006B7E14">
        <w:rPr>
          <w:rFonts w:cs="Calibri"/>
          <w:b/>
          <w:bCs/>
          <w:i w:val="0"/>
          <w:iCs w:val="0"/>
          <w:color w:val="auto"/>
          <w:sz w:val="22"/>
          <w:szCs w:val="22"/>
        </w:rPr>
        <w:instrText xml:space="preserve"> SEQ Figure \* ARABIC </w:instrText>
      </w:r>
      <w:r w:rsidRPr="006B7E14">
        <w:rPr>
          <w:rFonts w:cs="Calibri"/>
          <w:b/>
          <w:bCs/>
          <w:i w:val="0"/>
          <w:iCs w:val="0"/>
          <w:color w:val="auto"/>
          <w:sz w:val="22"/>
          <w:szCs w:val="22"/>
        </w:rPr>
        <w:fldChar w:fldCharType="separate"/>
      </w:r>
      <w:r w:rsidR="006304AC">
        <w:rPr>
          <w:rFonts w:cs="Calibri"/>
          <w:b/>
          <w:bCs/>
          <w:i w:val="0"/>
          <w:iCs w:val="0"/>
          <w:noProof/>
          <w:color w:val="auto"/>
          <w:sz w:val="22"/>
          <w:szCs w:val="22"/>
        </w:rPr>
        <w:t>11</w:t>
      </w:r>
      <w:r w:rsidRPr="006B7E14">
        <w:rPr>
          <w:rFonts w:cs="Calibri"/>
          <w:b/>
          <w:bCs/>
          <w:i w:val="0"/>
          <w:iCs w:val="0"/>
          <w:color w:val="auto"/>
          <w:sz w:val="22"/>
          <w:szCs w:val="22"/>
        </w:rPr>
        <w:fldChar w:fldCharType="end"/>
      </w:r>
      <w:bookmarkEnd w:id="189"/>
      <w:r w:rsidR="00084B9A" w:rsidRPr="006B7E14">
        <w:rPr>
          <w:rFonts w:cs="Calibri"/>
          <w:b/>
          <w:bCs/>
          <w:i w:val="0"/>
          <w:iCs w:val="0"/>
          <w:color w:val="auto"/>
          <w:sz w:val="22"/>
          <w:szCs w:val="22"/>
        </w:rPr>
        <w:t xml:space="preserve">. </w:t>
      </w:r>
      <w:r w:rsidRPr="006B7E14">
        <w:rPr>
          <w:rFonts w:cs="Calibri"/>
          <w:b/>
          <w:bCs/>
          <w:i w:val="0"/>
          <w:iCs w:val="0"/>
          <w:color w:val="auto"/>
          <w:sz w:val="22"/>
          <w:szCs w:val="22"/>
        </w:rPr>
        <w:t>Expected Unserved Energy by Weather Year at 1</w:t>
      </w:r>
      <w:r w:rsidR="006F7185">
        <w:rPr>
          <w:rFonts w:cs="Calibri"/>
          <w:b/>
          <w:bCs/>
          <w:i w:val="0"/>
          <w:iCs w:val="0"/>
          <w:color w:val="auto"/>
          <w:sz w:val="22"/>
          <w:szCs w:val="22"/>
        </w:rPr>
        <w:t>2</w:t>
      </w:r>
      <w:r w:rsidRPr="006B7E14">
        <w:rPr>
          <w:rFonts w:cs="Calibri"/>
          <w:b/>
          <w:bCs/>
          <w:i w:val="0"/>
          <w:iCs w:val="0"/>
          <w:color w:val="auto"/>
          <w:sz w:val="22"/>
          <w:szCs w:val="22"/>
        </w:rPr>
        <w:t>.25% Reserve Margin</w:t>
      </w:r>
    </w:p>
    <w:p w14:paraId="3FC9E565" w14:textId="0D522387" w:rsidR="004B58AD" w:rsidRPr="006B7E14" w:rsidRDefault="004B58AD" w:rsidP="004B58AD">
      <w:pPr>
        <w:pStyle w:val="BGNormal125"/>
        <w:keepNext/>
        <w:spacing w:before="0"/>
        <w:ind w:left="90" w:hanging="90"/>
        <w:jc w:val="center"/>
        <w:rPr>
          <w:rFonts w:ascii="Calibri" w:hAnsi="Calibri" w:cs="Calibri"/>
          <w:color w:val="auto"/>
        </w:rPr>
      </w:pPr>
      <w:r w:rsidRPr="00084B9A">
        <w:rPr>
          <w:rFonts w:ascii="Calibri" w:hAnsi="Calibri" w:cs="Calibri"/>
          <w:noProof/>
          <w:color w:val="C00000"/>
          <w:sz w:val="22"/>
          <w:szCs w:val="22"/>
        </w:rPr>
        <w:t xml:space="preserve"> </w:t>
      </w:r>
      <w:r w:rsidR="006F7185">
        <w:rPr>
          <w:rFonts w:ascii="Calibri" w:hAnsi="Calibri" w:cs="Calibri"/>
          <w:noProof/>
          <w:color w:val="C00000"/>
          <w:sz w:val="22"/>
          <w:szCs w:val="22"/>
        </w:rPr>
        <w:drawing>
          <wp:inline distT="0" distB="0" distL="0" distR="0" wp14:anchorId="5502D35A" wp14:editId="7F9C1140">
            <wp:extent cx="5467350" cy="3007936"/>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1201" cy="3015556"/>
                    </a:xfrm>
                    <a:prstGeom prst="rect">
                      <a:avLst/>
                    </a:prstGeom>
                    <a:noFill/>
                  </pic:spPr>
                </pic:pic>
              </a:graphicData>
            </a:graphic>
          </wp:inline>
        </w:drawing>
      </w:r>
    </w:p>
    <w:p w14:paraId="18CE1D27" w14:textId="539E37C0" w:rsidR="004B58AD" w:rsidRDefault="004B58AD" w:rsidP="006B7E14">
      <w:pPr>
        <w:pStyle w:val="BGInsertGraphic"/>
        <w:keepNext/>
        <w:tabs>
          <w:tab w:val="left" w:pos="180"/>
          <w:tab w:val="left" w:pos="720"/>
          <w:tab w:val="left" w:pos="1440"/>
        </w:tabs>
        <w:spacing w:before="0"/>
        <w:ind w:left="900" w:hanging="360"/>
        <w:jc w:val="left"/>
        <w:rPr>
          <w:rFonts w:ascii="Calibri" w:hAnsi="Calibri" w:cs="Calibri"/>
          <w:color w:val="auto"/>
          <w:sz w:val="16"/>
        </w:rPr>
      </w:pPr>
      <w:r w:rsidRPr="006B7E14">
        <w:rPr>
          <w:rFonts w:ascii="Calibri" w:hAnsi="Calibri" w:cs="Calibri"/>
          <w:i/>
          <w:color w:val="auto"/>
          <w:sz w:val="16"/>
        </w:rPr>
        <w:t>Notes:</w:t>
      </w:r>
      <w:r w:rsidR="006B7E14">
        <w:rPr>
          <w:rFonts w:ascii="Calibri" w:hAnsi="Calibri" w:cs="Calibri"/>
          <w:i/>
          <w:color w:val="auto"/>
          <w:sz w:val="16"/>
        </w:rPr>
        <w:t xml:space="preserve"> </w:t>
      </w:r>
      <w:r w:rsidRPr="006B7E14">
        <w:rPr>
          <w:rFonts w:ascii="Calibri" w:hAnsi="Calibri" w:cs="Calibri"/>
          <w:color w:val="auto"/>
          <w:sz w:val="16"/>
        </w:rPr>
        <w:t xml:space="preserve">Figure reflects Base Case </w:t>
      </w:r>
      <w:r w:rsidR="006B7E14" w:rsidRPr="006B7E14">
        <w:rPr>
          <w:rFonts w:ascii="Calibri" w:hAnsi="Calibri" w:cs="Calibri"/>
          <w:color w:val="auto"/>
          <w:sz w:val="16"/>
        </w:rPr>
        <w:t>4</w:t>
      </w:r>
      <w:r w:rsidRPr="006B7E14">
        <w:rPr>
          <w:rFonts w:ascii="Calibri" w:hAnsi="Calibri" w:cs="Calibri"/>
          <w:color w:val="auto"/>
          <w:sz w:val="16"/>
        </w:rPr>
        <w:t>-Year forward LFE assumption and the Base Case equal weather weight for all</w:t>
      </w:r>
      <w:r w:rsidR="006B7E14">
        <w:rPr>
          <w:rFonts w:ascii="Calibri" w:hAnsi="Calibri" w:cs="Calibri"/>
          <w:color w:val="auto"/>
          <w:sz w:val="16"/>
        </w:rPr>
        <w:t xml:space="preserve"> </w:t>
      </w:r>
      <w:r w:rsidR="006B7E14" w:rsidRPr="006B7E14">
        <w:rPr>
          <w:rFonts w:ascii="Calibri" w:hAnsi="Calibri" w:cs="Calibri"/>
          <w:color w:val="auto"/>
          <w:sz w:val="16"/>
        </w:rPr>
        <w:t>40</w:t>
      </w:r>
      <w:r w:rsidRPr="006B7E14">
        <w:rPr>
          <w:rFonts w:ascii="Calibri" w:hAnsi="Calibri" w:cs="Calibri"/>
          <w:color w:val="auto"/>
          <w:sz w:val="16"/>
        </w:rPr>
        <w:t xml:space="preserve"> years.</w:t>
      </w:r>
    </w:p>
    <w:p w14:paraId="45956AAE" w14:textId="77777777" w:rsidR="00374681" w:rsidRPr="00374681" w:rsidRDefault="00374681" w:rsidP="00374681">
      <w:pPr>
        <w:pStyle w:val="BGNormal125"/>
        <w:jc w:val="left"/>
        <w:rPr>
          <w:rFonts w:ascii="Calibri" w:hAnsi="Calibri" w:cs="Calibri"/>
          <w:sz w:val="22"/>
          <w:szCs w:val="22"/>
        </w:rPr>
      </w:pPr>
    </w:p>
    <w:p w14:paraId="36411B17" w14:textId="4B9D899D" w:rsidR="004B58AD" w:rsidRDefault="004B58AD" w:rsidP="00FA0DFD">
      <w:pPr>
        <w:pStyle w:val="Heading3"/>
        <w:numPr>
          <w:ilvl w:val="0"/>
          <w:numId w:val="15"/>
        </w:numPr>
      </w:pPr>
      <w:bookmarkStart w:id="190" w:name="_Toc525079598"/>
      <w:bookmarkStart w:id="191" w:name="_Toc525851030"/>
      <w:bookmarkStart w:id="192" w:name="_Toc525938055"/>
      <w:bookmarkStart w:id="193" w:name="_Toc526279111"/>
      <w:bookmarkStart w:id="194" w:name="_Toc526437268"/>
      <w:bookmarkStart w:id="195" w:name="_Toc526439911"/>
      <w:bookmarkStart w:id="196" w:name="_Toc526440021"/>
      <w:bookmarkStart w:id="197" w:name="_Toc532834298"/>
      <w:bookmarkStart w:id="198" w:name="_Toc57193570"/>
      <w:r>
        <w:t>Emergency Event Frequency</w:t>
      </w:r>
      <w:bookmarkEnd w:id="190"/>
      <w:bookmarkEnd w:id="191"/>
      <w:bookmarkEnd w:id="192"/>
      <w:bookmarkEnd w:id="193"/>
      <w:bookmarkEnd w:id="194"/>
      <w:bookmarkEnd w:id="195"/>
      <w:bookmarkEnd w:id="196"/>
      <w:bookmarkEnd w:id="197"/>
      <w:bookmarkEnd w:id="198"/>
    </w:p>
    <w:p w14:paraId="7AB9047D" w14:textId="0404BCD2" w:rsidR="004B58AD" w:rsidRPr="00084B9A" w:rsidRDefault="004B58AD" w:rsidP="004B58AD">
      <w:pPr>
        <w:pStyle w:val="BGNormal125"/>
        <w:rPr>
          <w:rFonts w:ascii="Calibri" w:hAnsi="Calibri" w:cs="Calibri"/>
          <w:color w:val="C00000"/>
          <w:sz w:val="22"/>
          <w:szCs w:val="22"/>
        </w:rPr>
      </w:pPr>
      <w:r w:rsidRPr="009F0FED">
        <w:rPr>
          <w:rFonts w:ascii="Calibri" w:hAnsi="Calibri" w:cs="Calibri"/>
          <w:color w:val="auto"/>
          <w:sz w:val="22"/>
          <w:szCs w:val="22"/>
        </w:rPr>
        <w:fldChar w:fldCharType="begin"/>
      </w:r>
      <w:r w:rsidRPr="009F0FED">
        <w:rPr>
          <w:rFonts w:ascii="Calibri" w:hAnsi="Calibri" w:cs="Calibri"/>
          <w:color w:val="auto"/>
          <w:sz w:val="22"/>
          <w:szCs w:val="22"/>
        </w:rPr>
        <w:instrText xml:space="preserve"> REF _Ref525847423 \h </w:instrText>
      </w:r>
      <w:r w:rsidR="00084B9A" w:rsidRPr="009F0FED">
        <w:rPr>
          <w:rFonts w:ascii="Calibri" w:hAnsi="Calibri" w:cs="Calibri"/>
          <w:color w:val="auto"/>
          <w:sz w:val="22"/>
          <w:szCs w:val="22"/>
        </w:rPr>
        <w:instrText xml:space="preserve"> \* MERGEFORMAT </w:instrText>
      </w:r>
      <w:r w:rsidRPr="009F0FED">
        <w:rPr>
          <w:rFonts w:ascii="Calibri" w:hAnsi="Calibri" w:cs="Calibri"/>
          <w:color w:val="auto"/>
          <w:sz w:val="22"/>
          <w:szCs w:val="22"/>
        </w:rPr>
      </w:r>
      <w:r w:rsidRPr="009F0FED">
        <w:rPr>
          <w:rFonts w:ascii="Calibri" w:hAnsi="Calibri" w:cs="Calibri"/>
          <w:color w:val="auto"/>
          <w:sz w:val="22"/>
          <w:szCs w:val="22"/>
        </w:rPr>
        <w:fldChar w:fldCharType="separate"/>
      </w:r>
      <w:r w:rsidR="006304AC" w:rsidRPr="009163BD">
        <w:rPr>
          <w:rFonts w:ascii="Calibri" w:hAnsi="Calibri" w:cs="Calibri"/>
          <w:color w:val="auto"/>
          <w:sz w:val="22"/>
          <w:szCs w:val="22"/>
        </w:rPr>
        <w:t xml:space="preserve">Figure </w:t>
      </w:r>
      <w:r w:rsidR="006304AC" w:rsidRPr="009163BD">
        <w:rPr>
          <w:rFonts w:ascii="Calibri" w:hAnsi="Calibri" w:cs="Calibri"/>
          <w:noProof/>
          <w:color w:val="auto"/>
          <w:sz w:val="22"/>
          <w:szCs w:val="22"/>
        </w:rPr>
        <w:t>12</w:t>
      </w:r>
      <w:r w:rsidRPr="009F0FED">
        <w:rPr>
          <w:rFonts w:ascii="Calibri" w:hAnsi="Calibri" w:cs="Calibri"/>
          <w:color w:val="auto"/>
          <w:sz w:val="22"/>
          <w:szCs w:val="22"/>
        </w:rPr>
        <w:fldChar w:fldCharType="end"/>
      </w:r>
      <w:r w:rsidRPr="009F0FED">
        <w:rPr>
          <w:rFonts w:ascii="Calibri" w:hAnsi="Calibri" w:cs="Calibri"/>
          <w:color w:val="auto"/>
          <w:sz w:val="22"/>
          <w:szCs w:val="22"/>
        </w:rPr>
        <w:t xml:space="preserve"> summarizes the frequency of six types of emergency events for the base case simulations as a function of the reserve margin. The emergency events, in increasing order of severity, are: (1) the economic dispatch of emergency generation (red line); (2) calling 30-minute ERS (dark gray line); (3) calling TDSP load curtailments (dark blue line); (4) re-dispatching LRs from RRS to energy (light gray line); (5) calling 10-minute ERS (light blue line); and, finally, (6) shedding firm load (light red</w:t>
      </w:r>
      <w:r w:rsidRPr="0004593E">
        <w:rPr>
          <w:rFonts w:ascii="Calibri" w:hAnsi="Calibri" w:cs="Calibri"/>
          <w:color w:val="auto"/>
          <w:sz w:val="22"/>
          <w:szCs w:val="22"/>
        </w:rPr>
        <w:t xml:space="preserve"> line).  As shown, at a 1</w:t>
      </w:r>
      <w:r w:rsidR="00005E8D">
        <w:rPr>
          <w:rFonts w:ascii="Calibri" w:hAnsi="Calibri" w:cs="Calibri"/>
          <w:color w:val="auto"/>
          <w:sz w:val="22"/>
          <w:szCs w:val="22"/>
        </w:rPr>
        <w:t>5</w:t>
      </w:r>
      <w:r w:rsidR="00FB7A4C">
        <w:rPr>
          <w:rFonts w:ascii="Calibri" w:hAnsi="Calibri" w:cs="Calibri"/>
          <w:color w:val="auto"/>
          <w:sz w:val="22"/>
          <w:szCs w:val="22"/>
        </w:rPr>
        <w:t>.</w:t>
      </w:r>
      <w:r w:rsidR="00A049CD">
        <w:rPr>
          <w:rFonts w:ascii="Calibri" w:hAnsi="Calibri" w:cs="Calibri"/>
          <w:color w:val="auto"/>
          <w:sz w:val="22"/>
          <w:szCs w:val="22"/>
        </w:rPr>
        <w:t>7</w:t>
      </w:r>
      <w:r w:rsidR="00FB7A4C">
        <w:rPr>
          <w:rFonts w:ascii="Calibri" w:hAnsi="Calibri" w:cs="Calibri"/>
          <w:color w:val="auto"/>
          <w:sz w:val="22"/>
          <w:szCs w:val="22"/>
        </w:rPr>
        <w:t>5</w:t>
      </w:r>
      <w:r w:rsidRPr="0004593E">
        <w:rPr>
          <w:rFonts w:ascii="Calibri" w:hAnsi="Calibri" w:cs="Calibri"/>
          <w:color w:val="auto"/>
          <w:sz w:val="22"/>
          <w:szCs w:val="22"/>
        </w:rPr>
        <w:t>% reserve margin corresponding to 1-event-in-10-years</w:t>
      </w:r>
      <w:r w:rsidRPr="0004593E" w:rsidDel="00246548">
        <w:rPr>
          <w:rFonts w:ascii="Calibri" w:hAnsi="Calibri" w:cs="Calibri"/>
          <w:color w:val="auto"/>
          <w:sz w:val="22"/>
          <w:szCs w:val="22"/>
        </w:rPr>
        <w:t xml:space="preserve"> </w:t>
      </w:r>
      <w:r w:rsidRPr="0004593E">
        <w:rPr>
          <w:rFonts w:ascii="Calibri" w:hAnsi="Calibri" w:cs="Calibri"/>
          <w:color w:val="auto"/>
          <w:sz w:val="22"/>
          <w:szCs w:val="22"/>
        </w:rPr>
        <w:t xml:space="preserve">(0.1 LOLE), emergency generation would be dispatched approximately </w:t>
      </w:r>
      <w:r w:rsidR="00F22280">
        <w:rPr>
          <w:rFonts w:ascii="Calibri" w:hAnsi="Calibri" w:cs="Calibri"/>
          <w:color w:val="auto"/>
          <w:sz w:val="22"/>
          <w:szCs w:val="22"/>
        </w:rPr>
        <w:t>one</w:t>
      </w:r>
      <w:r w:rsidRPr="0004593E">
        <w:rPr>
          <w:rFonts w:ascii="Calibri" w:hAnsi="Calibri" w:cs="Calibri"/>
          <w:color w:val="auto"/>
          <w:sz w:val="22"/>
          <w:szCs w:val="22"/>
        </w:rPr>
        <w:t xml:space="preserve"> time a year on a weighted-average basis across all simulated years.  At a reserve margin of 8.5%, the system faces </w:t>
      </w:r>
      <w:r w:rsidR="0004593E" w:rsidRPr="0004593E">
        <w:rPr>
          <w:rFonts w:ascii="Calibri" w:hAnsi="Calibri" w:cs="Calibri"/>
          <w:color w:val="auto"/>
          <w:sz w:val="22"/>
          <w:szCs w:val="22"/>
        </w:rPr>
        <w:t>two</w:t>
      </w:r>
      <w:r w:rsidRPr="0004593E">
        <w:rPr>
          <w:rFonts w:ascii="Calibri" w:hAnsi="Calibri" w:cs="Calibri"/>
          <w:color w:val="auto"/>
          <w:sz w:val="22"/>
          <w:szCs w:val="22"/>
        </w:rPr>
        <w:t xml:space="preserve"> load shed event</w:t>
      </w:r>
      <w:r w:rsidR="0004593E" w:rsidRPr="0004593E">
        <w:rPr>
          <w:rFonts w:ascii="Calibri" w:hAnsi="Calibri" w:cs="Calibri"/>
          <w:color w:val="auto"/>
          <w:sz w:val="22"/>
          <w:szCs w:val="22"/>
        </w:rPr>
        <w:t>s</w:t>
      </w:r>
      <w:r w:rsidRPr="0004593E">
        <w:rPr>
          <w:rFonts w:ascii="Calibri" w:hAnsi="Calibri" w:cs="Calibri"/>
          <w:color w:val="auto"/>
          <w:sz w:val="22"/>
          <w:szCs w:val="22"/>
        </w:rPr>
        <w:t xml:space="preserve"> per year on average, most years without load shed events and some years with several.  At the same 8.5% reserve margin, the various types of demand resources would have to be called from </w:t>
      </w:r>
      <w:r w:rsidR="00005E8D">
        <w:rPr>
          <w:rFonts w:ascii="Calibri" w:hAnsi="Calibri" w:cs="Calibri"/>
          <w:color w:val="auto"/>
          <w:sz w:val="22"/>
          <w:szCs w:val="22"/>
        </w:rPr>
        <w:t>two</w:t>
      </w:r>
      <w:r w:rsidR="00005E8D" w:rsidRPr="0004593E">
        <w:rPr>
          <w:rFonts w:ascii="Calibri" w:hAnsi="Calibri" w:cs="Calibri"/>
          <w:color w:val="auto"/>
          <w:sz w:val="22"/>
          <w:szCs w:val="22"/>
        </w:rPr>
        <w:t xml:space="preserve"> </w:t>
      </w:r>
      <w:r w:rsidRPr="0004593E">
        <w:rPr>
          <w:rFonts w:ascii="Calibri" w:hAnsi="Calibri" w:cs="Calibri"/>
          <w:color w:val="auto"/>
          <w:sz w:val="22"/>
          <w:szCs w:val="22"/>
        </w:rPr>
        <w:t xml:space="preserve">to </w:t>
      </w:r>
      <w:r w:rsidR="00005E8D">
        <w:rPr>
          <w:rFonts w:ascii="Calibri" w:hAnsi="Calibri" w:cs="Calibri"/>
          <w:color w:val="auto"/>
          <w:sz w:val="22"/>
          <w:szCs w:val="22"/>
        </w:rPr>
        <w:t>four</w:t>
      </w:r>
      <w:r w:rsidR="00005E8D" w:rsidRPr="0004593E">
        <w:rPr>
          <w:rFonts w:ascii="Calibri" w:hAnsi="Calibri" w:cs="Calibri"/>
          <w:color w:val="auto"/>
          <w:sz w:val="22"/>
          <w:szCs w:val="22"/>
        </w:rPr>
        <w:t xml:space="preserve"> </w:t>
      </w:r>
      <w:r w:rsidRPr="0004593E">
        <w:rPr>
          <w:rFonts w:ascii="Calibri" w:hAnsi="Calibri" w:cs="Calibri"/>
          <w:color w:val="auto"/>
          <w:sz w:val="22"/>
          <w:szCs w:val="22"/>
        </w:rPr>
        <w:t xml:space="preserve">times on average each year (depending on the resource type), and emergency generation would be dispatched approximately </w:t>
      </w:r>
      <w:r w:rsidR="00005E8D">
        <w:rPr>
          <w:rFonts w:ascii="Calibri" w:hAnsi="Calibri" w:cs="Calibri"/>
          <w:color w:val="auto"/>
          <w:sz w:val="22"/>
          <w:szCs w:val="22"/>
        </w:rPr>
        <w:t xml:space="preserve">nine </w:t>
      </w:r>
      <w:r w:rsidRPr="0004593E">
        <w:rPr>
          <w:rFonts w:ascii="Calibri" w:hAnsi="Calibri" w:cs="Calibri"/>
          <w:color w:val="auto"/>
          <w:sz w:val="22"/>
          <w:szCs w:val="22"/>
        </w:rPr>
        <w:t>times on average each year.  At the market equilibrium reserve margin of 1</w:t>
      </w:r>
      <w:r w:rsidR="00005E8D">
        <w:rPr>
          <w:rFonts w:ascii="Calibri" w:hAnsi="Calibri" w:cs="Calibri"/>
          <w:color w:val="auto"/>
          <w:sz w:val="22"/>
          <w:szCs w:val="22"/>
        </w:rPr>
        <w:t>2</w:t>
      </w:r>
      <w:r w:rsidRPr="0004593E">
        <w:rPr>
          <w:rFonts w:ascii="Calibri" w:hAnsi="Calibri" w:cs="Calibri"/>
          <w:color w:val="auto"/>
          <w:sz w:val="22"/>
          <w:szCs w:val="22"/>
        </w:rPr>
        <w:t xml:space="preserve">.25%, emergency generation would be dispatched about </w:t>
      </w:r>
      <w:r w:rsidR="004A6654">
        <w:rPr>
          <w:rFonts w:ascii="Calibri" w:hAnsi="Calibri" w:cs="Calibri"/>
          <w:color w:val="auto"/>
          <w:sz w:val="22"/>
          <w:szCs w:val="22"/>
        </w:rPr>
        <w:t>three</w:t>
      </w:r>
      <w:r w:rsidR="004A6654" w:rsidRPr="0004593E">
        <w:rPr>
          <w:rFonts w:ascii="Calibri" w:hAnsi="Calibri" w:cs="Calibri"/>
          <w:color w:val="auto"/>
          <w:sz w:val="22"/>
          <w:szCs w:val="22"/>
        </w:rPr>
        <w:t xml:space="preserve"> </w:t>
      </w:r>
      <w:r w:rsidRPr="0004593E">
        <w:rPr>
          <w:rFonts w:ascii="Calibri" w:hAnsi="Calibri" w:cs="Calibri"/>
          <w:color w:val="auto"/>
          <w:sz w:val="22"/>
          <w:szCs w:val="22"/>
        </w:rPr>
        <w:t xml:space="preserve">times on average per year, and other demand resources would average </w:t>
      </w:r>
      <w:r w:rsidR="0004593E" w:rsidRPr="0004593E">
        <w:rPr>
          <w:rFonts w:ascii="Calibri" w:hAnsi="Calibri" w:cs="Calibri"/>
          <w:color w:val="auto"/>
          <w:sz w:val="22"/>
          <w:szCs w:val="22"/>
        </w:rPr>
        <w:t>about one time</w:t>
      </w:r>
      <w:r w:rsidRPr="0004593E">
        <w:rPr>
          <w:rFonts w:ascii="Calibri" w:hAnsi="Calibri" w:cs="Calibri"/>
          <w:color w:val="auto"/>
          <w:sz w:val="22"/>
          <w:szCs w:val="22"/>
        </w:rPr>
        <w:t xml:space="preserve"> per year.</w:t>
      </w:r>
    </w:p>
    <w:p w14:paraId="26EE2606" w14:textId="7A47C6AA" w:rsidR="004B58AD" w:rsidRDefault="004B58AD" w:rsidP="004B58AD">
      <w:pPr>
        <w:pStyle w:val="BGNormal125"/>
        <w:rPr>
          <w:rFonts w:ascii="Calibri" w:hAnsi="Calibri" w:cs="Calibri"/>
          <w:color w:val="auto"/>
          <w:sz w:val="22"/>
          <w:szCs w:val="22"/>
        </w:rPr>
      </w:pPr>
      <w:r w:rsidRPr="00B92913">
        <w:rPr>
          <w:rFonts w:ascii="Calibri" w:hAnsi="Calibri" w:cs="Calibri"/>
          <w:color w:val="auto"/>
          <w:sz w:val="22"/>
          <w:szCs w:val="22"/>
        </w:rPr>
        <w:t xml:space="preserve">All types of emergency events become more frequent at lower reserve margins, but the frequency of </w:t>
      </w:r>
      <w:r w:rsidR="00B92913" w:rsidRPr="00B92913">
        <w:rPr>
          <w:rFonts w:ascii="Calibri" w:hAnsi="Calibri" w:cs="Calibri"/>
          <w:color w:val="auto"/>
          <w:sz w:val="22"/>
          <w:szCs w:val="22"/>
        </w:rPr>
        <w:t xml:space="preserve">load shed and emergency generation decline faster than several of the other categories of emergency events. </w:t>
      </w:r>
      <w:r w:rsidR="00873DCC">
        <w:rPr>
          <w:rFonts w:ascii="Calibri" w:hAnsi="Calibri" w:cs="Calibri"/>
          <w:color w:val="auto"/>
          <w:sz w:val="22"/>
          <w:szCs w:val="22"/>
        </w:rPr>
        <w:t>Some</w:t>
      </w:r>
      <w:r w:rsidR="00873DCC" w:rsidRPr="00B92913">
        <w:rPr>
          <w:rFonts w:ascii="Calibri" w:hAnsi="Calibri" w:cs="Calibri"/>
          <w:color w:val="auto"/>
          <w:sz w:val="22"/>
          <w:szCs w:val="22"/>
        </w:rPr>
        <w:t xml:space="preserve"> </w:t>
      </w:r>
      <w:r w:rsidR="00B92913" w:rsidRPr="00B92913">
        <w:rPr>
          <w:rFonts w:ascii="Calibri" w:hAnsi="Calibri" w:cs="Calibri"/>
          <w:color w:val="auto"/>
          <w:sz w:val="22"/>
          <w:szCs w:val="22"/>
        </w:rPr>
        <w:t>of the emergency products in ERCOT are summer-only so any reliability events that occur in non-summer months will only entail emergency generation and load shed.</w:t>
      </w:r>
    </w:p>
    <w:p w14:paraId="2E9D55E7" w14:textId="64F5595B" w:rsidR="000F0C8B" w:rsidRDefault="000F0C8B" w:rsidP="004B58AD">
      <w:pPr>
        <w:pStyle w:val="BGNormal125"/>
        <w:rPr>
          <w:rFonts w:ascii="Calibri" w:hAnsi="Calibri" w:cs="Calibri"/>
          <w:color w:val="auto"/>
          <w:sz w:val="22"/>
          <w:szCs w:val="22"/>
        </w:rPr>
      </w:pPr>
    </w:p>
    <w:p w14:paraId="3371DB1D" w14:textId="219E8E09" w:rsidR="000F0C8B" w:rsidRDefault="000F0C8B" w:rsidP="004B58AD">
      <w:pPr>
        <w:pStyle w:val="BGNormal125"/>
        <w:rPr>
          <w:rFonts w:ascii="Calibri" w:hAnsi="Calibri" w:cs="Calibri"/>
          <w:color w:val="auto"/>
          <w:sz w:val="22"/>
          <w:szCs w:val="22"/>
        </w:rPr>
      </w:pPr>
    </w:p>
    <w:p w14:paraId="5ABBAFDB" w14:textId="0B9474D1" w:rsidR="000F0C8B" w:rsidRDefault="000F0C8B" w:rsidP="004B58AD">
      <w:pPr>
        <w:pStyle w:val="BGNormal125"/>
        <w:rPr>
          <w:rFonts w:ascii="Calibri" w:hAnsi="Calibri" w:cs="Calibri"/>
          <w:color w:val="auto"/>
          <w:sz w:val="22"/>
          <w:szCs w:val="22"/>
        </w:rPr>
      </w:pPr>
    </w:p>
    <w:p w14:paraId="59523F34" w14:textId="78C4AD9D" w:rsidR="000F0C8B" w:rsidRDefault="000F0C8B" w:rsidP="004B58AD">
      <w:pPr>
        <w:pStyle w:val="BGNormal125"/>
        <w:rPr>
          <w:rFonts w:ascii="Calibri" w:hAnsi="Calibri" w:cs="Calibri"/>
          <w:color w:val="auto"/>
          <w:sz w:val="22"/>
          <w:szCs w:val="22"/>
        </w:rPr>
      </w:pPr>
    </w:p>
    <w:p w14:paraId="2C455D2B" w14:textId="6A52C068" w:rsidR="000F0C8B" w:rsidRDefault="000F0C8B" w:rsidP="004B58AD">
      <w:pPr>
        <w:pStyle w:val="BGNormal125"/>
        <w:rPr>
          <w:rFonts w:ascii="Calibri" w:hAnsi="Calibri" w:cs="Calibri"/>
          <w:color w:val="auto"/>
          <w:sz w:val="22"/>
          <w:szCs w:val="22"/>
        </w:rPr>
      </w:pPr>
    </w:p>
    <w:p w14:paraId="03AC4D85" w14:textId="45BC629C" w:rsidR="000F0C8B" w:rsidRDefault="000F0C8B" w:rsidP="004B58AD">
      <w:pPr>
        <w:pStyle w:val="BGNormal125"/>
        <w:rPr>
          <w:rFonts w:ascii="Calibri" w:hAnsi="Calibri" w:cs="Calibri"/>
          <w:color w:val="auto"/>
          <w:sz w:val="22"/>
          <w:szCs w:val="22"/>
        </w:rPr>
      </w:pPr>
    </w:p>
    <w:p w14:paraId="671FD4BC" w14:textId="0DB0AAC5" w:rsidR="000F0C8B" w:rsidRDefault="000F0C8B" w:rsidP="004B58AD">
      <w:pPr>
        <w:pStyle w:val="BGNormal125"/>
        <w:rPr>
          <w:rFonts w:ascii="Calibri" w:hAnsi="Calibri" w:cs="Calibri"/>
          <w:color w:val="auto"/>
          <w:sz w:val="22"/>
          <w:szCs w:val="22"/>
        </w:rPr>
      </w:pPr>
    </w:p>
    <w:p w14:paraId="4D9408C1" w14:textId="3FD00FEC" w:rsidR="000F0C8B" w:rsidRDefault="000F0C8B" w:rsidP="004B58AD">
      <w:pPr>
        <w:pStyle w:val="BGNormal125"/>
        <w:rPr>
          <w:rFonts w:ascii="Calibri" w:hAnsi="Calibri" w:cs="Calibri"/>
          <w:color w:val="auto"/>
          <w:sz w:val="22"/>
          <w:szCs w:val="22"/>
        </w:rPr>
      </w:pPr>
    </w:p>
    <w:p w14:paraId="2BFFA435" w14:textId="5240C73C" w:rsidR="000F0C8B" w:rsidRDefault="000F0C8B" w:rsidP="004B58AD">
      <w:pPr>
        <w:pStyle w:val="BGNormal125"/>
        <w:rPr>
          <w:rFonts w:ascii="Calibri" w:hAnsi="Calibri" w:cs="Calibri"/>
          <w:color w:val="auto"/>
          <w:sz w:val="22"/>
          <w:szCs w:val="22"/>
        </w:rPr>
      </w:pPr>
    </w:p>
    <w:p w14:paraId="1A283359" w14:textId="77777777" w:rsidR="000F0C8B" w:rsidRPr="00B92913" w:rsidRDefault="000F0C8B" w:rsidP="004B58AD">
      <w:pPr>
        <w:pStyle w:val="BGNormal125"/>
        <w:rPr>
          <w:rFonts w:ascii="Calibri" w:hAnsi="Calibri" w:cs="Calibri"/>
          <w:color w:val="auto"/>
          <w:sz w:val="22"/>
          <w:szCs w:val="22"/>
        </w:rPr>
      </w:pPr>
    </w:p>
    <w:p w14:paraId="19357C57" w14:textId="60324799" w:rsidR="004B58AD" w:rsidRPr="006C6C80" w:rsidRDefault="004B58AD" w:rsidP="000F0C8B">
      <w:pPr>
        <w:pStyle w:val="Caption"/>
        <w:spacing w:before="240" w:after="0"/>
        <w:jc w:val="center"/>
        <w:rPr>
          <w:rFonts w:cs="Calibri"/>
          <w:color w:val="auto"/>
          <w:sz w:val="22"/>
          <w:szCs w:val="22"/>
        </w:rPr>
      </w:pPr>
      <w:bookmarkStart w:id="199" w:name="_Ref525847423"/>
      <w:r w:rsidRPr="006C6C80">
        <w:rPr>
          <w:rFonts w:cs="Calibri"/>
          <w:b/>
          <w:bCs/>
          <w:i w:val="0"/>
          <w:iCs w:val="0"/>
          <w:color w:val="auto"/>
          <w:sz w:val="22"/>
          <w:szCs w:val="22"/>
        </w:rPr>
        <w:t xml:space="preserve">Figure </w:t>
      </w:r>
      <w:r w:rsidRPr="006C6C80">
        <w:rPr>
          <w:rFonts w:cs="Calibri"/>
          <w:b/>
          <w:bCs/>
          <w:i w:val="0"/>
          <w:iCs w:val="0"/>
          <w:noProof/>
          <w:color w:val="auto"/>
          <w:sz w:val="22"/>
          <w:szCs w:val="22"/>
        </w:rPr>
        <w:fldChar w:fldCharType="begin"/>
      </w:r>
      <w:r w:rsidRPr="006C6C80">
        <w:rPr>
          <w:rFonts w:cs="Calibri"/>
          <w:b/>
          <w:bCs/>
          <w:i w:val="0"/>
          <w:iCs w:val="0"/>
          <w:noProof/>
          <w:color w:val="auto"/>
          <w:sz w:val="22"/>
          <w:szCs w:val="22"/>
        </w:rPr>
        <w:instrText xml:space="preserve"> SEQ Figure \* ARABIC </w:instrText>
      </w:r>
      <w:r w:rsidRPr="006C6C80">
        <w:rPr>
          <w:rFonts w:cs="Calibri"/>
          <w:b/>
          <w:bCs/>
          <w:i w:val="0"/>
          <w:iCs w:val="0"/>
          <w:noProof/>
          <w:color w:val="auto"/>
          <w:sz w:val="22"/>
          <w:szCs w:val="22"/>
        </w:rPr>
        <w:fldChar w:fldCharType="separate"/>
      </w:r>
      <w:r w:rsidR="006304AC">
        <w:rPr>
          <w:rFonts w:cs="Calibri"/>
          <w:b/>
          <w:bCs/>
          <w:i w:val="0"/>
          <w:iCs w:val="0"/>
          <w:noProof/>
          <w:color w:val="auto"/>
          <w:sz w:val="22"/>
          <w:szCs w:val="22"/>
        </w:rPr>
        <w:t>12</w:t>
      </w:r>
      <w:r w:rsidRPr="006C6C80">
        <w:rPr>
          <w:rFonts w:cs="Calibri"/>
          <w:b/>
          <w:bCs/>
          <w:i w:val="0"/>
          <w:iCs w:val="0"/>
          <w:noProof/>
          <w:color w:val="auto"/>
          <w:sz w:val="22"/>
          <w:szCs w:val="22"/>
        </w:rPr>
        <w:fldChar w:fldCharType="end"/>
      </w:r>
      <w:bookmarkEnd w:id="199"/>
      <w:r w:rsidR="00084B9A" w:rsidRPr="006C6C80">
        <w:rPr>
          <w:rFonts w:cs="Calibri"/>
          <w:b/>
          <w:bCs/>
          <w:i w:val="0"/>
          <w:iCs w:val="0"/>
          <w:noProof/>
          <w:color w:val="auto"/>
          <w:sz w:val="22"/>
          <w:szCs w:val="22"/>
        </w:rPr>
        <w:t xml:space="preserve">. </w:t>
      </w:r>
      <w:r w:rsidRPr="006C6C80">
        <w:rPr>
          <w:rFonts w:cs="Calibri"/>
          <w:b/>
          <w:bCs/>
          <w:i w:val="0"/>
          <w:iCs w:val="0"/>
          <w:color w:val="auto"/>
          <w:sz w:val="22"/>
          <w:szCs w:val="22"/>
        </w:rPr>
        <w:t>Average Annual Frequency of Emergency Events</w:t>
      </w:r>
    </w:p>
    <w:p w14:paraId="33EFC603" w14:textId="425904CF" w:rsidR="004B58AD" w:rsidRPr="006C6C80" w:rsidRDefault="00A52438" w:rsidP="004B58AD">
      <w:pPr>
        <w:pStyle w:val="BGInsertGraphic"/>
        <w:rPr>
          <w:color w:val="auto"/>
        </w:rPr>
      </w:pPr>
      <w:r>
        <w:rPr>
          <w:noProof/>
          <w:color w:val="auto"/>
        </w:rPr>
        <w:drawing>
          <wp:inline distT="0" distB="0" distL="0" distR="0" wp14:anchorId="57DE2327" wp14:editId="46C0C48A">
            <wp:extent cx="4872789" cy="352679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4014" cy="3534914"/>
                    </a:xfrm>
                    <a:prstGeom prst="rect">
                      <a:avLst/>
                    </a:prstGeom>
                    <a:noFill/>
                  </pic:spPr>
                </pic:pic>
              </a:graphicData>
            </a:graphic>
          </wp:inline>
        </w:drawing>
      </w:r>
    </w:p>
    <w:p w14:paraId="6AF1F9D8" w14:textId="451181FF" w:rsidR="004B58AD" w:rsidRDefault="006C6C80" w:rsidP="00077409">
      <w:pPr>
        <w:pStyle w:val="sourcesandnotes"/>
        <w:ind w:left="1260" w:right="187"/>
        <w:rPr>
          <w:rFonts w:ascii="Calibri" w:hAnsi="Calibri" w:cs="Calibri"/>
          <w:color w:val="auto"/>
        </w:rPr>
      </w:pPr>
      <w:r>
        <w:rPr>
          <w:rFonts w:ascii="Calibri" w:hAnsi="Calibri" w:cs="Calibri"/>
          <w:i/>
          <w:color w:val="auto"/>
        </w:rPr>
        <w:tab/>
      </w:r>
      <w:r w:rsidR="004B58AD" w:rsidRPr="006C6C80">
        <w:rPr>
          <w:rFonts w:ascii="Calibri" w:hAnsi="Calibri" w:cs="Calibri"/>
          <w:i/>
          <w:color w:val="auto"/>
        </w:rPr>
        <w:t>Notes:</w:t>
      </w:r>
      <w:r w:rsidRPr="006C6C80">
        <w:rPr>
          <w:rFonts w:ascii="Calibri" w:hAnsi="Calibri" w:cs="Calibri"/>
          <w:i/>
          <w:color w:val="auto"/>
        </w:rPr>
        <w:t xml:space="preserve"> </w:t>
      </w:r>
      <w:r w:rsidR="004B58AD" w:rsidRPr="006C6C80">
        <w:rPr>
          <w:rFonts w:ascii="Calibri" w:hAnsi="Calibri" w:cs="Calibri"/>
          <w:color w:val="auto"/>
        </w:rPr>
        <w:t>Results from Base Case (</w:t>
      </w:r>
      <w:r w:rsidRPr="006C6C80">
        <w:rPr>
          <w:rFonts w:ascii="Calibri" w:hAnsi="Calibri" w:cs="Calibri"/>
          <w:color w:val="auto"/>
        </w:rPr>
        <w:t>4</w:t>
      </w:r>
      <w:r w:rsidR="004B58AD" w:rsidRPr="006C6C80">
        <w:rPr>
          <w:rFonts w:ascii="Calibri" w:hAnsi="Calibri" w:cs="Calibri"/>
          <w:color w:val="auto"/>
        </w:rPr>
        <w:t>-Year Forward LFE, equal weighting of weather years).</w:t>
      </w:r>
    </w:p>
    <w:p w14:paraId="4BB4F0D9" w14:textId="1CAB25A9" w:rsidR="007A3237" w:rsidRPr="00C50581" w:rsidRDefault="00077409" w:rsidP="008B0478">
      <w:pPr>
        <w:pStyle w:val="sourcesandnotes"/>
        <w:tabs>
          <w:tab w:val="clear" w:pos="270"/>
          <w:tab w:val="clear" w:pos="9090"/>
          <w:tab w:val="left" w:pos="1710"/>
        </w:tabs>
        <w:ind w:left="1710" w:right="0" w:hanging="450"/>
        <w:rPr>
          <w:rFonts w:ascii="Calibri" w:hAnsi="Calibri" w:cs="Calibri"/>
          <w:iCs/>
          <w:color w:val="auto"/>
        </w:rPr>
      </w:pPr>
      <w:r>
        <w:rPr>
          <w:rFonts w:ascii="Calibri" w:hAnsi="Calibri" w:cs="Calibri"/>
          <w:iCs/>
          <w:color w:val="auto"/>
        </w:rPr>
        <w:tab/>
      </w:r>
      <w:r w:rsidR="007A3237">
        <w:rPr>
          <w:rFonts w:ascii="Calibri" w:hAnsi="Calibri" w:cs="Calibri"/>
          <w:iCs/>
          <w:color w:val="auto"/>
        </w:rPr>
        <w:t>Inflections in the series data reflect the fact that some emergency procedures are not available in all seasons or they</w:t>
      </w:r>
      <w:r w:rsidR="008B0478">
        <w:rPr>
          <w:rFonts w:ascii="Calibri" w:hAnsi="Calibri" w:cs="Calibri"/>
          <w:iCs/>
          <w:color w:val="auto"/>
        </w:rPr>
        <w:t xml:space="preserve"> </w:t>
      </w:r>
      <w:r w:rsidR="007A3237">
        <w:rPr>
          <w:rFonts w:ascii="Calibri" w:hAnsi="Calibri" w:cs="Calibri"/>
          <w:iCs/>
          <w:color w:val="auto"/>
        </w:rPr>
        <w:t>have other call constraints.</w:t>
      </w:r>
    </w:p>
    <w:p w14:paraId="600AB8B2" w14:textId="59CD37AF" w:rsidR="004B58AD" w:rsidRDefault="004B58AD" w:rsidP="00FA0DFD">
      <w:pPr>
        <w:pStyle w:val="Heading2"/>
        <w:numPr>
          <w:ilvl w:val="0"/>
          <w:numId w:val="12"/>
        </w:numPr>
      </w:pPr>
      <w:bookmarkStart w:id="200" w:name="_Toc525079599"/>
      <w:bookmarkStart w:id="201" w:name="_Toc525851017"/>
      <w:bookmarkStart w:id="202" w:name="_Toc525938056"/>
      <w:bookmarkStart w:id="203" w:name="_Toc526279112"/>
      <w:bookmarkStart w:id="204" w:name="_Toc526437269"/>
      <w:bookmarkStart w:id="205" w:name="_Toc526439912"/>
      <w:bookmarkStart w:id="206" w:name="_Toc526440022"/>
      <w:bookmarkStart w:id="207" w:name="_Toc532834299"/>
      <w:bookmarkStart w:id="208" w:name="_Toc57193571"/>
      <w:bookmarkStart w:id="209" w:name="_Toc525079604"/>
      <w:bookmarkStart w:id="210" w:name="_Toc525851031"/>
      <w:bookmarkEnd w:id="200"/>
      <w:r>
        <w:t>Sensitivity of Market Equilibrium Reserve Margin to Study Assumptions</w:t>
      </w:r>
      <w:bookmarkEnd w:id="201"/>
      <w:bookmarkEnd w:id="202"/>
      <w:bookmarkEnd w:id="203"/>
      <w:bookmarkEnd w:id="204"/>
      <w:bookmarkEnd w:id="205"/>
      <w:bookmarkEnd w:id="206"/>
      <w:bookmarkEnd w:id="207"/>
      <w:bookmarkEnd w:id="208"/>
    </w:p>
    <w:p w14:paraId="165C6DCB" w14:textId="2D1BC651" w:rsidR="004B58AD" w:rsidRPr="008854AB" w:rsidRDefault="004B58AD" w:rsidP="004B58AD">
      <w:pPr>
        <w:pStyle w:val="BGNormal125"/>
        <w:rPr>
          <w:rFonts w:ascii="Calibri" w:hAnsi="Calibri" w:cs="Calibri"/>
          <w:color w:val="auto"/>
          <w:sz w:val="22"/>
          <w:szCs w:val="22"/>
        </w:rPr>
      </w:pPr>
      <w:bookmarkStart w:id="211" w:name="_Toc525851018"/>
      <w:bookmarkStart w:id="212" w:name="_Ref525934358"/>
      <w:bookmarkStart w:id="213" w:name="_Ref525934373"/>
      <w:bookmarkStart w:id="214" w:name="_Toc525938057"/>
      <w:r w:rsidRPr="008854AB">
        <w:rPr>
          <w:rFonts w:ascii="Calibri" w:hAnsi="Calibri" w:cs="Calibri"/>
          <w:color w:val="auto"/>
          <w:sz w:val="22"/>
          <w:szCs w:val="22"/>
        </w:rPr>
        <w:t xml:space="preserve">If investors have different beliefs about load and other factors affecting revenues, or if they face different costs, the </w:t>
      </w:r>
      <w:r w:rsidR="00873DCC">
        <w:rPr>
          <w:rFonts w:ascii="Calibri" w:hAnsi="Calibri" w:cs="Calibri"/>
          <w:color w:val="auto"/>
          <w:sz w:val="22"/>
          <w:szCs w:val="22"/>
        </w:rPr>
        <w:t>MERM</w:t>
      </w:r>
      <w:r w:rsidRPr="008854AB">
        <w:rPr>
          <w:rFonts w:ascii="Calibri" w:hAnsi="Calibri" w:cs="Calibri"/>
          <w:color w:val="auto"/>
          <w:sz w:val="22"/>
          <w:szCs w:val="22"/>
        </w:rPr>
        <w:t xml:space="preserve"> could differ from our estimates.  Here we examine </w:t>
      </w:r>
      <w:r w:rsidR="009A3484" w:rsidRPr="008854AB">
        <w:rPr>
          <w:rFonts w:ascii="Calibri" w:hAnsi="Calibri" w:cs="Calibri"/>
          <w:color w:val="auto"/>
          <w:sz w:val="22"/>
          <w:szCs w:val="22"/>
        </w:rPr>
        <w:t xml:space="preserve">several </w:t>
      </w:r>
      <w:r w:rsidRPr="008854AB">
        <w:rPr>
          <w:rFonts w:ascii="Calibri" w:hAnsi="Calibri" w:cs="Calibri"/>
          <w:color w:val="auto"/>
          <w:sz w:val="22"/>
          <w:szCs w:val="22"/>
        </w:rPr>
        <w:t xml:space="preserve">important uncertainty factors affecting the MERM, including: (1) the amount of intermittent renewable generation installed; </w:t>
      </w:r>
      <w:r w:rsidR="009A3484" w:rsidRPr="008854AB">
        <w:rPr>
          <w:rFonts w:ascii="Calibri" w:hAnsi="Calibri" w:cs="Calibri"/>
          <w:color w:val="auto"/>
          <w:sz w:val="22"/>
          <w:szCs w:val="22"/>
        </w:rPr>
        <w:t xml:space="preserve">(2) the reference technology moving to </w:t>
      </w:r>
      <w:r w:rsidR="00756F94">
        <w:rPr>
          <w:rFonts w:ascii="Calibri" w:hAnsi="Calibri" w:cs="Calibri"/>
          <w:color w:val="auto"/>
          <w:sz w:val="22"/>
          <w:szCs w:val="22"/>
        </w:rPr>
        <w:t>four</w:t>
      </w:r>
      <w:r w:rsidR="009A3484" w:rsidRPr="008854AB">
        <w:rPr>
          <w:rFonts w:ascii="Calibri" w:hAnsi="Calibri" w:cs="Calibri"/>
          <w:color w:val="auto"/>
          <w:sz w:val="22"/>
          <w:szCs w:val="22"/>
        </w:rPr>
        <w:t xml:space="preserve">-hour battery storage; (2) the forced outage rate of conventional generators; </w:t>
      </w:r>
      <w:r w:rsidRPr="008854AB">
        <w:rPr>
          <w:rFonts w:ascii="Calibri" w:hAnsi="Calibri" w:cs="Calibri"/>
          <w:color w:val="auto"/>
          <w:sz w:val="22"/>
          <w:szCs w:val="22"/>
        </w:rPr>
        <w:t>(</w:t>
      </w:r>
      <w:r w:rsidR="009A3484" w:rsidRPr="008854AB">
        <w:rPr>
          <w:rFonts w:ascii="Calibri" w:hAnsi="Calibri" w:cs="Calibri"/>
          <w:color w:val="auto"/>
          <w:sz w:val="22"/>
          <w:szCs w:val="22"/>
        </w:rPr>
        <w:t>3</w:t>
      </w:r>
      <w:r w:rsidRPr="008854AB">
        <w:rPr>
          <w:rFonts w:ascii="Calibri" w:hAnsi="Calibri" w:cs="Calibri"/>
          <w:color w:val="auto"/>
          <w:sz w:val="22"/>
          <w:szCs w:val="22"/>
        </w:rPr>
        <w:t xml:space="preserve">) the assumed cost of building new natural gas-fired plants; (3) the value of lost load; (4) the assumed probabilities of the historical weather years used to model hourly loads and renewable generation; (5) </w:t>
      </w:r>
      <w:r w:rsidR="009A3484" w:rsidRPr="008854AB">
        <w:rPr>
          <w:rFonts w:ascii="Calibri" w:hAnsi="Calibri" w:cs="Calibri"/>
          <w:color w:val="auto"/>
          <w:sz w:val="22"/>
          <w:szCs w:val="22"/>
        </w:rPr>
        <w:t xml:space="preserve">and </w:t>
      </w:r>
      <w:r w:rsidRPr="008854AB">
        <w:rPr>
          <w:rFonts w:ascii="Calibri" w:hAnsi="Calibri" w:cs="Calibri"/>
          <w:color w:val="auto"/>
          <w:sz w:val="22"/>
          <w:szCs w:val="22"/>
        </w:rPr>
        <w:t xml:space="preserve">load forecast uncertainty. </w:t>
      </w:r>
    </w:p>
    <w:p w14:paraId="72ECB226" w14:textId="42430197" w:rsidR="004B58AD" w:rsidRDefault="004B58AD" w:rsidP="004B58AD">
      <w:pPr>
        <w:pStyle w:val="BGNormal125"/>
        <w:rPr>
          <w:rFonts w:ascii="Calibri" w:hAnsi="Calibri" w:cs="Calibri"/>
          <w:color w:val="C00000"/>
          <w:sz w:val="22"/>
          <w:szCs w:val="22"/>
        </w:rPr>
      </w:pPr>
      <w:r w:rsidRPr="008854AB">
        <w:rPr>
          <w:rFonts w:ascii="Calibri" w:hAnsi="Calibri" w:cs="Calibri"/>
          <w:color w:val="auto"/>
          <w:sz w:val="22"/>
          <w:szCs w:val="22"/>
        </w:rPr>
        <w:t xml:space="preserve">Changing the values for these variables over a plausible range results in market equilibrium reserve margins ranging from </w:t>
      </w:r>
      <w:r w:rsidR="00DE67EA">
        <w:rPr>
          <w:rFonts w:ascii="Calibri" w:hAnsi="Calibri" w:cs="Calibri"/>
          <w:color w:val="auto"/>
          <w:sz w:val="22"/>
          <w:szCs w:val="22"/>
        </w:rPr>
        <w:t>10</w:t>
      </w:r>
      <w:r w:rsidR="00B01004">
        <w:rPr>
          <w:rFonts w:ascii="Calibri" w:hAnsi="Calibri" w:cs="Calibri"/>
          <w:color w:val="auto"/>
          <w:sz w:val="22"/>
          <w:szCs w:val="22"/>
        </w:rPr>
        <w:t>.25</w:t>
      </w:r>
      <w:r w:rsidRPr="008854AB">
        <w:rPr>
          <w:rFonts w:ascii="Calibri" w:hAnsi="Calibri" w:cs="Calibri"/>
          <w:color w:val="auto"/>
          <w:sz w:val="22"/>
          <w:szCs w:val="22"/>
        </w:rPr>
        <w:t xml:space="preserve">% to </w:t>
      </w:r>
      <w:r w:rsidR="00B01004">
        <w:rPr>
          <w:rFonts w:ascii="Calibri" w:hAnsi="Calibri" w:cs="Calibri"/>
          <w:color w:val="auto"/>
          <w:sz w:val="22"/>
          <w:szCs w:val="22"/>
        </w:rPr>
        <w:t>1</w:t>
      </w:r>
      <w:r w:rsidR="00DE67EA">
        <w:rPr>
          <w:rFonts w:ascii="Calibri" w:hAnsi="Calibri" w:cs="Calibri"/>
          <w:color w:val="auto"/>
          <w:sz w:val="22"/>
          <w:szCs w:val="22"/>
        </w:rPr>
        <w:t>3</w:t>
      </w:r>
      <w:r w:rsidR="00B01004">
        <w:rPr>
          <w:rFonts w:ascii="Calibri" w:hAnsi="Calibri" w:cs="Calibri"/>
          <w:color w:val="auto"/>
          <w:sz w:val="22"/>
          <w:szCs w:val="22"/>
        </w:rPr>
        <w:t>.25</w:t>
      </w:r>
      <w:r w:rsidRPr="008854AB">
        <w:rPr>
          <w:rFonts w:ascii="Calibri" w:hAnsi="Calibri" w:cs="Calibri"/>
          <w:color w:val="auto"/>
          <w:sz w:val="22"/>
          <w:szCs w:val="22"/>
        </w:rPr>
        <w:t>%.  The actual uncertainty could be even wider, however, when considering other possibilities such as extreme weather events, broader distributions of intermittent renewable generation coinciding with the highest load years (rather than always taking the 2011 wind patterns with 2011 loads, for example), or different beliefs about future market and regulatory conditions</w:t>
      </w:r>
      <w:r w:rsidRPr="008854AB">
        <w:rPr>
          <w:rFonts w:ascii="Calibri" w:hAnsi="Calibri" w:cs="Calibri"/>
          <w:i/>
          <w:color w:val="auto"/>
          <w:sz w:val="22"/>
          <w:szCs w:val="22"/>
        </w:rPr>
        <w:t>.</w:t>
      </w:r>
      <w:r w:rsidRPr="008854AB">
        <w:rPr>
          <w:rFonts w:ascii="Calibri" w:hAnsi="Calibri" w:cs="Calibri"/>
          <w:color w:val="auto"/>
          <w:sz w:val="22"/>
          <w:szCs w:val="22"/>
        </w:rPr>
        <w:t xml:space="preserve">  This range of equilibrium reserve margins would produce a range of reliability outcomes, which we estimate to be 0.</w:t>
      </w:r>
      <w:r w:rsidR="00B01004">
        <w:rPr>
          <w:rFonts w:ascii="Calibri" w:hAnsi="Calibri" w:cs="Calibri"/>
          <w:color w:val="auto"/>
          <w:sz w:val="22"/>
          <w:szCs w:val="22"/>
        </w:rPr>
        <w:t>32</w:t>
      </w:r>
      <w:r w:rsidRPr="008854AB">
        <w:rPr>
          <w:rFonts w:ascii="Calibri" w:hAnsi="Calibri" w:cs="Calibri"/>
          <w:color w:val="auto"/>
          <w:sz w:val="22"/>
          <w:szCs w:val="22"/>
        </w:rPr>
        <w:t xml:space="preserve"> to </w:t>
      </w:r>
      <w:r w:rsidR="00B01004">
        <w:rPr>
          <w:rFonts w:ascii="Calibri" w:hAnsi="Calibri" w:cs="Calibri"/>
          <w:color w:val="auto"/>
          <w:sz w:val="22"/>
          <w:szCs w:val="22"/>
        </w:rPr>
        <w:t>1.17</w:t>
      </w:r>
      <w:r w:rsidRPr="008854AB">
        <w:rPr>
          <w:rFonts w:ascii="Calibri" w:hAnsi="Calibri" w:cs="Calibri"/>
          <w:color w:val="auto"/>
          <w:sz w:val="22"/>
          <w:szCs w:val="22"/>
        </w:rPr>
        <w:t xml:space="preserve"> LOLE.</w:t>
      </w:r>
    </w:p>
    <w:p w14:paraId="50740FF0" w14:textId="77777777" w:rsidR="00C2373A" w:rsidRPr="00084B9A" w:rsidRDefault="00C2373A" w:rsidP="004B58AD">
      <w:pPr>
        <w:pStyle w:val="BGNormal125"/>
        <w:rPr>
          <w:rFonts w:ascii="Calibri" w:hAnsi="Calibri" w:cs="Calibri"/>
          <w:color w:val="C00000"/>
          <w:sz w:val="22"/>
          <w:szCs w:val="22"/>
        </w:rPr>
      </w:pPr>
    </w:p>
    <w:p w14:paraId="7D7B5EDA" w14:textId="3C07B4ED" w:rsidR="004B58AD" w:rsidRDefault="004B58AD" w:rsidP="00FA0DFD">
      <w:pPr>
        <w:pStyle w:val="Heading3"/>
        <w:numPr>
          <w:ilvl w:val="0"/>
          <w:numId w:val="16"/>
        </w:numPr>
      </w:pPr>
      <w:bookmarkStart w:id="215" w:name="_Toc526437270"/>
      <w:bookmarkStart w:id="216" w:name="_Toc526439913"/>
      <w:bookmarkStart w:id="217" w:name="_Toc526440023"/>
      <w:bookmarkStart w:id="218" w:name="_Ref526458122"/>
      <w:bookmarkStart w:id="219" w:name="_Toc532834300"/>
      <w:bookmarkStart w:id="220" w:name="_Toc57193572"/>
      <w:bookmarkStart w:id="221" w:name="_Toc526279113"/>
      <w:bookmarkEnd w:id="211"/>
      <w:bookmarkEnd w:id="212"/>
      <w:bookmarkEnd w:id="213"/>
      <w:bookmarkEnd w:id="214"/>
      <w:r>
        <w:t>Renewables Penetration Scenarios</w:t>
      </w:r>
      <w:bookmarkEnd w:id="215"/>
      <w:bookmarkEnd w:id="216"/>
      <w:bookmarkEnd w:id="217"/>
      <w:bookmarkEnd w:id="218"/>
      <w:bookmarkEnd w:id="219"/>
      <w:bookmarkEnd w:id="220"/>
    </w:p>
    <w:bookmarkEnd w:id="221"/>
    <w:p w14:paraId="00F2C590" w14:textId="7354E949" w:rsidR="004B58AD" w:rsidRPr="00084B9A" w:rsidRDefault="004B58AD" w:rsidP="004B58AD">
      <w:pPr>
        <w:pStyle w:val="BGNormal125"/>
        <w:rPr>
          <w:rFonts w:ascii="Calibri" w:hAnsi="Calibri" w:cs="Calibri"/>
          <w:color w:val="C00000"/>
          <w:sz w:val="22"/>
          <w:szCs w:val="22"/>
        </w:rPr>
      </w:pPr>
      <w:r w:rsidRPr="00306E56">
        <w:rPr>
          <w:rFonts w:ascii="Calibri" w:hAnsi="Calibri" w:cs="Calibri"/>
          <w:color w:val="auto"/>
          <w:sz w:val="22"/>
          <w:szCs w:val="22"/>
        </w:rPr>
        <w:t>The</w:t>
      </w:r>
      <w:r w:rsidRPr="00306E56" w:rsidDel="008E0C61">
        <w:rPr>
          <w:rFonts w:ascii="Calibri" w:hAnsi="Calibri" w:cs="Calibri"/>
          <w:color w:val="auto"/>
          <w:sz w:val="22"/>
          <w:szCs w:val="22"/>
        </w:rPr>
        <w:t xml:space="preserve"> </w:t>
      </w:r>
      <w:r w:rsidRPr="00306E56">
        <w:rPr>
          <w:rFonts w:ascii="Calibri" w:hAnsi="Calibri" w:cs="Calibri"/>
          <w:color w:val="auto"/>
          <w:sz w:val="22"/>
          <w:szCs w:val="22"/>
        </w:rPr>
        <w:t>base case analysis assumes 3</w:t>
      </w:r>
      <w:r w:rsidR="00306E56" w:rsidRPr="00306E56">
        <w:rPr>
          <w:rFonts w:ascii="Calibri" w:hAnsi="Calibri" w:cs="Calibri"/>
          <w:color w:val="auto"/>
          <w:sz w:val="22"/>
          <w:szCs w:val="22"/>
        </w:rPr>
        <w:t>7</w:t>
      </w:r>
      <w:r w:rsidRPr="00306E56">
        <w:rPr>
          <w:rFonts w:ascii="Calibri" w:hAnsi="Calibri" w:cs="Calibri"/>
          <w:color w:val="auto"/>
          <w:sz w:val="22"/>
          <w:szCs w:val="22"/>
        </w:rPr>
        <w:t>.</w:t>
      </w:r>
      <w:r w:rsidR="00306E56" w:rsidRPr="00306E56">
        <w:rPr>
          <w:rFonts w:ascii="Calibri" w:hAnsi="Calibri" w:cs="Calibri"/>
          <w:color w:val="auto"/>
          <w:sz w:val="22"/>
          <w:szCs w:val="22"/>
        </w:rPr>
        <w:t>4</w:t>
      </w:r>
      <w:r w:rsidRPr="00306E56">
        <w:rPr>
          <w:rFonts w:ascii="Calibri" w:hAnsi="Calibri" w:cs="Calibri"/>
          <w:color w:val="auto"/>
          <w:sz w:val="22"/>
          <w:szCs w:val="22"/>
        </w:rPr>
        <w:t xml:space="preserve"> GW of wind and </w:t>
      </w:r>
      <w:r w:rsidR="00306E56" w:rsidRPr="00306E56">
        <w:rPr>
          <w:rFonts w:ascii="Calibri" w:hAnsi="Calibri" w:cs="Calibri"/>
          <w:color w:val="auto"/>
          <w:sz w:val="22"/>
          <w:szCs w:val="22"/>
        </w:rPr>
        <w:t>16</w:t>
      </w:r>
      <w:r w:rsidRPr="00306E56">
        <w:rPr>
          <w:rFonts w:ascii="Calibri" w:hAnsi="Calibri" w:cs="Calibri"/>
          <w:color w:val="auto"/>
          <w:sz w:val="22"/>
          <w:szCs w:val="22"/>
        </w:rPr>
        <w:t xml:space="preserve"> GW of solar online by 202</w:t>
      </w:r>
      <w:r w:rsidR="00306E56" w:rsidRPr="00306E56">
        <w:rPr>
          <w:rFonts w:ascii="Calibri" w:hAnsi="Calibri" w:cs="Calibri"/>
          <w:color w:val="auto"/>
          <w:sz w:val="22"/>
          <w:szCs w:val="22"/>
        </w:rPr>
        <w:t>4</w:t>
      </w:r>
      <w:r w:rsidRPr="00306E56">
        <w:rPr>
          <w:rFonts w:ascii="Calibri" w:hAnsi="Calibri" w:cs="Calibri"/>
          <w:color w:val="auto"/>
          <w:sz w:val="22"/>
          <w:szCs w:val="22"/>
        </w:rPr>
        <w:t>, based on the existing fleet and planned resources that have met the criteria to be included in the CDR.  Our alternative “High Renewables” scenario adds wind and solar capacity that has not yet met all the requirements to be included in the May 20</w:t>
      </w:r>
      <w:r w:rsidR="00306E56" w:rsidRPr="00306E56">
        <w:rPr>
          <w:rFonts w:ascii="Calibri" w:hAnsi="Calibri" w:cs="Calibri"/>
          <w:color w:val="auto"/>
          <w:sz w:val="22"/>
          <w:szCs w:val="22"/>
        </w:rPr>
        <w:t>20</w:t>
      </w:r>
      <w:r w:rsidRPr="00306E56">
        <w:rPr>
          <w:rFonts w:ascii="Calibri" w:hAnsi="Calibri" w:cs="Calibri"/>
          <w:color w:val="auto"/>
          <w:sz w:val="22"/>
          <w:szCs w:val="22"/>
        </w:rPr>
        <w:t xml:space="preserve"> CDR, resulting in an additional </w:t>
      </w:r>
      <w:r w:rsidR="00F22280">
        <w:rPr>
          <w:rFonts w:ascii="Calibri" w:hAnsi="Calibri" w:cs="Calibri"/>
          <w:color w:val="auto"/>
          <w:sz w:val="22"/>
          <w:szCs w:val="22"/>
        </w:rPr>
        <w:t>five</w:t>
      </w:r>
      <w:r w:rsidRPr="00306E56">
        <w:rPr>
          <w:rFonts w:ascii="Calibri" w:hAnsi="Calibri" w:cs="Calibri"/>
          <w:color w:val="auto"/>
          <w:sz w:val="22"/>
          <w:szCs w:val="22"/>
        </w:rPr>
        <w:t xml:space="preserve"> GW of wind and 1</w:t>
      </w:r>
      <w:r w:rsidR="00306E56" w:rsidRPr="00306E56">
        <w:rPr>
          <w:rFonts w:ascii="Calibri" w:hAnsi="Calibri" w:cs="Calibri"/>
          <w:color w:val="auto"/>
          <w:sz w:val="22"/>
          <w:szCs w:val="22"/>
        </w:rPr>
        <w:t>5</w:t>
      </w:r>
      <w:r w:rsidRPr="00306E56">
        <w:rPr>
          <w:rFonts w:ascii="Calibri" w:hAnsi="Calibri" w:cs="Calibri"/>
          <w:color w:val="auto"/>
          <w:sz w:val="22"/>
          <w:szCs w:val="22"/>
        </w:rPr>
        <w:t xml:space="preserve"> GW of solar.  </w:t>
      </w:r>
    </w:p>
    <w:p w14:paraId="7C91DC3B" w14:textId="50C94FC8" w:rsidR="004B58AD" w:rsidRPr="00306E56" w:rsidRDefault="004B58AD" w:rsidP="008B0478">
      <w:pPr>
        <w:pStyle w:val="BGNormal125"/>
        <w:spacing w:after="240"/>
        <w:rPr>
          <w:rFonts w:ascii="Calibri" w:hAnsi="Calibri" w:cs="Calibri"/>
          <w:color w:val="auto"/>
          <w:sz w:val="22"/>
          <w:szCs w:val="22"/>
        </w:rPr>
      </w:pPr>
      <w:r w:rsidRPr="00306E56">
        <w:rPr>
          <w:rFonts w:ascii="Calibri" w:hAnsi="Calibri" w:cs="Calibri"/>
          <w:color w:val="auto"/>
          <w:sz w:val="22"/>
          <w:szCs w:val="22"/>
        </w:rPr>
        <w:t>All else equal, adding renewable generation would decrease prices; but lower prices should force out conventional generation, until the market re-equilibrates at approximately the same reserve margin.  However, we do estimate that equilibrium reserve margins would decrease slightly with higher renewable penetration because the net load duration curve becomes steeper.  A steeper net load duration curve causes prices to fall faster from the peak hour.  That would reduce generators’ net revenues, so reserve margins have to tighten slightly to re-equilibrate, with a slight increase in high-priced ORDC hours.</w:t>
      </w:r>
      <w:r w:rsidR="00326188" w:rsidRPr="00306E56">
        <w:rPr>
          <w:rFonts w:ascii="Calibri" w:hAnsi="Calibri" w:cs="Calibri"/>
          <w:color w:val="auto"/>
          <w:sz w:val="22"/>
          <w:szCs w:val="22"/>
        </w:rPr>
        <w:t xml:space="preserve"> As discussed in the Executive Summary, the load shape impact of increasing renewable</w:t>
      </w:r>
      <w:r w:rsidR="00873DCC">
        <w:rPr>
          <w:rFonts w:ascii="Calibri" w:hAnsi="Calibri" w:cs="Calibri"/>
          <w:color w:val="auto"/>
          <w:sz w:val="22"/>
          <w:szCs w:val="22"/>
        </w:rPr>
        <w:t>s</w:t>
      </w:r>
      <w:r w:rsidR="00326188" w:rsidRPr="00306E56">
        <w:rPr>
          <w:rFonts w:ascii="Calibri" w:hAnsi="Calibri" w:cs="Calibri"/>
          <w:color w:val="auto"/>
          <w:sz w:val="22"/>
          <w:szCs w:val="22"/>
        </w:rPr>
        <w:t xml:space="preserve"> is </w:t>
      </w:r>
      <w:r w:rsidR="00873DCC">
        <w:rPr>
          <w:rFonts w:ascii="Calibri" w:hAnsi="Calibri" w:cs="Calibri"/>
          <w:color w:val="auto"/>
          <w:sz w:val="22"/>
          <w:szCs w:val="22"/>
        </w:rPr>
        <w:t xml:space="preserve">becoming significant given </w:t>
      </w:r>
      <w:r w:rsidR="00326188" w:rsidRPr="00306E56">
        <w:rPr>
          <w:rFonts w:ascii="Calibri" w:hAnsi="Calibri" w:cs="Calibri"/>
          <w:color w:val="auto"/>
          <w:sz w:val="22"/>
          <w:szCs w:val="22"/>
        </w:rPr>
        <w:t xml:space="preserve">projected 2024 penetrations. Solar capacity additions to date have not materially steepened the net load shape since solar afternoon output has not reduced the net load below the load after sunset. Once the net load in late afternoon hours is below the post-sunset net load, subsequent additions of solar will make the net load much steeper late in the day. This steep net load shape means that few hours will be close to the daily peak load, and correspondingly few hours will be close to the annual peak load. In the 2018 study, </w:t>
      </w:r>
      <w:r w:rsidRPr="00306E56">
        <w:rPr>
          <w:rFonts w:ascii="Calibri" w:hAnsi="Calibri" w:cs="Calibri"/>
          <w:color w:val="auto"/>
          <w:sz w:val="22"/>
          <w:szCs w:val="22"/>
        </w:rPr>
        <w:t>the High Renewables scenario</w:t>
      </w:r>
      <w:r w:rsidR="00326188" w:rsidRPr="00306E56">
        <w:rPr>
          <w:rFonts w:ascii="Calibri" w:hAnsi="Calibri" w:cs="Calibri"/>
          <w:color w:val="auto"/>
          <w:sz w:val="22"/>
          <w:szCs w:val="22"/>
        </w:rPr>
        <w:t xml:space="preserve"> reduced the MERM by 1 percentage point</w:t>
      </w:r>
      <w:r w:rsidRPr="00306E56">
        <w:rPr>
          <w:rFonts w:ascii="Calibri" w:hAnsi="Calibri" w:cs="Calibri"/>
          <w:color w:val="auto"/>
          <w:sz w:val="22"/>
          <w:szCs w:val="22"/>
        </w:rPr>
        <w:t>.</w:t>
      </w:r>
      <w:r w:rsidR="00326188" w:rsidRPr="00306E56">
        <w:rPr>
          <w:rFonts w:ascii="Calibri" w:hAnsi="Calibri" w:cs="Calibri"/>
          <w:color w:val="auto"/>
          <w:sz w:val="22"/>
          <w:szCs w:val="22"/>
        </w:rPr>
        <w:t xml:space="preserve"> In this study, a commensurate 20 GW increase in renewable capacity reduces the MERM by </w:t>
      </w:r>
      <w:r w:rsidR="00584363">
        <w:rPr>
          <w:rFonts w:ascii="Calibri" w:hAnsi="Calibri" w:cs="Calibri"/>
          <w:color w:val="auto"/>
          <w:sz w:val="22"/>
          <w:szCs w:val="22"/>
        </w:rPr>
        <w:t>2</w:t>
      </w:r>
      <w:r w:rsidR="00F03118">
        <w:rPr>
          <w:rFonts w:ascii="Calibri" w:hAnsi="Calibri" w:cs="Calibri"/>
          <w:color w:val="auto"/>
          <w:sz w:val="22"/>
          <w:szCs w:val="22"/>
        </w:rPr>
        <w:t>.00</w:t>
      </w:r>
      <w:r w:rsidR="004A6654">
        <w:rPr>
          <w:rFonts w:ascii="Calibri" w:hAnsi="Calibri" w:cs="Calibri"/>
          <w:color w:val="auto"/>
          <w:sz w:val="22"/>
          <w:szCs w:val="22"/>
        </w:rPr>
        <w:t xml:space="preserve"> percentage points</w:t>
      </w:r>
      <w:r w:rsidR="006304AC">
        <w:rPr>
          <w:rFonts w:ascii="Calibri" w:hAnsi="Calibri" w:cs="Calibri"/>
          <w:color w:val="auto"/>
          <w:sz w:val="22"/>
          <w:szCs w:val="22"/>
        </w:rPr>
        <w:t>, as illustrated in Figure 13</w:t>
      </w:r>
      <w:r w:rsidR="00326188" w:rsidRPr="00306E56">
        <w:rPr>
          <w:rFonts w:ascii="Calibri" w:hAnsi="Calibri" w:cs="Calibri"/>
          <w:color w:val="auto"/>
          <w:sz w:val="22"/>
          <w:szCs w:val="22"/>
        </w:rPr>
        <w:t xml:space="preserve">. </w:t>
      </w:r>
      <w:r w:rsidRPr="00306E56">
        <w:rPr>
          <w:rFonts w:ascii="Calibri" w:hAnsi="Calibri" w:cs="Calibri"/>
          <w:color w:val="auto"/>
          <w:sz w:val="22"/>
          <w:szCs w:val="22"/>
        </w:rPr>
        <w:t xml:space="preserve">  </w:t>
      </w:r>
    </w:p>
    <w:p w14:paraId="52C1F7FC" w14:textId="2B6BED2A" w:rsidR="004B58AD" w:rsidRPr="00306E56" w:rsidRDefault="004B58AD" w:rsidP="00084B9A">
      <w:pPr>
        <w:pStyle w:val="Caption"/>
        <w:jc w:val="center"/>
        <w:rPr>
          <w:b/>
          <w:bCs/>
          <w:i w:val="0"/>
          <w:iCs w:val="0"/>
          <w:color w:val="auto"/>
          <w:sz w:val="22"/>
          <w:szCs w:val="22"/>
        </w:rPr>
      </w:pPr>
      <w:bookmarkStart w:id="222" w:name="_Ref526372465"/>
      <w:r w:rsidRPr="00306E56">
        <w:rPr>
          <w:b/>
          <w:bCs/>
          <w:i w:val="0"/>
          <w:iCs w:val="0"/>
          <w:color w:val="auto"/>
          <w:sz w:val="22"/>
          <w:szCs w:val="22"/>
        </w:rPr>
        <w:t xml:space="preserve">Figure </w:t>
      </w:r>
      <w:r w:rsidRPr="00306E56">
        <w:rPr>
          <w:b/>
          <w:bCs/>
          <w:i w:val="0"/>
          <w:iCs w:val="0"/>
          <w:noProof/>
          <w:color w:val="auto"/>
          <w:sz w:val="22"/>
          <w:szCs w:val="22"/>
        </w:rPr>
        <w:fldChar w:fldCharType="begin"/>
      </w:r>
      <w:r w:rsidRPr="00306E56">
        <w:rPr>
          <w:b/>
          <w:bCs/>
          <w:i w:val="0"/>
          <w:iCs w:val="0"/>
          <w:noProof/>
          <w:color w:val="auto"/>
          <w:sz w:val="22"/>
          <w:szCs w:val="22"/>
        </w:rPr>
        <w:instrText xml:space="preserve"> SEQ Figure \* ARABIC </w:instrText>
      </w:r>
      <w:r w:rsidRPr="00306E56">
        <w:rPr>
          <w:b/>
          <w:bCs/>
          <w:i w:val="0"/>
          <w:iCs w:val="0"/>
          <w:noProof/>
          <w:color w:val="auto"/>
          <w:sz w:val="22"/>
          <w:szCs w:val="22"/>
        </w:rPr>
        <w:fldChar w:fldCharType="separate"/>
      </w:r>
      <w:r w:rsidR="006304AC">
        <w:rPr>
          <w:b/>
          <w:bCs/>
          <w:i w:val="0"/>
          <w:iCs w:val="0"/>
          <w:noProof/>
          <w:color w:val="auto"/>
          <w:sz w:val="22"/>
          <w:szCs w:val="22"/>
        </w:rPr>
        <w:t>13</w:t>
      </w:r>
      <w:r w:rsidRPr="00306E56">
        <w:rPr>
          <w:b/>
          <w:bCs/>
          <w:i w:val="0"/>
          <w:iCs w:val="0"/>
          <w:noProof/>
          <w:color w:val="auto"/>
          <w:sz w:val="22"/>
          <w:szCs w:val="22"/>
        </w:rPr>
        <w:fldChar w:fldCharType="end"/>
      </w:r>
      <w:bookmarkEnd w:id="222"/>
      <w:r w:rsidR="00084B9A" w:rsidRPr="00306E56">
        <w:rPr>
          <w:b/>
          <w:bCs/>
          <w:i w:val="0"/>
          <w:iCs w:val="0"/>
          <w:noProof/>
          <w:color w:val="auto"/>
          <w:sz w:val="22"/>
          <w:szCs w:val="22"/>
        </w:rPr>
        <w:t xml:space="preserve">. </w:t>
      </w:r>
      <w:r w:rsidRPr="00306E56">
        <w:rPr>
          <w:b/>
          <w:bCs/>
          <w:i w:val="0"/>
          <w:iCs w:val="0"/>
          <w:color w:val="auto"/>
          <w:sz w:val="22"/>
          <w:szCs w:val="22"/>
        </w:rPr>
        <w:t>Market Equilibrium Reserve Margin Sensitivity to Renewable Penetration</w:t>
      </w:r>
    </w:p>
    <w:p w14:paraId="76535CF5" w14:textId="69669B71" w:rsidR="004B58AD" w:rsidRPr="006377C7" w:rsidRDefault="004B58AD" w:rsidP="008B0478">
      <w:pPr>
        <w:pStyle w:val="BGInsertGraphic"/>
        <w:spacing w:after="240"/>
      </w:pPr>
      <w:r w:rsidRPr="00CE72A6">
        <w:t xml:space="preserve"> </w:t>
      </w:r>
      <w:r w:rsidRPr="00FE112F">
        <w:t xml:space="preserve"> </w:t>
      </w:r>
      <w:r w:rsidRPr="00D67A0B">
        <w:t xml:space="preserve"> </w:t>
      </w:r>
      <w:r w:rsidRPr="00DD7D13">
        <w:t xml:space="preserve"> </w:t>
      </w:r>
      <w:r w:rsidR="00D73568">
        <w:rPr>
          <w:noProof/>
        </w:rPr>
        <w:drawing>
          <wp:inline distT="0" distB="0" distL="0" distR="0" wp14:anchorId="25F86396" wp14:editId="20663A49">
            <wp:extent cx="4962525" cy="335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6">
                      <a:extLst>
                        <a:ext uri="{28A0092B-C50C-407E-A947-70E740481C1C}">
                          <a14:useLocalDpi xmlns:a14="http://schemas.microsoft.com/office/drawing/2010/main" val="0"/>
                        </a:ext>
                      </a:extLst>
                    </a:blip>
                    <a:srcRect r="9955"/>
                    <a:stretch/>
                  </pic:blipFill>
                  <pic:spPr bwMode="auto">
                    <a:xfrm>
                      <a:off x="0" y="0"/>
                      <a:ext cx="4962525" cy="3359150"/>
                    </a:xfrm>
                    <a:prstGeom prst="rect">
                      <a:avLst/>
                    </a:prstGeom>
                    <a:noFill/>
                    <a:ln>
                      <a:noFill/>
                    </a:ln>
                    <a:extLst>
                      <a:ext uri="{53640926-AAD7-44D8-BBD7-CCE9431645EC}">
                        <a14:shadowObscured xmlns:a14="http://schemas.microsoft.com/office/drawing/2010/main"/>
                      </a:ext>
                    </a:extLst>
                  </pic:spPr>
                </pic:pic>
              </a:graphicData>
            </a:graphic>
          </wp:inline>
        </w:drawing>
      </w:r>
    </w:p>
    <w:p w14:paraId="10FF2EFC" w14:textId="09B1522F" w:rsidR="009A3484" w:rsidRDefault="000257E7" w:rsidP="00FA0DFD">
      <w:pPr>
        <w:pStyle w:val="Heading3"/>
        <w:numPr>
          <w:ilvl w:val="0"/>
          <w:numId w:val="16"/>
        </w:numPr>
      </w:pPr>
      <w:bookmarkStart w:id="223" w:name="_Toc57193573"/>
      <w:bookmarkStart w:id="224" w:name="_Toc525851019"/>
      <w:bookmarkStart w:id="225" w:name="_Toc525938058"/>
      <w:bookmarkStart w:id="226" w:name="_Toc526279114"/>
      <w:bookmarkStart w:id="227" w:name="_Toc526437271"/>
      <w:bookmarkStart w:id="228" w:name="_Toc526439914"/>
      <w:bookmarkStart w:id="229" w:name="_Toc526440024"/>
      <w:bookmarkStart w:id="230" w:name="_Ref526860709"/>
      <w:bookmarkStart w:id="231" w:name="_Toc532834301"/>
      <w:r>
        <w:t>Storage Potential at the High Renewables Penetration</w:t>
      </w:r>
      <w:bookmarkEnd w:id="223"/>
      <w:r w:rsidR="009A3484">
        <w:t xml:space="preserve"> </w:t>
      </w:r>
    </w:p>
    <w:p w14:paraId="77457830" w14:textId="1D93EC04" w:rsidR="00306E56" w:rsidRDefault="00255EFC" w:rsidP="00B01004">
      <w:pPr>
        <w:jc w:val="both"/>
      </w:pPr>
      <w:r>
        <w:t xml:space="preserve">The net load shape effect of increasing renewable resources provides an opportunity for short duration resources to provide capacity value. The area under the net load curve during peak days that could be served by </w:t>
      </w:r>
      <w:r w:rsidR="00756F94">
        <w:t>four</w:t>
      </w:r>
      <w:r>
        <w:t xml:space="preserve">-hour duration resources </w:t>
      </w:r>
      <w:r w:rsidR="00B92913">
        <w:t>increases</w:t>
      </w:r>
      <w:r>
        <w:t xml:space="preserve"> over the addition of the next 15 GW of solar capacity.  Quantification of this shift is shown in Figure </w:t>
      </w:r>
      <w:r w:rsidR="006304AC">
        <w:t>14</w:t>
      </w:r>
      <w:r>
        <w:t>.</w:t>
      </w:r>
    </w:p>
    <w:p w14:paraId="3F4584D7" w14:textId="146A8DB5" w:rsidR="00306E56" w:rsidRPr="00306E56" w:rsidRDefault="00306E56" w:rsidP="00306E56">
      <w:pPr>
        <w:jc w:val="center"/>
      </w:pPr>
      <w:r w:rsidRPr="00306E56">
        <w:rPr>
          <w:b/>
          <w:bCs/>
        </w:rPr>
        <w:t xml:space="preserve">Figure </w:t>
      </w:r>
      <w:r w:rsidRPr="00306E56">
        <w:rPr>
          <w:b/>
          <w:bCs/>
          <w:noProof/>
        </w:rPr>
        <w:fldChar w:fldCharType="begin"/>
      </w:r>
      <w:r w:rsidRPr="00306E56">
        <w:rPr>
          <w:b/>
          <w:bCs/>
          <w:noProof/>
        </w:rPr>
        <w:instrText xml:space="preserve"> SEQ Figure \* ARABIC </w:instrText>
      </w:r>
      <w:r w:rsidRPr="00306E56">
        <w:rPr>
          <w:b/>
          <w:bCs/>
          <w:noProof/>
        </w:rPr>
        <w:fldChar w:fldCharType="separate"/>
      </w:r>
      <w:r w:rsidR="006304AC">
        <w:rPr>
          <w:b/>
          <w:bCs/>
          <w:noProof/>
        </w:rPr>
        <w:t>14</w:t>
      </w:r>
      <w:r w:rsidRPr="00306E56">
        <w:rPr>
          <w:b/>
          <w:bCs/>
          <w:noProof/>
        </w:rPr>
        <w:fldChar w:fldCharType="end"/>
      </w:r>
      <w:r w:rsidRPr="00306E56">
        <w:rPr>
          <w:b/>
          <w:bCs/>
          <w:noProof/>
        </w:rPr>
        <w:t xml:space="preserve">. </w:t>
      </w:r>
      <w:r>
        <w:rPr>
          <w:b/>
          <w:bCs/>
        </w:rPr>
        <w:t>Net Load Shape Impact of Solar</w:t>
      </w:r>
    </w:p>
    <w:p w14:paraId="3B7B204F" w14:textId="5AEB3A52" w:rsidR="00255EFC" w:rsidRDefault="00584363" w:rsidP="00306E56">
      <w:pPr>
        <w:jc w:val="center"/>
      </w:pPr>
      <w:r>
        <w:rPr>
          <w:noProof/>
        </w:rPr>
        <w:drawing>
          <wp:inline distT="0" distB="0" distL="0" distR="0" wp14:anchorId="1EDFEFCB" wp14:editId="3539CB08">
            <wp:extent cx="6003961" cy="3467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8908"/>
                    <a:stretch/>
                  </pic:blipFill>
                  <pic:spPr bwMode="auto">
                    <a:xfrm>
                      <a:off x="0" y="0"/>
                      <a:ext cx="6019160" cy="3475877"/>
                    </a:xfrm>
                    <a:prstGeom prst="rect">
                      <a:avLst/>
                    </a:prstGeom>
                    <a:noFill/>
                    <a:ln>
                      <a:noFill/>
                    </a:ln>
                    <a:extLst>
                      <a:ext uri="{53640926-AAD7-44D8-BBD7-CCE9431645EC}">
                        <a14:shadowObscured xmlns:a14="http://schemas.microsoft.com/office/drawing/2010/main"/>
                      </a:ext>
                    </a:extLst>
                  </pic:spPr>
                </pic:pic>
              </a:graphicData>
            </a:graphic>
          </wp:inline>
        </w:drawing>
      </w:r>
    </w:p>
    <w:p w14:paraId="35C2BDAB" w14:textId="052EBA11" w:rsidR="00E54F84" w:rsidRDefault="00B92913" w:rsidP="00B01004">
      <w:pPr>
        <w:jc w:val="both"/>
      </w:pPr>
      <w:r>
        <w:t xml:space="preserve">To quantify the capacity of storage that can contribute to reliability, the area under each net load curve is analyzed. The area under the series labeled ‘Gross Load Minus Wind’ within </w:t>
      </w:r>
      <w:r w:rsidR="00F33E6F">
        <w:t>one</w:t>
      </w:r>
      <w:r>
        <w:t xml:space="preserve"> GW of the daily net load peak is approximately </w:t>
      </w:r>
      <w:r w:rsidR="00B35DC0">
        <w:t xml:space="preserve">1.6 </w:t>
      </w:r>
      <w:r>
        <w:t xml:space="preserve">GWh. This means that </w:t>
      </w:r>
      <w:r w:rsidR="00F33E6F">
        <w:t>one</w:t>
      </w:r>
      <w:r>
        <w:t xml:space="preserve"> GW of load can be served reliably with 1.</w:t>
      </w:r>
      <w:r w:rsidR="00B35DC0">
        <w:t xml:space="preserve">6 </w:t>
      </w:r>
      <w:r>
        <w:t xml:space="preserve">hours of energy from a battery resource. Within </w:t>
      </w:r>
      <w:r w:rsidR="00F33E6F">
        <w:t>two</w:t>
      </w:r>
      <w:r>
        <w:t xml:space="preserve"> GW of the daily net load peak a longer duration is required and that area represents </w:t>
      </w:r>
      <w:r w:rsidR="00E41111">
        <w:t>2.1</w:t>
      </w:r>
      <w:r>
        <w:t xml:space="preserve"> hours of energy. </w:t>
      </w:r>
      <w:r w:rsidR="00E41111">
        <w:t xml:space="preserve">Figure 15 contains a visual illustration of this example. </w:t>
      </w:r>
      <w:r>
        <w:t xml:space="preserve">The area under the curve for the ‘Gross Load </w:t>
      </w:r>
      <w:proofErr w:type="gramStart"/>
      <w:r>
        <w:t>Minus</w:t>
      </w:r>
      <w:proofErr w:type="gramEnd"/>
      <w:r>
        <w:t xml:space="preserve"> Wind’ series at </w:t>
      </w:r>
      <w:r w:rsidR="00756F94">
        <w:t>four</w:t>
      </w:r>
      <w:r w:rsidR="001420D7">
        <w:t>-</w:t>
      </w:r>
      <w:r>
        <w:t>hours of duration corresponds to 8,000 MW of capacity and is shown as the far left point on Figure 1</w:t>
      </w:r>
      <w:r w:rsidR="003845B7">
        <w:t>6</w:t>
      </w:r>
      <w:r>
        <w:t xml:space="preserve">. </w:t>
      </w:r>
    </w:p>
    <w:p w14:paraId="6CA4CE94" w14:textId="529ED36B" w:rsidR="000F0C8B" w:rsidRDefault="000F0C8B" w:rsidP="00B01004">
      <w:pPr>
        <w:jc w:val="both"/>
      </w:pPr>
    </w:p>
    <w:p w14:paraId="322194CD" w14:textId="4D5649A6" w:rsidR="000F0C8B" w:rsidRDefault="000F0C8B" w:rsidP="00B01004">
      <w:pPr>
        <w:jc w:val="both"/>
      </w:pPr>
    </w:p>
    <w:p w14:paraId="02544298" w14:textId="758B7A29" w:rsidR="000F0C8B" w:rsidRDefault="000F0C8B" w:rsidP="00B01004">
      <w:pPr>
        <w:jc w:val="both"/>
      </w:pPr>
    </w:p>
    <w:p w14:paraId="02DA78E7" w14:textId="125CDFA8" w:rsidR="000F0C8B" w:rsidRDefault="000F0C8B" w:rsidP="00B01004">
      <w:pPr>
        <w:jc w:val="both"/>
      </w:pPr>
    </w:p>
    <w:p w14:paraId="0FFCEA2E" w14:textId="74B0AF63" w:rsidR="000F0C8B" w:rsidRDefault="000F0C8B" w:rsidP="00B01004">
      <w:pPr>
        <w:jc w:val="both"/>
      </w:pPr>
    </w:p>
    <w:p w14:paraId="39457083" w14:textId="37FA1BB2" w:rsidR="000F0C8B" w:rsidRDefault="000F0C8B" w:rsidP="00B01004">
      <w:pPr>
        <w:jc w:val="both"/>
      </w:pPr>
    </w:p>
    <w:p w14:paraId="110547CB" w14:textId="77777777" w:rsidR="000F0C8B" w:rsidRDefault="000F0C8B" w:rsidP="00B01004">
      <w:pPr>
        <w:jc w:val="both"/>
      </w:pPr>
    </w:p>
    <w:p w14:paraId="1326FFFC" w14:textId="77777777" w:rsidR="00E54F84" w:rsidRPr="00306E56" w:rsidRDefault="00E54F84" w:rsidP="00E54F84">
      <w:pPr>
        <w:jc w:val="center"/>
      </w:pPr>
      <w:r w:rsidRPr="00306E56">
        <w:rPr>
          <w:b/>
          <w:bCs/>
        </w:rPr>
        <w:t xml:space="preserve">Figure </w:t>
      </w:r>
      <w:r w:rsidRPr="00306E56">
        <w:rPr>
          <w:b/>
          <w:bCs/>
          <w:noProof/>
        </w:rPr>
        <w:fldChar w:fldCharType="begin"/>
      </w:r>
      <w:r w:rsidRPr="00306E56">
        <w:rPr>
          <w:b/>
          <w:bCs/>
          <w:noProof/>
        </w:rPr>
        <w:instrText xml:space="preserve"> SEQ Figure \* ARABIC </w:instrText>
      </w:r>
      <w:r w:rsidRPr="00306E56">
        <w:rPr>
          <w:b/>
          <w:bCs/>
          <w:noProof/>
        </w:rPr>
        <w:fldChar w:fldCharType="separate"/>
      </w:r>
      <w:r>
        <w:rPr>
          <w:b/>
          <w:bCs/>
          <w:noProof/>
        </w:rPr>
        <w:t>15</w:t>
      </w:r>
      <w:r w:rsidRPr="00306E56">
        <w:rPr>
          <w:b/>
          <w:bCs/>
          <w:noProof/>
        </w:rPr>
        <w:fldChar w:fldCharType="end"/>
      </w:r>
      <w:r w:rsidRPr="00306E56">
        <w:rPr>
          <w:b/>
          <w:bCs/>
          <w:noProof/>
        </w:rPr>
        <w:t xml:space="preserve">. </w:t>
      </w:r>
      <w:r>
        <w:rPr>
          <w:b/>
          <w:bCs/>
        </w:rPr>
        <w:t>Net Load Shape Impact of Solar</w:t>
      </w:r>
    </w:p>
    <w:p w14:paraId="4441F763" w14:textId="1A6738D6" w:rsidR="00E54F84" w:rsidRDefault="00B35DC0" w:rsidP="000F0C8B">
      <w:pPr>
        <w:spacing w:after="0"/>
        <w:jc w:val="center"/>
      </w:pPr>
      <w:r>
        <w:rPr>
          <w:noProof/>
        </w:rPr>
        <w:drawing>
          <wp:inline distT="0" distB="0" distL="0" distR="0" wp14:anchorId="1423AAAC" wp14:editId="4BC3FD66">
            <wp:extent cx="6241977" cy="328612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t="5381"/>
                    <a:stretch/>
                  </pic:blipFill>
                  <pic:spPr bwMode="auto">
                    <a:xfrm>
                      <a:off x="0" y="0"/>
                      <a:ext cx="6255448" cy="3293217"/>
                    </a:xfrm>
                    <a:prstGeom prst="rect">
                      <a:avLst/>
                    </a:prstGeom>
                    <a:noFill/>
                    <a:ln>
                      <a:noFill/>
                    </a:ln>
                    <a:extLst>
                      <a:ext uri="{53640926-AAD7-44D8-BBD7-CCE9431645EC}">
                        <a14:shadowObscured xmlns:a14="http://schemas.microsoft.com/office/drawing/2010/main"/>
                      </a:ext>
                    </a:extLst>
                  </pic:spPr>
                </pic:pic>
              </a:graphicData>
            </a:graphic>
          </wp:inline>
        </w:drawing>
      </w:r>
    </w:p>
    <w:p w14:paraId="5F4C1B5E" w14:textId="0264A43D" w:rsidR="00B92913" w:rsidRPr="00B92913" w:rsidRDefault="00B92913" w:rsidP="00B01004">
      <w:pPr>
        <w:jc w:val="both"/>
      </w:pPr>
      <w:r>
        <w:t xml:space="preserve">Performing this calculation for a wide range of solar penetrations yields the remaining points on this series. Initial incremental solar flattens the net load shape, reducing the potential for storage to supply reliability to ERCOT. At approximately </w:t>
      </w:r>
      <w:r w:rsidR="00A41124">
        <w:t>3</w:t>
      </w:r>
      <w:r>
        <w:t xml:space="preserve">0 GW of total solar penetration, the net load shape begins to steepen and storage potential begins to increase. In the high renewable scenario analyzed, approximately 10 GW of </w:t>
      </w:r>
      <w:r w:rsidR="00F33E6F">
        <w:t>four</w:t>
      </w:r>
      <w:r w:rsidR="001420D7">
        <w:t>-</w:t>
      </w:r>
      <w:r>
        <w:t>hour battery storage has the potential to supply reliability value to ERCOT.</w:t>
      </w:r>
    </w:p>
    <w:p w14:paraId="76574BED" w14:textId="578C8A2C" w:rsidR="00584363" w:rsidRDefault="00584363" w:rsidP="008B0478">
      <w:pPr>
        <w:spacing w:after="0"/>
        <w:jc w:val="center"/>
        <w:rPr>
          <w:b/>
          <w:bCs/>
        </w:rPr>
      </w:pPr>
      <w:r w:rsidRPr="00306E56">
        <w:rPr>
          <w:b/>
          <w:bCs/>
        </w:rPr>
        <w:t xml:space="preserve">Figure </w:t>
      </w:r>
      <w:r w:rsidRPr="00306E56">
        <w:rPr>
          <w:b/>
          <w:bCs/>
          <w:noProof/>
        </w:rPr>
        <w:fldChar w:fldCharType="begin"/>
      </w:r>
      <w:r w:rsidRPr="00306E56">
        <w:rPr>
          <w:b/>
          <w:bCs/>
          <w:noProof/>
        </w:rPr>
        <w:instrText xml:space="preserve"> SEQ Figure \* ARABIC </w:instrText>
      </w:r>
      <w:r w:rsidRPr="00306E56">
        <w:rPr>
          <w:b/>
          <w:bCs/>
          <w:noProof/>
        </w:rPr>
        <w:fldChar w:fldCharType="separate"/>
      </w:r>
      <w:r w:rsidR="003845B7">
        <w:rPr>
          <w:b/>
          <w:bCs/>
          <w:noProof/>
        </w:rPr>
        <w:t>16</w:t>
      </w:r>
      <w:r w:rsidRPr="00306E56">
        <w:rPr>
          <w:b/>
          <w:bCs/>
          <w:noProof/>
        </w:rPr>
        <w:fldChar w:fldCharType="end"/>
      </w:r>
      <w:r w:rsidRPr="00306E56">
        <w:rPr>
          <w:b/>
          <w:bCs/>
          <w:noProof/>
        </w:rPr>
        <w:t>.</w:t>
      </w:r>
      <w:r w:rsidR="00B92913">
        <w:rPr>
          <w:b/>
          <w:bCs/>
          <w:noProof/>
        </w:rPr>
        <w:t xml:space="preserve"> </w:t>
      </w:r>
      <w:r>
        <w:rPr>
          <w:b/>
          <w:bCs/>
        </w:rPr>
        <w:t>Storage Potential</w:t>
      </w:r>
      <w:r w:rsidR="00B92913">
        <w:rPr>
          <w:b/>
          <w:bCs/>
        </w:rPr>
        <w:t xml:space="preserve"> to Contribute to Reliability</w:t>
      </w:r>
    </w:p>
    <w:p w14:paraId="5ECAEEE2" w14:textId="5BFB1469" w:rsidR="00584363" w:rsidRPr="00306E56" w:rsidRDefault="00584363" w:rsidP="00584363">
      <w:pPr>
        <w:jc w:val="center"/>
      </w:pPr>
      <w:r>
        <w:rPr>
          <w:noProof/>
        </w:rPr>
        <w:drawing>
          <wp:inline distT="0" distB="0" distL="0" distR="0" wp14:anchorId="3D3E52A0" wp14:editId="08D1177C">
            <wp:extent cx="5962650" cy="3064722"/>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a:extLst>
                        <a:ext uri="{28A0092B-C50C-407E-A947-70E740481C1C}">
                          <a14:useLocalDpi xmlns:a14="http://schemas.microsoft.com/office/drawing/2010/main" val="0"/>
                        </a:ext>
                      </a:extLst>
                    </a:blip>
                    <a:srcRect t="9050"/>
                    <a:stretch/>
                  </pic:blipFill>
                  <pic:spPr bwMode="auto">
                    <a:xfrm>
                      <a:off x="0" y="0"/>
                      <a:ext cx="5991301" cy="3079448"/>
                    </a:xfrm>
                    <a:prstGeom prst="rect">
                      <a:avLst/>
                    </a:prstGeom>
                    <a:noFill/>
                    <a:ln>
                      <a:noFill/>
                    </a:ln>
                    <a:extLst>
                      <a:ext uri="{53640926-AAD7-44D8-BBD7-CCE9431645EC}">
                        <a14:shadowObscured xmlns:a14="http://schemas.microsoft.com/office/drawing/2010/main"/>
                      </a:ext>
                    </a:extLst>
                  </pic:spPr>
                </pic:pic>
              </a:graphicData>
            </a:graphic>
          </wp:inline>
        </w:drawing>
      </w:r>
    </w:p>
    <w:p w14:paraId="41F3454F" w14:textId="459DAC07" w:rsidR="00B92913" w:rsidRPr="00B92913" w:rsidRDefault="00B92913" w:rsidP="00B01004">
      <w:pPr>
        <w:jc w:val="both"/>
      </w:pPr>
      <w:r>
        <w:t>Example charging and discharging schedules</w:t>
      </w:r>
      <w:r w:rsidR="00B01004">
        <w:t xml:space="preserve">, in Figure </w:t>
      </w:r>
      <w:r w:rsidR="003845B7">
        <w:t>17</w:t>
      </w:r>
      <w:r w:rsidR="00B01004">
        <w:t>,</w:t>
      </w:r>
      <w:r>
        <w:t xml:space="preserve"> illustrate the flatness or steepness of the respective daily load shapes under different solar penetrations.</w:t>
      </w:r>
    </w:p>
    <w:p w14:paraId="606C0B04" w14:textId="4CDD648E" w:rsidR="00584363" w:rsidRPr="00B01004" w:rsidRDefault="00584363" w:rsidP="00B01004">
      <w:pPr>
        <w:jc w:val="center"/>
        <w:rPr>
          <w:b/>
          <w:bCs/>
        </w:rPr>
      </w:pPr>
      <w:r w:rsidRPr="00306E56">
        <w:rPr>
          <w:b/>
          <w:bCs/>
        </w:rPr>
        <w:t xml:space="preserve">Figure </w:t>
      </w:r>
      <w:r w:rsidRPr="00306E56">
        <w:rPr>
          <w:b/>
          <w:bCs/>
          <w:noProof/>
        </w:rPr>
        <w:fldChar w:fldCharType="begin"/>
      </w:r>
      <w:r w:rsidRPr="00306E56">
        <w:rPr>
          <w:b/>
          <w:bCs/>
          <w:noProof/>
        </w:rPr>
        <w:instrText xml:space="preserve"> SEQ Figure \* ARABIC </w:instrText>
      </w:r>
      <w:r w:rsidRPr="00306E56">
        <w:rPr>
          <w:b/>
          <w:bCs/>
          <w:noProof/>
        </w:rPr>
        <w:fldChar w:fldCharType="separate"/>
      </w:r>
      <w:r w:rsidR="003845B7">
        <w:rPr>
          <w:b/>
          <w:bCs/>
          <w:noProof/>
        </w:rPr>
        <w:t>17</w:t>
      </w:r>
      <w:r w:rsidRPr="00306E56">
        <w:rPr>
          <w:b/>
          <w:bCs/>
          <w:noProof/>
        </w:rPr>
        <w:fldChar w:fldCharType="end"/>
      </w:r>
      <w:r w:rsidRPr="00306E56">
        <w:rPr>
          <w:b/>
          <w:bCs/>
          <w:noProof/>
        </w:rPr>
        <w:t xml:space="preserve">. </w:t>
      </w:r>
      <w:r>
        <w:rPr>
          <w:b/>
          <w:bCs/>
        </w:rPr>
        <w:t>Storage Charging Potential</w:t>
      </w:r>
      <w:r w:rsidRPr="00584363">
        <w:rPr>
          <w:noProof/>
        </w:rPr>
        <w:t xml:space="preserve"> </w:t>
      </w:r>
      <w:r w:rsidR="00B01004">
        <w:rPr>
          <w:noProof/>
        </w:rPr>
        <w:drawing>
          <wp:inline distT="0" distB="0" distL="0" distR="0" wp14:anchorId="7DF8B40D" wp14:editId="492B91DD">
            <wp:extent cx="5934075" cy="228002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9168" cy="2297353"/>
                    </a:xfrm>
                    <a:prstGeom prst="rect">
                      <a:avLst/>
                    </a:prstGeom>
                    <a:noFill/>
                  </pic:spPr>
                </pic:pic>
              </a:graphicData>
            </a:graphic>
          </wp:inline>
        </w:drawing>
      </w:r>
    </w:p>
    <w:p w14:paraId="42C89292" w14:textId="64677785" w:rsidR="00B92913" w:rsidRDefault="00B92913" w:rsidP="00B01004">
      <w:pPr>
        <w:jc w:val="both"/>
      </w:pPr>
      <w:r>
        <w:t xml:space="preserve">The economic opportunity for battery storage is limited by the daily arbitrage opportunity throughout the year. The significant penetrations of renewable resources in ERCOT create frequent low market price hours where most conventional generation is either turned off or dispatched near minimum. During these periods, renewable generation can even be curtailed. The bidding strategies of renewable generator owners may entail bidding at negative prices since they have a financial incentive in terms of tax credits to continue to produce. Batteries are able to charge during these periods and capture significant arbitrage opportunities. To assess the potential for batteries to earn an economic return in future high renewable scenarios, the bidding behavior of these resources must be modeled. The historical relationship between curtailment and the average minimum zonal price is reflected in Figure </w:t>
      </w:r>
      <w:r w:rsidR="001420D7">
        <w:t>18</w:t>
      </w:r>
      <w:r>
        <w:t xml:space="preserve">. </w:t>
      </w:r>
    </w:p>
    <w:p w14:paraId="6DD5A63D" w14:textId="42F1DBF9" w:rsidR="00B01004" w:rsidRDefault="00B01004" w:rsidP="00B01004">
      <w:pPr>
        <w:jc w:val="center"/>
      </w:pPr>
      <w:r w:rsidRPr="00306E56">
        <w:rPr>
          <w:b/>
          <w:bCs/>
        </w:rPr>
        <w:t xml:space="preserve">Figure </w:t>
      </w:r>
      <w:r w:rsidRPr="00306E56">
        <w:rPr>
          <w:b/>
          <w:bCs/>
          <w:noProof/>
        </w:rPr>
        <w:fldChar w:fldCharType="begin"/>
      </w:r>
      <w:r w:rsidRPr="00306E56">
        <w:rPr>
          <w:b/>
          <w:bCs/>
          <w:noProof/>
        </w:rPr>
        <w:instrText xml:space="preserve"> SEQ Figure \* ARABIC </w:instrText>
      </w:r>
      <w:r w:rsidRPr="00306E56">
        <w:rPr>
          <w:b/>
          <w:bCs/>
          <w:noProof/>
        </w:rPr>
        <w:fldChar w:fldCharType="separate"/>
      </w:r>
      <w:r>
        <w:rPr>
          <w:b/>
          <w:bCs/>
          <w:noProof/>
        </w:rPr>
        <w:t>18</w:t>
      </w:r>
      <w:r w:rsidRPr="00306E56">
        <w:rPr>
          <w:b/>
          <w:bCs/>
          <w:noProof/>
        </w:rPr>
        <w:fldChar w:fldCharType="end"/>
      </w:r>
      <w:r w:rsidRPr="00306E56">
        <w:rPr>
          <w:b/>
          <w:bCs/>
          <w:noProof/>
        </w:rPr>
        <w:t xml:space="preserve">. </w:t>
      </w:r>
      <w:r>
        <w:rPr>
          <w:b/>
          <w:bCs/>
        </w:rPr>
        <w:t>Historical Relationship Between Curtailment and the Average Minimum Zonal Price</w:t>
      </w:r>
    </w:p>
    <w:p w14:paraId="6088646A" w14:textId="77777777" w:rsidR="00C50581" w:rsidRDefault="00766DC8" w:rsidP="00A663C5">
      <w:pPr>
        <w:jc w:val="center"/>
      </w:pPr>
      <w:r>
        <w:rPr>
          <w:noProof/>
        </w:rPr>
        <w:drawing>
          <wp:inline distT="0" distB="0" distL="0" distR="0" wp14:anchorId="2826DC45" wp14:editId="6CED8320">
            <wp:extent cx="4191000" cy="3123888"/>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8842" cy="3137187"/>
                    </a:xfrm>
                    <a:prstGeom prst="rect">
                      <a:avLst/>
                    </a:prstGeom>
                    <a:noFill/>
                  </pic:spPr>
                </pic:pic>
              </a:graphicData>
            </a:graphic>
          </wp:inline>
        </w:drawing>
      </w:r>
    </w:p>
    <w:p w14:paraId="1EB51198" w14:textId="30B61BAB" w:rsidR="00255EFC" w:rsidRDefault="00B92913" w:rsidP="00C50581">
      <w:pPr>
        <w:jc w:val="both"/>
      </w:pPr>
      <w:r>
        <w:t xml:space="preserve">Unfortunately the behavior is likely influenced by penetration and composition of renewable resources that will be on the system in the future and extrapolating from historical relationships is challenging. Assuming that market prices in these low net load periods will continue to be correlated to system renewable curtailment, the historical relationship was modeled in SERVM. A sensitivity reflecting moderation of negative pricing </w:t>
      </w:r>
      <w:r w:rsidR="004A6654">
        <w:t xml:space="preserve">bidding </w:t>
      </w:r>
      <w:r>
        <w:t>strategies demonstrated that energy margins for battery resources could decline by 10%.</w:t>
      </w:r>
    </w:p>
    <w:p w14:paraId="59CBB226" w14:textId="51FD192A" w:rsidR="00FD02F1" w:rsidRDefault="00B92913" w:rsidP="00B01004">
      <w:pPr>
        <w:jc w:val="both"/>
      </w:pPr>
      <w:r>
        <w:t>Even with frequent negative pricing, the economic arbitrage opportunity is still limited and declines as the penetration of storage increases. On days in which combined</w:t>
      </w:r>
      <w:r w:rsidR="000D61E5">
        <w:t>-</w:t>
      </w:r>
      <w:r>
        <w:t>cycle</w:t>
      </w:r>
      <w:r w:rsidR="000D61E5">
        <w:t xml:space="preserve"> </w:t>
      </w:r>
      <w:r w:rsidR="004A6654">
        <w:t xml:space="preserve">generators </w:t>
      </w:r>
      <w:r>
        <w:t xml:space="preserve">are on the margin in low load hours and </w:t>
      </w:r>
      <w:r w:rsidR="00873DCC">
        <w:t>CTs</w:t>
      </w:r>
      <w:r>
        <w:t xml:space="preserve"> are on the margin in high load hours, the arbitrage opportunity is less than $10/MWh with gas prices below $3/MMBtu. Simulations of mild weather years with a reserve margin near MERM suggest energy arbitrage opportunities over the course of the year approaching $30/kw-yr. After inclusion of ancillary service market opportunity and scarcity pricing periods, the economic margins of the first tranches of energy storage exceed those of marginal </w:t>
      </w:r>
      <w:r w:rsidR="00873DCC">
        <w:t>CTs</w:t>
      </w:r>
      <w:r>
        <w:t xml:space="preserve">, but decline as the penetration increases. </w:t>
      </w:r>
      <w:r w:rsidR="00B01004">
        <w:t xml:space="preserve">As shown in Figure </w:t>
      </w:r>
      <w:r w:rsidR="001420D7">
        <w:t>19</w:t>
      </w:r>
      <w:r w:rsidR="00B01004">
        <w:t>, w</w:t>
      </w:r>
      <w:r>
        <w:t>ith capital carrying costs of $147/kw-</w:t>
      </w:r>
      <w:proofErr w:type="spellStart"/>
      <w:r>
        <w:t>yr</w:t>
      </w:r>
      <w:proofErr w:type="spellEnd"/>
      <w:r>
        <w:t>, the economic potential for batteries is only 2,100 MW, and approximately 1,100 MW of batteries is already expected to be in the system in 2024. This opportunity also presumes that other conventional resources would economically retire to maintain the system reserve margin near MERM. Otherwise, if reserve margins increased with increasing penetration of storage, returns would drop much faster. If battery capital costs decline to $115/kw-</w:t>
      </w:r>
      <w:proofErr w:type="spellStart"/>
      <w:r>
        <w:t>yr</w:t>
      </w:r>
      <w:proofErr w:type="spellEnd"/>
      <w:r>
        <w:t xml:space="preserve">, </w:t>
      </w:r>
      <w:r w:rsidR="00CB3E29">
        <w:t>up to 6.5 GW of incremental 4-hour battery capacity could be economic</w:t>
      </w:r>
      <w:r>
        <w:t>.</w:t>
      </w:r>
    </w:p>
    <w:p w14:paraId="6FD9F05D" w14:textId="6A83B27B" w:rsidR="00B01004" w:rsidRDefault="00B01004" w:rsidP="000F0C8B">
      <w:pPr>
        <w:spacing w:after="0"/>
        <w:jc w:val="center"/>
      </w:pPr>
      <w:r w:rsidRPr="00306E56">
        <w:rPr>
          <w:b/>
          <w:bCs/>
        </w:rPr>
        <w:t xml:space="preserve">Figure </w:t>
      </w:r>
      <w:r w:rsidRPr="00306E56">
        <w:rPr>
          <w:b/>
          <w:bCs/>
          <w:noProof/>
        </w:rPr>
        <w:fldChar w:fldCharType="begin"/>
      </w:r>
      <w:r w:rsidRPr="00306E56">
        <w:rPr>
          <w:b/>
          <w:bCs/>
          <w:noProof/>
        </w:rPr>
        <w:instrText xml:space="preserve"> SEQ Figure \* ARABIC </w:instrText>
      </w:r>
      <w:r w:rsidRPr="00306E56">
        <w:rPr>
          <w:b/>
          <w:bCs/>
          <w:noProof/>
        </w:rPr>
        <w:fldChar w:fldCharType="separate"/>
      </w:r>
      <w:r w:rsidR="003845B7">
        <w:rPr>
          <w:b/>
          <w:bCs/>
          <w:noProof/>
        </w:rPr>
        <w:t>19</w:t>
      </w:r>
      <w:r w:rsidRPr="00306E56">
        <w:rPr>
          <w:b/>
          <w:bCs/>
          <w:noProof/>
        </w:rPr>
        <w:fldChar w:fldCharType="end"/>
      </w:r>
      <w:r w:rsidRPr="00306E56">
        <w:rPr>
          <w:b/>
          <w:bCs/>
          <w:noProof/>
        </w:rPr>
        <w:t xml:space="preserve">. </w:t>
      </w:r>
      <w:r>
        <w:rPr>
          <w:b/>
          <w:bCs/>
        </w:rPr>
        <w:t>Storage Charging Potential</w:t>
      </w:r>
    </w:p>
    <w:p w14:paraId="02F64C66" w14:textId="3F0F8781" w:rsidR="00584363" w:rsidRPr="009A3484" w:rsidRDefault="009A42CE" w:rsidP="00B01004">
      <w:pPr>
        <w:jc w:val="center"/>
      </w:pPr>
      <w:r>
        <w:rPr>
          <w:noProof/>
        </w:rPr>
        <w:drawing>
          <wp:inline distT="0" distB="0" distL="0" distR="0" wp14:anchorId="0AB5D21C" wp14:editId="1E85E17A">
            <wp:extent cx="4993005" cy="335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3005" cy="3359150"/>
                    </a:xfrm>
                    <a:prstGeom prst="rect">
                      <a:avLst/>
                    </a:prstGeom>
                    <a:noFill/>
                  </pic:spPr>
                </pic:pic>
              </a:graphicData>
            </a:graphic>
          </wp:inline>
        </w:drawing>
      </w:r>
    </w:p>
    <w:p w14:paraId="709CBD61" w14:textId="5427AC05" w:rsidR="004B58AD" w:rsidRDefault="004B58AD" w:rsidP="00FA0DFD">
      <w:pPr>
        <w:pStyle w:val="Heading3"/>
        <w:numPr>
          <w:ilvl w:val="0"/>
          <w:numId w:val="16"/>
        </w:numPr>
      </w:pPr>
      <w:bookmarkStart w:id="232" w:name="_Toc57193574"/>
      <w:r>
        <w:t>Cost of New Entry</w:t>
      </w:r>
      <w:bookmarkEnd w:id="224"/>
      <w:bookmarkEnd w:id="225"/>
      <w:bookmarkEnd w:id="226"/>
      <w:r>
        <w:t xml:space="preserve"> Sensitivity</w:t>
      </w:r>
      <w:bookmarkEnd w:id="227"/>
      <w:bookmarkEnd w:id="228"/>
      <w:bookmarkEnd w:id="229"/>
      <w:bookmarkEnd w:id="230"/>
      <w:bookmarkEnd w:id="231"/>
      <w:bookmarkEnd w:id="232"/>
    </w:p>
    <w:p w14:paraId="481A2627" w14:textId="4814FCA8" w:rsidR="004B58AD" w:rsidRPr="00084B9A" w:rsidRDefault="004B58AD" w:rsidP="008B0478">
      <w:pPr>
        <w:pStyle w:val="BGNormal125"/>
        <w:spacing w:after="240"/>
        <w:rPr>
          <w:rFonts w:ascii="Calibri" w:hAnsi="Calibri" w:cs="Calibri"/>
          <w:color w:val="C00000"/>
          <w:sz w:val="22"/>
          <w:szCs w:val="22"/>
        </w:rPr>
      </w:pPr>
      <w:r w:rsidRPr="00367415">
        <w:rPr>
          <w:rFonts w:ascii="Calibri" w:hAnsi="Calibri" w:cs="Calibri"/>
          <w:color w:val="auto"/>
          <w:sz w:val="22"/>
          <w:szCs w:val="22"/>
        </w:rPr>
        <w:t xml:space="preserve">The base case simulations assume that a combination of natural gas-fired CTs are the marginal resource with industry standard assumptions for capital costs.  However, industry experience suggests that there is a range of uncertainty around technology cost estimates.  </w:t>
      </w:r>
      <w:r w:rsidRPr="00367415">
        <w:rPr>
          <w:rFonts w:ascii="Calibri" w:hAnsi="Calibri" w:cs="Calibri"/>
          <w:color w:val="auto"/>
          <w:sz w:val="22"/>
          <w:szCs w:val="22"/>
        </w:rPr>
        <w:fldChar w:fldCharType="begin"/>
      </w:r>
      <w:r w:rsidRPr="00367415">
        <w:rPr>
          <w:rFonts w:ascii="Calibri" w:hAnsi="Calibri" w:cs="Calibri"/>
          <w:color w:val="auto"/>
          <w:sz w:val="22"/>
          <w:szCs w:val="22"/>
        </w:rPr>
        <w:instrText xml:space="preserve"> REF _Ref525933192 \h </w:instrText>
      </w:r>
      <w:r w:rsidR="00084B9A" w:rsidRPr="00367415">
        <w:rPr>
          <w:rFonts w:ascii="Calibri" w:hAnsi="Calibri" w:cs="Calibri"/>
          <w:color w:val="auto"/>
          <w:sz w:val="22"/>
          <w:szCs w:val="22"/>
        </w:rPr>
        <w:instrText xml:space="preserve"> \* MERGEFORMAT </w:instrText>
      </w:r>
      <w:r w:rsidRPr="00367415">
        <w:rPr>
          <w:rFonts w:ascii="Calibri" w:hAnsi="Calibri" w:cs="Calibri"/>
          <w:color w:val="auto"/>
          <w:sz w:val="22"/>
          <w:szCs w:val="22"/>
        </w:rPr>
      </w:r>
      <w:r w:rsidRPr="00367415">
        <w:rPr>
          <w:rFonts w:ascii="Calibri" w:hAnsi="Calibri" w:cs="Calibri"/>
          <w:color w:val="auto"/>
          <w:sz w:val="22"/>
          <w:szCs w:val="22"/>
        </w:rPr>
        <w:fldChar w:fldCharType="separate"/>
      </w:r>
      <w:r w:rsidR="00CF57C0" w:rsidRPr="00C50581">
        <w:rPr>
          <w:rFonts w:ascii="Calibri" w:hAnsi="Calibri" w:cs="Calibri"/>
          <w:color w:val="auto"/>
          <w:sz w:val="22"/>
          <w:szCs w:val="22"/>
        </w:rPr>
        <w:t xml:space="preserve">Figure </w:t>
      </w:r>
      <w:r w:rsidR="00CF57C0" w:rsidRPr="00C50581">
        <w:rPr>
          <w:rFonts w:ascii="Calibri" w:hAnsi="Calibri" w:cs="Calibri"/>
          <w:noProof/>
          <w:color w:val="auto"/>
          <w:sz w:val="22"/>
          <w:szCs w:val="22"/>
        </w:rPr>
        <w:t>20</w:t>
      </w:r>
      <w:r w:rsidRPr="00367415">
        <w:rPr>
          <w:rFonts w:ascii="Calibri" w:hAnsi="Calibri" w:cs="Calibri"/>
          <w:color w:val="auto"/>
          <w:sz w:val="22"/>
          <w:szCs w:val="22"/>
        </w:rPr>
        <w:fldChar w:fldCharType="end"/>
      </w:r>
      <w:r w:rsidRPr="00367415">
        <w:rPr>
          <w:rFonts w:ascii="Calibri" w:hAnsi="Calibri" w:cs="Calibri"/>
          <w:color w:val="auto"/>
          <w:sz w:val="22"/>
          <w:szCs w:val="22"/>
        </w:rPr>
        <w:t xml:space="preserve"> shows the impact of varying CONE from −</w:t>
      </w:r>
      <w:r w:rsidR="004B7A6A" w:rsidRPr="00367415">
        <w:rPr>
          <w:rFonts w:ascii="Calibri" w:hAnsi="Calibri" w:cs="Calibri"/>
          <w:color w:val="auto"/>
          <w:sz w:val="22"/>
          <w:szCs w:val="22"/>
        </w:rPr>
        <w:t>25</w:t>
      </w:r>
      <w:r w:rsidRPr="00367415">
        <w:rPr>
          <w:rFonts w:ascii="Calibri" w:hAnsi="Calibri" w:cs="Calibri"/>
          <w:color w:val="auto"/>
          <w:sz w:val="22"/>
          <w:szCs w:val="22"/>
        </w:rPr>
        <w:t xml:space="preserve">% to +25% relative to our base assumptions.  </w:t>
      </w:r>
      <w:r w:rsidR="004B7A6A" w:rsidRPr="00367415">
        <w:rPr>
          <w:rFonts w:ascii="Calibri" w:hAnsi="Calibri" w:cs="Calibri"/>
          <w:color w:val="auto"/>
          <w:sz w:val="22"/>
          <w:szCs w:val="22"/>
        </w:rPr>
        <w:t>The base case CONE estimate was adapted from a Brattle Group study from 2018</w:t>
      </w:r>
      <w:r w:rsidR="000D61E5">
        <w:rPr>
          <w:rFonts w:ascii="Calibri" w:hAnsi="Calibri" w:cs="Calibri"/>
          <w:color w:val="auto"/>
          <w:sz w:val="22"/>
          <w:szCs w:val="22"/>
        </w:rPr>
        <w:t>.</w:t>
      </w:r>
      <w:r w:rsidR="004B7A6A" w:rsidRPr="00367415">
        <w:rPr>
          <w:rStyle w:val="FootnoteReference"/>
          <w:rFonts w:ascii="Calibri" w:hAnsi="Calibri" w:cs="Calibri"/>
          <w:color w:val="auto"/>
          <w:sz w:val="22"/>
          <w:szCs w:val="22"/>
        </w:rPr>
        <w:footnoteReference w:id="31"/>
      </w:r>
      <w:r w:rsidR="004B7A6A" w:rsidRPr="00367415">
        <w:rPr>
          <w:rFonts w:ascii="Calibri" w:hAnsi="Calibri" w:cs="Calibri"/>
          <w:color w:val="auto"/>
          <w:sz w:val="22"/>
          <w:szCs w:val="22"/>
        </w:rPr>
        <w:t xml:space="preserve"> A more recent report from Lazard gives a range of estimates for installed capital costs with a lower end of $700/k</w:t>
      </w:r>
      <w:r w:rsidR="00584363">
        <w:rPr>
          <w:rFonts w:ascii="Calibri" w:hAnsi="Calibri" w:cs="Calibri"/>
          <w:color w:val="auto"/>
          <w:sz w:val="22"/>
          <w:szCs w:val="22"/>
        </w:rPr>
        <w:t>W</w:t>
      </w:r>
      <w:r w:rsidR="004B7A6A" w:rsidRPr="00367415">
        <w:rPr>
          <w:rFonts w:ascii="Calibri" w:hAnsi="Calibri" w:cs="Calibri"/>
          <w:color w:val="auto"/>
          <w:sz w:val="22"/>
          <w:szCs w:val="22"/>
        </w:rPr>
        <w:t>.</w:t>
      </w:r>
      <w:r w:rsidR="00584363">
        <w:rPr>
          <w:rStyle w:val="FootnoteReference"/>
          <w:rFonts w:ascii="Calibri" w:hAnsi="Calibri" w:cs="Calibri"/>
          <w:color w:val="auto"/>
          <w:sz w:val="22"/>
          <w:szCs w:val="22"/>
        </w:rPr>
        <w:footnoteReference w:id="32"/>
      </w:r>
      <w:r w:rsidR="004B7A6A" w:rsidRPr="00367415">
        <w:rPr>
          <w:rFonts w:ascii="Calibri" w:hAnsi="Calibri" w:cs="Calibri"/>
          <w:color w:val="auto"/>
          <w:sz w:val="22"/>
          <w:szCs w:val="22"/>
        </w:rPr>
        <w:t xml:space="preserve"> This is approximately 22% lower than the comparable installed cost in the Brattle report. Accordingly, we selected a range of -25% to +25% relative to our base assumptions. </w:t>
      </w:r>
      <w:r w:rsidRPr="00367415">
        <w:rPr>
          <w:rFonts w:ascii="Calibri" w:hAnsi="Calibri" w:cs="Calibri"/>
          <w:color w:val="auto"/>
          <w:sz w:val="22"/>
          <w:szCs w:val="22"/>
        </w:rPr>
        <w:t xml:space="preserve">Overall, the </w:t>
      </w:r>
      <w:proofErr w:type="spellStart"/>
      <w:r w:rsidR="00D90FB8">
        <w:rPr>
          <w:rFonts w:ascii="Calibri" w:hAnsi="Calibri" w:cs="Calibri"/>
          <w:color w:val="auto"/>
          <w:sz w:val="22"/>
          <w:szCs w:val="22"/>
        </w:rPr>
        <w:t>MERM</w:t>
      </w:r>
      <w:r w:rsidRPr="00367415">
        <w:rPr>
          <w:rFonts w:ascii="Calibri" w:hAnsi="Calibri" w:cs="Calibri"/>
          <w:color w:val="auto"/>
          <w:sz w:val="22"/>
          <w:szCs w:val="22"/>
        </w:rPr>
        <w:t>n</w:t>
      </w:r>
      <w:proofErr w:type="spellEnd"/>
      <w:r w:rsidRPr="00367415">
        <w:rPr>
          <w:rFonts w:ascii="Calibri" w:hAnsi="Calibri" w:cs="Calibri"/>
          <w:color w:val="auto"/>
          <w:sz w:val="22"/>
          <w:szCs w:val="22"/>
        </w:rPr>
        <w:t xml:space="preserve"> could vary over a range of </w:t>
      </w:r>
      <w:r w:rsidR="00C670CA">
        <w:rPr>
          <w:rFonts w:ascii="Calibri" w:hAnsi="Calibri" w:cs="Calibri"/>
          <w:color w:val="auto"/>
          <w:sz w:val="22"/>
          <w:szCs w:val="22"/>
        </w:rPr>
        <w:t>1</w:t>
      </w:r>
      <w:r w:rsidR="001420D7">
        <w:rPr>
          <w:rFonts w:ascii="Calibri" w:hAnsi="Calibri" w:cs="Calibri"/>
          <w:color w:val="auto"/>
          <w:sz w:val="22"/>
          <w:szCs w:val="22"/>
        </w:rPr>
        <w:t>1</w:t>
      </w:r>
      <w:r w:rsidR="00C670CA">
        <w:rPr>
          <w:rFonts w:ascii="Calibri" w:hAnsi="Calibri" w:cs="Calibri"/>
          <w:color w:val="auto"/>
          <w:sz w:val="22"/>
          <w:szCs w:val="22"/>
        </w:rPr>
        <w:t>.</w:t>
      </w:r>
      <w:r w:rsidR="00962382">
        <w:rPr>
          <w:rFonts w:ascii="Calibri" w:hAnsi="Calibri" w:cs="Calibri"/>
          <w:color w:val="auto"/>
          <w:sz w:val="22"/>
          <w:szCs w:val="22"/>
        </w:rPr>
        <w:t>2</w:t>
      </w:r>
      <w:r w:rsidR="00C670CA">
        <w:rPr>
          <w:rFonts w:ascii="Calibri" w:hAnsi="Calibri" w:cs="Calibri"/>
          <w:color w:val="auto"/>
          <w:sz w:val="22"/>
          <w:szCs w:val="22"/>
        </w:rPr>
        <w:t>5</w:t>
      </w:r>
      <w:r w:rsidRPr="00367415">
        <w:rPr>
          <w:rFonts w:ascii="Calibri" w:hAnsi="Calibri" w:cs="Calibri"/>
          <w:color w:val="auto"/>
          <w:sz w:val="22"/>
          <w:szCs w:val="22"/>
        </w:rPr>
        <w:t xml:space="preserve">% to </w:t>
      </w:r>
      <w:r w:rsidR="00C670CA">
        <w:rPr>
          <w:rFonts w:ascii="Calibri" w:hAnsi="Calibri" w:cs="Calibri"/>
          <w:color w:val="auto"/>
          <w:sz w:val="22"/>
          <w:szCs w:val="22"/>
        </w:rPr>
        <w:t>1</w:t>
      </w:r>
      <w:r w:rsidR="001420D7">
        <w:rPr>
          <w:rFonts w:ascii="Calibri" w:hAnsi="Calibri" w:cs="Calibri"/>
          <w:color w:val="auto"/>
          <w:sz w:val="22"/>
          <w:szCs w:val="22"/>
        </w:rPr>
        <w:t>3</w:t>
      </w:r>
      <w:r w:rsidR="00C670CA">
        <w:rPr>
          <w:rFonts w:ascii="Calibri" w:hAnsi="Calibri" w:cs="Calibri"/>
          <w:color w:val="auto"/>
          <w:sz w:val="22"/>
          <w:szCs w:val="22"/>
        </w:rPr>
        <w:t>.</w:t>
      </w:r>
      <w:r w:rsidR="009A42CE">
        <w:rPr>
          <w:rFonts w:ascii="Calibri" w:hAnsi="Calibri" w:cs="Calibri"/>
          <w:color w:val="auto"/>
          <w:sz w:val="22"/>
          <w:szCs w:val="22"/>
        </w:rPr>
        <w:t>25</w:t>
      </w:r>
      <w:r w:rsidR="00C670CA">
        <w:rPr>
          <w:rFonts w:ascii="Calibri" w:hAnsi="Calibri" w:cs="Calibri"/>
          <w:color w:val="auto"/>
          <w:sz w:val="22"/>
          <w:szCs w:val="22"/>
        </w:rPr>
        <w:t>%</w:t>
      </w:r>
      <w:r w:rsidRPr="00367415">
        <w:rPr>
          <w:rFonts w:ascii="Calibri" w:hAnsi="Calibri" w:cs="Calibri"/>
          <w:color w:val="auto"/>
          <w:sz w:val="22"/>
          <w:szCs w:val="22"/>
        </w:rPr>
        <w:t xml:space="preserve"> depending on the range of CONE uncertainty.</w:t>
      </w:r>
    </w:p>
    <w:p w14:paraId="2E368002" w14:textId="1C3530BA" w:rsidR="004B58AD" w:rsidRPr="00C670CA" w:rsidRDefault="004B58AD" w:rsidP="00084B9A">
      <w:pPr>
        <w:pStyle w:val="Caption"/>
        <w:jc w:val="center"/>
        <w:rPr>
          <w:rFonts w:cs="Calibri"/>
          <w:b/>
          <w:bCs/>
          <w:i w:val="0"/>
          <w:iCs w:val="0"/>
          <w:color w:val="auto"/>
          <w:sz w:val="22"/>
          <w:szCs w:val="22"/>
        </w:rPr>
      </w:pPr>
      <w:bookmarkStart w:id="233" w:name="_Ref525933192"/>
      <w:r w:rsidRPr="00C670CA">
        <w:rPr>
          <w:rFonts w:cs="Calibri"/>
          <w:b/>
          <w:bCs/>
          <w:i w:val="0"/>
          <w:iCs w:val="0"/>
          <w:color w:val="auto"/>
          <w:sz w:val="22"/>
          <w:szCs w:val="22"/>
        </w:rPr>
        <w:t xml:space="preserve">Figure </w:t>
      </w:r>
      <w:r w:rsidRPr="00C670CA">
        <w:rPr>
          <w:rFonts w:cs="Calibri"/>
          <w:b/>
          <w:bCs/>
          <w:i w:val="0"/>
          <w:iCs w:val="0"/>
          <w:noProof/>
          <w:color w:val="auto"/>
          <w:sz w:val="22"/>
          <w:szCs w:val="22"/>
        </w:rPr>
        <w:fldChar w:fldCharType="begin"/>
      </w:r>
      <w:r w:rsidRPr="00C670CA">
        <w:rPr>
          <w:rFonts w:cs="Calibri"/>
          <w:b/>
          <w:bCs/>
          <w:i w:val="0"/>
          <w:iCs w:val="0"/>
          <w:noProof/>
          <w:color w:val="auto"/>
          <w:sz w:val="22"/>
          <w:szCs w:val="22"/>
        </w:rPr>
        <w:instrText xml:space="preserve"> SEQ Figure \* ARABIC </w:instrText>
      </w:r>
      <w:r w:rsidRPr="00C670CA">
        <w:rPr>
          <w:rFonts w:cs="Calibri"/>
          <w:b/>
          <w:bCs/>
          <w:i w:val="0"/>
          <w:iCs w:val="0"/>
          <w:noProof/>
          <w:color w:val="auto"/>
          <w:sz w:val="22"/>
          <w:szCs w:val="22"/>
        </w:rPr>
        <w:fldChar w:fldCharType="separate"/>
      </w:r>
      <w:r w:rsidR="003845B7">
        <w:rPr>
          <w:rFonts w:cs="Calibri"/>
          <w:b/>
          <w:bCs/>
          <w:i w:val="0"/>
          <w:iCs w:val="0"/>
          <w:noProof/>
          <w:color w:val="auto"/>
          <w:sz w:val="22"/>
          <w:szCs w:val="22"/>
        </w:rPr>
        <w:t>20</w:t>
      </w:r>
      <w:r w:rsidRPr="00C670CA">
        <w:rPr>
          <w:rFonts w:cs="Calibri"/>
          <w:b/>
          <w:bCs/>
          <w:i w:val="0"/>
          <w:iCs w:val="0"/>
          <w:noProof/>
          <w:color w:val="auto"/>
          <w:sz w:val="22"/>
          <w:szCs w:val="22"/>
        </w:rPr>
        <w:fldChar w:fldCharType="end"/>
      </w:r>
      <w:bookmarkEnd w:id="233"/>
      <w:r w:rsidR="00084B9A" w:rsidRPr="00C670CA">
        <w:rPr>
          <w:rFonts w:cs="Calibri"/>
          <w:b/>
          <w:bCs/>
          <w:i w:val="0"/>
          <w:iCs w:val="0"/>
          <w:noProof/>
          <w:color w:val="auto"/>
          <w:sz w:val="22"/>
          <w:szCs w:val="22"/>
        </w:rPr>
        <w:t xml:space="preserve">. </w:t>
      </w:r>
      <w:r w:rsidRPr="00C670CA">
        <w:rPr>
          <w:rFonts w:cs="Calibri"/>
          <w:b/>
          <w:bCs/>
          <w:i w:val="0"/>
          <w:iCs w:val="0"/>
          <w:color w:val="auto"/>
          <w:sz w:val="22"/>
          <w:szCs w:val="22"/>
        </w:rPr>
        <w:t>Market Equilibrium Reserve Margin Sensitivity to Cost of New Entry</w:t>
      </w:r>
    </w:p>
    <w:p w14:paraId="7BD99E65" w14:textId="65F017C6" w:rsidR="004B58AD" w:rsidRPr="00084B9A" w:rsidRDefault="004B58AD" w:rsidP="004B58AD">
      <w:pPr>
        <w:pStyle w:val="BGInsertGraphic"/>
        <w:rPr>
          <w:rStyle w:val="CommentReference"/>
          <w:color w:val="C00000"/>
        </w:rPr>
      </w:pPr>
      <w:r w:rsidRPr="00EA459E">
        <w:rPr>
          <w:rStyle w:val="CommentReference"/>
        </w:rPr>
        <w:t xml:space="preserve"> </w:t>
      </w:r>
      <w:r w:rsidRPr="00B65870">
        <w:rPr>
          <w:rStyle w:val="CommentReference"/>
        </w:rPr>
        <w:t xml:space="preserve"> </w:t>
      </w:r>
      <w:r w:rsidR="009A42CE">
        <w:rPr>
          <w:rStyle w:val="CommentReference"/>
          <w:noProof/>
        </w:rPr>
        <w:drawing>
          <wp:inline distT="0" distB="0" distL="0" distR="0" wp14:anchorId="16B02C98" wp14:editId="0E080D3A">
            <wp:extent cx="4993005" cy="335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3005" cy="3359150"/>
                    </a:xfrm>
                    <a:prstGeom prst="rect">
                      <a:avLst/>
                    </a:prstGeom>
                    <a:noFill/>
                  </pic:spPr>
                </pic:pic>
              </a:graphicData>
            </a:graphic>
          </wp:inline>
        </w:drawing>
      </w:r>
    </w:p>
    <w:p w14:paraId="669E8871" w14:textId="0C9391F1" w:rsidR="004B58AD" w:rsidRPr="00084B9A" w:rsidRDefault="004B58AD" w:rsidP="00367415">
      <w:pPr>
        <w:pStyle w:val="BGNotesFiguresTables"/>
        <w:ind w:left="0" w:right="1008"/>
        <w:rPr>
          <w:color w:val="C00000"/>
        </w:rPr>
      </w:pPr>
    </w:p>
    <w:p w14:paraId="6AE54BB6" w14:textId="0040100C" w:rsidR="004B58AD" w:rsidRDefault="004B58AD" w:rsidP="00FA0DFD">
      <w:pPr>
        <w:pStyle w:val="Heading3"/>
        <w:numPr>
          <w:ilvl w:val="0"/>
          <w:numId w:val="16"/>
        </w:numPr>
      </w:pPr>
      <w:bookmarkStart w:id="234" w:name="_Toc525935816"/>
      <w:bookmarkStart w:id="235" w:name="_Toc525935978"/>
      <w:bookmarkStart w:id="236" w:name="_Toc525936975"/>
      <w:bookmarkStart w:id="237" w:name="_Toc525937623"/>
      <w:bookmarkStart w:id="238" w:name="_Toc525937981"/>
      <w:bookmarkStart w:id="239" w:name="_Toc525938911"/>
      <w:bookmarkStart w:id="240" w:name="_Toc525983339"/>
      <w:bookmarkStart w:id="241" w:name="_Toc525935817"/>
      <w:bookmarkStart w:id="242" w:name="_Toc525935979"/>
      <w:bookmarkStart w:id="243" w:name="_Toc525936976"/>
      <w:bookmarkStart w:id="244" w:name="_Toc525937624"/>
      <w:bookmarkStart w:id="245" w:name="_Toc525937982"/>
      <w:bookmarkStart w:id="246" w:name="_Toc525938912"/>
      <w:bookmarkStart w:id="247" w:name="_Toc525983340"/>
      <w:bookmarkStart w:id="248" w:name="_Toc525935818"/>
      <w:bookmarkStart w:id="249" w:name="_Toc525935980"/>
      <w:bookmarkStart w:id="250" w:name="_Toc525936977"/>
      <w:bookmarkStart w:id="251" w:name="_Toc525937625"/>
      <w:bookmarkStart w:id="252" w:name="_Toc525937983"/>
      <w:bookmarkStart w:id="253" w:name="_Toc525938913"/>
      <w:bookmarkStart w:id="254" w:name="_Toc525983341"/>
      <w:bookmarkStart w:id="255" w:name="_Toc525935820"/>
      <w:bookmarkStart w:id="256" w:name="_Toc525935982"/>
      <w:bookmarkStart w:id="257" w:name="_Toc525936979"/>
      <w:bookmarkStart w:id="258" w:name="_Toc525937627"/>
      <w:bookmarkStart w:id="259" w:name="_Toc525937985"/>
      <w:bookmarkStart w:id="260" w:name="_Toc525938915"/>
      <w:bookmarkStart w:id="261" w:name="_Toc525983343"/>
      <w:bookmarkStart w:id="262" w:name="_Toc526279115"/>
      <w:bookmarkStart w:id="263" w:name="_Toc525851020"/>
      <w:bookmarkStart w:id="264" w:name="_Ref525937596"/>
      <w:bookmarkStart w:id="265" w:name="_Toc525938059"/>
      <w:bookmarkStart w:id="266" w:name="_Toc526437272"/>
      <w:bookmarkStart w:id="267" w:name="_Toc526439915"/>
      <w:bookmarkStart w:id="268" w:name="_Toc526440025"/>
      <w:bookmarkStart w:id="269" w:name="_Toc532834302"/>
      <w:bookmarkStart w:id="270" w:name="_Toc57193575"/>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t xml:space="preserve">Probability Weighting of Weather </w:t>
      </w:r>
      <w:bookmarkEnd w:id="262"/>
      <w:bookmarkEnd w:id="263"/>
      <w:bookmarkEnd w:id="264"/>
      <w:bookmarkEnd w:id="265"/>
      <w:r>
        <w:t>Sensitivity</w:t>
      </w:r>
      <w:bookmarkEnd w:id="266"/>
      <w:bookmarkEnd w:id="267"/>
      <w:bookmarkEnd w:id="268"/>
      <w:bookmarkEnd w:id="269"/>
      <w:bookmarkEnd w:id="270"/>
    </w:p>
    <w:p w14:paraId="7474B6AD" w14:textId="5DA1164C" w:rsidR="00CB3E29" w:rsidRPr="008B0478" w:rsidRDefault="004B58AD" w:rsidP="008B0478">
      <w:pPr>
        <w:pStyle w:val="BGNormal125"/>
        <w:spacing w:after="240"/>
        <w:rPr>
          <w:rFonts w:ascii="Calibri" w:hAnsi="Calibri" w:cs="Calibri"/>
          <w:color w:val="auto"/>
          <w:sz w:val="22"/>
          <w:szCs w:val="22"/>
        </w:rPr>
      </w:pPr>
      <w:r w:rsidRPr="00367415">
        <w:rPr>
          <w:rFonts w:ascii="Calibri" w:hAnsi="Calibri" w:cs="Calibri"/>
          <w:color w:val="auto"/>
          <w:sz w:val="22"/>
          <w:szCs w:val="22"/>
        </w:rPr>
        <w:t xml:space="preserve">The high impact of weather on net energy revenue means that different weather expectations will influence the market equilibrium reserve margin.  The base case assumes equal probability for all </w:t>
      </w:r>
      <w:r w:rsidR="00367415" w:rsidRPr="00367415">
        <w:rPr>
          <w:rFonts w:ascii="Calibri" w:hAnsi="Calibri" w:cs="Calibri"/>
          <w:color w:val="auto"/>
          <w:sz w:val="22"/>
          <w:szCs w:val="22"/>
        </w:rPr>
        <w:t>40</w:t>
      </w:r>
      <w:r w:rsidRPr="00367415">
        <w:rPr>
          <w:rFonts w:ascii="Calibri" w:hAnsi="Calibri" w:cs="Calibri"/>
          <w:color w:val="auto"/>
          <w:sz w:val="22"/>
          <w:szCs w:val="22"/>
        </w:rPr>
        <w:t xml:space="preserve"> weather years because </w:t>
      </w:r>
      <w:r w:rsidR="00367415" w:rsidRPr="00367415">
        <w:rPr>
          <w:rFonts w:ascii="Calibri" w:hAnsi="Calibri" w:cs="Calibri"/>
          <w:color w:val="auto"/>
          <w:sz w:val="22"/>
          <w:szCs w:val="22"/>
        </w:rPr>
        <w:t>40</w:t>
      </w:r>
      <w:r w:rsidRPr="00367415">
        <w:rPr>
          <w:rFonts w:ascii="Calibri" w:hAnsi="Calibri" w:cs="Calibri"/>
          <w:color w:val="auto"/>
          <w:sz w:val="22"/>
          <w:szCs w:val="22"/>
        </w:rPr>
        <w:t xml:space="preserve"> years should be a sufficient sample of the underlying distribution, assuming that distribution is representative of future weather patterns.  This reliance on long history is consistent with the EORM Manual.  However, more recent weather has, on average, been hotter (especially in 2011) and may be assumed to be more representative of future weather, as discussed in Section </w:t>
      </w:r>
      <w:r w:rsidRPr="00367415">
        <w:rPr>
          <w:rFonts w:ascii="Calibri" w:hAnsi="Calibri" w:cs="Calibri"/>
          <w:color w:val="auto"/>
          <w:sz w:val="22"/>
          <w:szCs w:val="22"/>
        </w:rPr>
        <w:fldChar w:fldCharType="begin"/>
      </w:r>
      <w:r w:rsidRPr="00367415">
        <w:rPr>
          <w:rFonts w:ascii="Calibri" w:hAnsi="Calibri" w:cs="Calibri"/>
          <w:color w:val="auto"/>
          <w:sz w:val="22"/>
          <w:szCs w:val="22"/>
        </w:rPr>
        <w:instrText xml:space="preserve"> REF _Ref532824041 \w \h </w:instrText>
      </w:r>
      <w:r w:rsidR="00084B9A" w:rsidRPr="00367415">
        <w:rPr>
          <w:rFonts w:ascii="Calibri" w:hAnsi="Calibri" w:cs="Calibri"/>
          <w:color w:val="auto"/>
          <w:sz w:val="22"/>
          <w:szCs w:val="22"/>
        </w:rPr>
        <w:instrText xml:space="preserve"> \* MERGEFORMAT </w:instrText>
      </w:r>
      <w:r w:rsidRPr="00367415">
        <w:rPr>
          <w:rFonts w:ascii="Calibri" w:hAnsi="Calibri" w:cs="Calibri"/>
          <w:color w:val="auto"/>
          <w:sz w:val="22"/>
          <w:szCs w:val="22"/>
        </w:rPr>
      </w:r>
      <w:r w:rsidRPr="00367415">
        <w:rPr>
          <w:rFonts w:ascii="Calibri" w:hAnsi="Calibri" w:cs="Calibri"/>
          <w:color w:val="auto"/>
          <w:sz w:val="22"/>
          <w:szCs w:val="22"/>
        </w:rPr>
        <w:fldChar w:fldCharType="separate"/>
      </w:r>
      <w:r w:rsidRPr="00367415">
        <w:rPr>
          <w:rFonts w:ascii="Calibri" w:hAnsi="Calibri" w:cs="Calibri"/>
          <w:color w:val="auto"/>
          <w:sz w:val="22"/>
          <w:szCs w:val="22"/>
        </w:rPr>
        <w:t>II.E</w:t>
      </w:r>
      <w:r w:rsidRPr="00367415">
        <w:rPr>
          <w:rFonts w:ascii="Calibri" w:hAnsi="Calibri" w:cs="Calibri"/>
          <w:color w:val="auto"/>
          <w:sz w:val="22"/>
          <w:szCs w:val="22"/>
        </w:rPr>
        <w:fldChar w:fldCharType="end"/>
      </w:r>
      <w:r w:rsidRPr="00367415">
        <w:rPr>
          <w:rFonts w:ascii="Calibri" w:hAnsi="Calibri" w:cs="Calibri"/>
          <w:color w:val="auto"/>
          <w:sz w:val="22"/>
          <w:szCs w:val="22"/>
        </w:rPr>
        <w:t xml:space="preserve"> above.  Assuming accordingly that each of the last 1</w:t>
      </w:r>
      <w:r w:rsidR="004B7A6A" w:rsidRPr="00367415">
        <w:rPr>
          <w:rFonts w:ascii="Calibri" w:hAnsi="Calibri" w:cs="Calibri"/>
          <w:color w:val="auto"/>
          <w:sz w:val="22"/>
          <w:szCs w:val="22"/>
        </w:rPr>
        <w:t>5</w:t>
      </w:r>
      <w:r w:rsidRPr="00367415">
        <w:rPr>
          <w:rFonts w:ascii="Calibri" w:hAnsi="Calibri" w:cs="Calibri"/>
          <w:color w:val="auto"/>
          <w:sz w:val="22"/>
          <w:szCs w:val="22"/>
        </w:rPr>
        <w:t xml:space="preserve"> weather years has a </w:t>
      </w:r>
      <w:r w:rsidR="004B7A6A" w:rsidRPr="00367415">
        <w:rPr>
          <w:rFonts w:ascii="Calibri" w:hAnsi="Calibri" w:cs="Calibri"/>
          <w:color w:val="auto"/>
          <w:sz w:val="22"/>
          <w:szCs w:val="22"/>
        </w:rPr>
        <w:t>6.66</w:t>
      </w:r>
      <w:r w:rsidRPr="00367415">
        <w:rPr>
          <w:rFonts w:ascii="Calibri" w:hAnsi="Calibri" w:cs="Calibri"/>
          <w:color w:val="auto"/>
          <w:sz w:val="22"/>
          <w:szCs w:val="22"/>
        </w:rPr>
        <w:t xml:space="preserve">% chance of reoccurring (with 0% weight on </w:t>
      </w:r>
      <w:r w:rsidRPr="00ED167D">
        <w:rPr>
          <w:rFonts w:ascii="Calibri" w:hAnsi="Calibri" w:cs="Calibri"/>
          <w:color w:val="auto"/>
          <w:sz w:val="22"/>
          <w:szCs w:val="22"/>
        </w:rPr>
        <w:t xml:space="preserve">each of the prior </w:t>
      </w:r>
      <w:r w:rsidR="004B7A6A" w:rsidRPr="009A42CE">
        <w:rPr>
          <w:rFonts w:ascii="Calibri" w:hAnsi="Calibri" w:cs="Calibri"/>
          <w:color w:val="auto"/>
          <w:sz w:val="22"/>
          <w:szCs w:val="22"/>
        </w:rPr>
        <w:t xml:space="preserve">25 </w:t>
      </w:r>
      <w:r w:rsidRPr="009A42CE">
        <w:rPr>
          <w:rFonts w:ascii="Calibri" w:hAnsi="Calibri" w:cs="Calibri"/>
          <w:color w:val="auto"/>
          <w:sz w:val="22"/>
          <w:szCs w:val="22"/>
        </w:rPr>
        <w:t xml:space="preserve">years) leads to higher simulated prices and reliability events at a given reserve margin; </w:t>
      </w:r>
      <w:r w:rsidRPr="00C50581">
        <w:rPr>
          <w:rFonts w:ascii="Calibri" w:hAnsi="Calibri" w:cs="Calibri"/>
          <w:color w:val="auto"/>
          <w:sz w:val="22"/>
          <w:szCs w:val="22"/>
        </w:rPr>
        <w:t>but the higher prices would attract more investment, resulting in a 1% higher market equilibrium reserve margin of 1</w:t>
      </w:r>
      <w:r w:rsidR="001862E4" w:rsidRPr="00C50581">
        <w:rPr>
          <w:rFonts w:ascii="Calibri" w:hAnsi="Calibri" w:cs="Calibri"/>
          <w:color w:val="auto"/>
          <w:sz w:val="22"/>
          <w:szCs w:val="22"/>
        </w:rPr>
        <w:t>3</w:t>
      </w:r>
      <w:r w:rsidRPr="00C50581">
        <w:rPr>
          <w:rFonts w:ascii="Calibri" w:hAnsi="Calibri" w:cs="Calibri"/>
          <w:color w:val="auto"/>
          <w:sz w:val="22"/>
          <w:szCs w:val="22"/>
        </w:rPr>
        <w:t>.</w:t>
      </w:r>
      <w:r w:rsidR="001862E4" w:rsidRPr="00C50581">
        <w:rPr>
          <w:rFonts w:ascii="Calibri" w:hAnsi="Calibri" w:cs="Calibri"/>
          <w:color w:val="auto"/>
          <w:sz w:val="22"/>
          <w:szCs w:val="22"/>
        </w:rPr>
        <w:t>2</w:t>
      </w:r>
      <w:r w:rsidRPr="00C50581">
        <w:rPr>
          <w:rFonts w:ascii="Calibri" w:hAnsi="Calibri" w:cs="Calibri"/>
          <w:color w:val="auto"/>
          <w:sz w:val="22"/>
          <w:szCs w:val="22"/>
        </w:rPr>
        <w:t>5%.  With that higher MERM protecting against the effects of hotter weather, the simulated reliability is approximately the same as in the base case.</w:t>
      </w:r>
    </w:p>
    <w:p w14:paraId="137D78B9" w14:textId="1526D1D3" w:rsidR="004B58AD" w:rsidRDefault="004B58AD" w:rsidP="00FA0DFD">
      <w:pPr>
        <w:pStyle w:val="Heading3"/>
        <w:numPr>
          <w:ilvl w:val="0"/>
          <w:numId w:val="16"/>
        </w:numPr>
      </w:pPr>
      <w:bookmarkStart w:id="271" w:name="_Toc526279116"/>
      <w:bookmarkStart w:id="272" w:name="_Toc525851021"/>
      <w:bookmarkStart w:id="273" w:name="_Toc525938060"/>
      <w:bookmarkStart w:id="274" w:name="_Toc526437273"/>
      <w:bookmarkStart w:id="275" w:name="_Toc526439916"/>
      <w:bookmarkStart w:id="276" w:name="_Toc526440026"/>
      <w:bookmarkStart w:id="277" w:name="_Toc532834303"/>
      <w:bookmarkStart w:id="278" w:name="_Toc57193576"/>
      <w:r>
        <w:t>Forward Period and Load Forecast Uncertainty</w:t>
      </w:r>
      <w:bookmarkEnd w:id="271"/>
      <w:r>
        <w:t xml:space="preserve"> </w:t>
      </w:r>
      <w:bookmarkEnd w:id="272"/>
      <w:bookmarkEnd w:id="273"/>
      <w:r>
        <w:t>Sensitivity</w:t>
      </w:r>
      <w:bookmarkEnd w:id="274"/>
      <w:bookmarkEnd w:id="275"/>
      <w:bookmarkEnd w:id="276"/>
      <w:bookmarkEnd w:id="277"/>
      <w:bookmarkEnd w:id="278"/>
    </w:p>
    <w:p w14:paraId="224DCFE3" w14:textId="0B543DD4" w:rsidR="00CB3E29" w:rsidRPr="00C50581" w:rsidRDefault="004B58AD" w:rsidP="008B0478">
      <w:pPr>
        <w:pStyle w:val="BGNormal125"/>
        <w:spacing w:after="240"/>
        <w:rPr>
          <w:rFonts w:ascii="Calibri" w:hAnsi="Calibri" w:cs="Calibri"/>
          <w:color w:val="auto"/>
          <w:sz w:val="22"/>
          <w:szCs w:val="22"/>
        </w:rPr>
      </w:pPr>
      <w:r w:rsidRPr="00C50581">
        <w:rPr>
          <w:rFonts w:ascii="Calibri" w:hAnsi="Calibri" w:cs="Calibri"/>
          <w:color w:val="auto"/>
          <w:sz w:val="22"/>
          <w:szCs w:val="22"/>
        </w:rPr>
        <w:t xml:space="preserve">In our base case analysis, we assume that all future supply decisions must be locked in </w:t>
      </w:r>
      <w:r w:rsidR="00F63CF1" w:rsidRPr="00C50581">
        <w:rPr>
          <w:rFonts w:ascii="Calibri" w:hAnsi="Calibri" w:cs="Calibri"/>
          <w:color w:val="auto"/>
          <w:sz w:val="22"/>
          <w:szCs w:val="22"/>
        </w:rPr>
        <w:t>four</w:t>
      </w:r>
      <w:r w:rsidRPr="00C50581">
        <w:rPr>
          <w:rFonts w:ascii="Calibri" w:hAnsi="Calibri" w:cs="Calibri"/>
          <w:color w:val="auto"/>
          <w:sz w:val="22"/>
          <w:szCs w:val="22"/>
        </w:rPr>
        <w:t xml:space="preserve"> years in advance, approximately consistent with the lead time needed to construct new natural gas-fired generation resources.  However, unlike weather-related load uncertainty, non-weather load forecasting error (LFE) increases with the forward period.  The forward period may increase if investors require a longer planning period and decrease if there are significant short-term resources (such as demand response, switchable units, mothballed units, and even renewable resources) to respond more quickly to market conditions than traditional new builds.  Depending on the expected forward periods the market equilibrium will vary from </w:t>
      </w:r>
      <w:r w:rsidR="001862E4" w:rsidRPr="00C50581">
        <w:rPr>
          <w:rFonts w:ascii="Calibri" w:hAnsi="Calibri" w:cs="Calibri"/>
          <w:color w:val="auto"/>
          <w:sz w:val="22"/>
          <w:szCs w:val="22"/>
        </w:rPr>
        <w:t>11</w:t>
      </w:r>
      <w:r w:rsidRPr="00C50581">
        <w:rPr>
          <w:rFonts w:ascii="Calibri" w:hAnsi="Calibri" w:cs="Calibri"/>
          <w:color w:val="auto"/>
          <w:sz w:val="22"/>
          <w:szCs w:val="22"/>
        </w:rPr>
        <w:t>.25% to 1</w:t>
      </w:r>
      <w:r w:rsidR="001862E4" w:rsidRPr="00C50581">
        <w:rPr>
          <w:rFonts w:ascii="Calibri" w:hAnsi="Calibri" w:cs="Calibri"/>
          <w:color w:val="auto"/>
          <w:sz w:val="22"/>
          <w:szCs w:val="22"/>
        </w:rPr>
        <w:t>2.25</w:t>
      </w:r>
      <w:r w:rsidRPr="00C50581">
        <w:rPr>
          <w:rFonts w:ascii="Calibri" w:hAnsi="Calibri" w:cs="Calibri"/>
          <w:color w:val="auto"/>
          <w:sz w:val="22"/>
          <w:szCs w:val="22"/>
        </w:rPr>
        <w:t>%.</w:t>
      </w:r>
    </w:p>
    <w:p w14:paraId="6FB1A27A" w14:textId="55BA6FE8" w:rsidR="004B58AD" w:rsidRDefault="004B58AD" w:rsidP="00FA0DFD">
      <w:pPr>
        <w:pStyle w:val="Heading3"/>
        <w:numPr>
          <w:ilvl w:val="0"/>
          <w:numId w:val="16"/>
        </w:numPr>
      </w:pPr>
      <w:bookmarkStart w:id="279" w:name="_Ref525824724"/>
      <w:bookmarkStart w:id="280" w:name="_Toc525851022"/>
      <w:bookmarkStart w:id="281" w:name="_Toc525938061"/>
      <w:bookmarkStart w:id="282" w:name="_Toc526279122"/>
      <w:bookmarkStart w:id="283" w:name="_Toc526437274"/>
      <w:bookmarkStart w:id="284" w:name="_Toc526439917"/>
      <w:bookmarkStart w:id="285" w:name="_Toc526440027"/>
      <w:bookmarkStart w:id="286" w:name="_Toc532834304"/>
      <w:bookmarkStart w:id="287" w:name="_Toc57193577"/>
      <w:r>
        <w:t>Summary of Sensitivities</w:t>
      </w:r>
      <w:bookmarkEnd w:id="279"/>
      <w:bookmarkEnd w:id="280"/>
      <w:bookmarkEnd w:id="281"/>
      <w:bookmarkEnd w:id="282"/>
      <w:bookmarkEnd w:id="283"/>
      <w:bookmarkEnd w:id="284"/>
      <w:bookmarkEnd w:id="285"/>
      <w:bookmarkEnd w:id="286"/>
      <w:bookmarkEnd w:id="287"/>
    </w:p>
    <w:p w14:paraId="0CB31603" w14:textId="18AEC5A5" w:rsidR="004B58AD" w:rsidRPr="00CF57C0" w:rsidRDefault="004B58AD" w:rsidP="004B58AD">
      <w:pPr>
        <w:pStyle w:val="BGNormal125"/>
        <w:rPr>
          <w:rFonts w:ascii="Calibri" w:hAnsi="Calibri"/>
          <w:color w:val="auto"/>
          <w:sz w:val="22"/>
          <w:szCs w:val="22"/>
        </w:rPr>
      </w:pPr>
      <w:r w:rsidRPr="00CF57C0">
        <w:rPr>
          <w:rFonts w:ascii="Calibri" w:hAnsi="Calibri"/>
          <w:color w:val="auto"/>
          <w:sz w:val="22"/>
          <w:szCs w:val="22"/>
        </w:rPr>
        <w:t xml:space="preserve">Our estimate of the MERM is sensitive to a number of study assumptions as we have explained in previous sections, and summarized in </w:t>
      </w:r>
      <w:r w:rsidRPr="00C50581">
        <w:rPr>
          <w:rFonts w:ascii="Calibri" w:hAnsi="Calibri"/>
          <w:color w:val="auto"/>
          <w:sz w:val="22"/>
          <w:szCs w:val="22"/>
        </w:rPr>
        <w:fldChar w:fldCharType="begin"/>
      </w:r>
      <w:r w:rsidRPr="00CF57C0">
        <w:rPr>
          <w:rFonts w:ascii="Calibri" w:hAnsi="Calibri"/>
          <w:color w:val="auto"/>
          <w:sz w:val="22"/>
          <w:szCs w:val="22"/>
        </w:rPr>
        <w:instrText xml:space="preserve"> REF _Ref526445007 \h </w:instrText>
      </w:r>
      <w:r w:rsidR="00132D4F" w:rsidRPr="00CF57C0">
        <w:rPr>
          <w:rFonts w:ascii="Calibri" w:hAnsi="Calibri"/>
          <w:color w:val="auto"/>
          <w:sz w:val="22"/>
          <w:szCs w:val="22"/>
        </w:rPr>
        <w:instrText xml:space="preserve"> \* MERGEFORMAT </w:instrText>
      </w:r>
      <w:r w:rsidRPr="00C50581">
        <w:rPr>
          <w:rFonts w:ascii="Calibri" w:hAnsi="Calibri"/>
          <w:color w:val="auto"/>
          <w:sz w:val="22"/>
          <w:szCs w:val="22"/>
        </w:rPr>
      </w:r>
      <w:r w:rsidRPr="00C50581">
        <w:rPr>
          <w:rFonts w:ascii="Calibri" w:hAnsi="Calibri"/>
          <w:color w:val="auto"/>
          <w:sz w:val="22"/>
          <w:szCs w:val="22"/>
        </w:rPr>
        <w:fldChar w:fldCharType="separate"/>
      </w:r>
      <w:r w:rsidR="00CF57C0" w:rsidRPr="00C50581">
        <w:rPr>
          <w:rFonts w:ascii="Calibri" w:hAnsi="Calibri"/>
          <w:color w:val="auto"/>
          <w:sz w:val="22"/>
          <w:szCs w:val="22"/>
        </w:rPr>
        <w:t xml:space="preserve">Figure </w:t>
      </w:r>
      <w:r w:rsidR="00CF57C0" w:rsidRPr="00C50581">
        <w:rPr>
          <w:rFonts w:ascii="Calibri" w:hAnsi="Calibri"/>
          <w:noProof/>
          <w:color w:val="auto"/>
          <w:sz w:val="22"/>
          <w:szCs w:val="22"/>
        </w:rPr>
        <w:t>21</w:t>
      </w:r>
      <w:r w:rsidRPr="00C50581">
        <w:rPr>
          <w:rFonts w:ascii="Calibri" w:hAnsi="Calibri"/>
          <w:color w:val="auto"/>
          <w:sz w:val="22"/>
          <w:szCs w:val="22"/>
        </w:rPr>
        <w:fldChar w:fldCharType="end"/>
      </w:r>
      <w:r w:rsidRPr="00CF57C0">
        <w:rPr>
          <w:rFonts w:ascii="Calibri" w:hAnsi="Calibri"/>
          <w:color w:val="auto"/>
          <w:sz w:val="22"/>
          <w:szCs w:val="22"/>
        </w:rPr>
        <w:t xml:space="preserve"> and </w:t>
      </w:r>
      <w:r w:rsidRPr="00C50581">
        <w:rPr>
          <w:rFonts w:ascii="Calibri" w:hAnsi="Calibri"/>
          <w:color w:val="auto"/>
          <w:sz w:val="22"/>
          <w:szCs w:val="22"/>
        </w:rPr>
        <w:fldChar w:fldCharType="begin"/>
      </w:r>
      <w:r w:rsidRPr="00CF57C0">
        <w:rPr>
          <w:rFonts w:ascii="Calibri" w:hAnsi="Calibri"/>
          <w:color w:val="auto"/>
          <w:sz w:val="22"/>
          <w:szCs w:val="22"/>
        </w:rPr>
        <w:instrText xml:space="preserve"> REF _Ref525139188 \h </w:instrText>
      </w:r>
      <w:r w:rsidR="00132D4F" w:rsidRPr="00CF57C0">
        <w:rPr>
          <w:rFonts w:ascii="Calibri" w:hAnsi="Calibri"/>
          <w:color w:val="auto"/>
          <w:sz w:val="22"/>
          <w:szCs w:val="22"/>
        </w:rPr>
        <w:instrText xml:space="preserve"> \* MERGEFORMAT </w:instrText>
      </w:r>
      <w:r w:rsidRPr="00C50581">
        <w:rPr>
          <w:rFonts w:ascii="Calibri" w:hAnsi="Calibri"/>
          <w:color w:val="auto"/>
          <w:sz w:val="22"/>
          <w:szCs w:val="22"/>
        </w:rPr>
      </w:r>
      <w:r w:rsidRPr="00C50581">
        <w:rPr>
          <w:rFonts w:ascii="Calibri" w:hAnsi="Calibri"/>
          <w:color w:val="auto"/>
          <w:sz w:val="22"/>
          <w:szCs w:val="22"/>
        </w:rPr>
        <w:fldChar w:fldCharType="separate"/>
      </w:r>
      <w:r w:rsidR="00CF57C0" w:rsidRPr="00C50581">
        <w:rPr>
          <w:rFonts w:ascii="Calibri" w:hAnsi="Calibri"/>
          <w:color w:val="auto"/>
          <w:sz w:val="22"/>
          <w:szCs w:val="22"/>
        </w:rPr>
        <w:t xml:space="preserve">Table </w:t>
      </w:r>
      <w:r w:rsidR="00CF57C0" w:rsidRPr="00C50581">
        <w:rPr>
          <w:rFonts w:ascii="Calibri" w:hAnsi="Calibri"/>
          <w:noProof/>
          <w:color w:val="auto"/>
          <w:sz w:val="22"/>
          <w:szCs w:val="22"/>
        </w:rPr>
        <w:t>9</w:t>
      </w:r>
      <w:r w:rsidRPr="00C50581">
        <w:rPr>
          <w:rFonts w:ascii="Calibri" w:hAnsi="Calibri"/>
          <w:color w:val="auto"/>
          <w:sz w:val="22"/>
          <w:szCs w:val="22"/>
        </w:rPr>
        <w:fldChar w:fldCharType="end"/>
      </w:r>
      <w:r w:rsidRPr="00CF57C0">
        <w:rPr>
          <w:rFonts w:ascii="Calibri" w:hAnsi="Calibri"/>
          <w:color w:val="auto"/>
          <w:sz w:val="22"/>
          <w:szCs w:val="22"/>
        </w:rPr>
        <w:t xml:space="preserve">.  As shown in the table, the MERM is between </w:t>
      </w:r>
      <w:r w:rsidR="001862E4" w:rsidRPr="00CF57C0">
        <w:rPr>
          <w:rFonts w:ascii="Calibri" w:hAnsi="Calibri"/>
          <w:color w:val="auto"/>
          <w:sz w:val="22"/>
          <w:szCs w:val="22"/>
        </w:rPr>
        <w:t>10</w:t>
      </w:r>
      <w:r w:rsidRPr="00CF57C0">
        <w:rPr>
          <w:rFonts w:ascii="Calibri" w:hAnsi="Calibri"/>
          <w:color w:val="auto"/>
          <w:sz w:val="22"/>
          <w:szCs w:val="22"/>
        </w:rPr>
        <w:t xml:space="preserve">.25% and </w:t>
      </w:r>
      <w:r w:rsidR="001862E4" w:rsidRPr="00CF57C0">
        <w:rPr>
          <w:rFonts w:ascii="Calibri" w:hAnsi="Calibri"/>
          <w:color w:val="auto"/>
          <w:sz w:val="22"/>
          <w:szCs w:val="22"/>
        </w:rPr>
        <w:t>13.25</w:t>
      </w:r>
      <w:r w:rsidRPr="00CF57C0">
        <w:rPr>
          <w:rFonts w:ascii="Calibri" w:hAnsi="Calibri"/>
          <w:color w:val="auto"/>
          <w:sz w:val="22"/>
          <w:szCs w:val="22"/>
        </w:rPr>
        <w:t>% for all sensitivities.</w:t>
      </w:r>
    </w:p>
    <w:p w14:paraId="4D6035F3" w14:textId="75BB36B9" w:rsidR="004B58AD" w:rsidRDefault="004B58AD" w:rsidP="0009094A">
      <w:pPr>
        <w:pStyle w:val="BGNormal125"/>
        <w:spacing w:after="240"/>
        <w:rPr>
          <w:rFonts w:ascii="Calibri" w:hAnsi="Calibri"/>
          <w:color w:val="auto"/>
          <w:sz w:val="22"/>
          <w:szCs w:val="22"/>
        </w:rPr>
      </w:pPr>
      <w:r w:rsidRPr="00C50581">
        <w:rPr>
          <w:rFonts w:ascii="Calibri" w:hAnsi="Calibri"/>
          <w:color w:val="auto"/>
          <w:sz w:val="22"/>
          <w:szCs w:val="22"/>
        </w:rPr>
        <w:t>The change in the VOLL is not considered to shift the operating reserves demand curve (ORDC) and will not affect the MERM.</w:t>
      </w:r>
      <w:r w:rsidRPr="00C50581">
        <w:rPr>
          <w:rStyle w:val="FootnoteReference"/>
          <w:rFonts w:ascii="Calibri" w:hAnsi="Calibri"/>
          <w:color w:val="auto"/>
          <w:sz w:val="22"/>
          <w:szCs w:val="22"/>
        </w:rPr>
        <w:footnoteReference w:id="33"/>
      </w:r>
      <w:r w:rsidRPr="00C50581">
        <w:rPr>
          <w:rFonts w:ascii="Calibri" w:hAnsi="Calibri"/>
          <w:color w:val="auto"/>
          <w:sz w:val="22"/>
          <w:szCs w:val="22"/>
        </w:rPr>
        <w:t xml:space="preserve">  Moving from a </w:t>
      </w:r>
      <w:r w:rsidR="00061DA1" w:rsidRPr="00C50581">
        <w:rPr>
          <w:rFonts w:ascii="Calibri" w:hAnsi="Calibri"/>
          <w:color w:val="auto"/>
          <w:sz w:val="22"/>
          <w:szCs w:val="22"/>
        </w:rPr>
        <w:t>four</w:t>
      </w:r>
      <w:r w:rsidRPr="00C50581">
        <w:rPr>
          <w:rFonts w:ascii="Calibri" w:hAnsi="Calibri"/>
          <w:color w:val="auto"/>
          <w:sz w:val="22"/>
          <w:szCs w:val="22"/>
        </w:rPr>
        <w:t>-year LFE forward period to no forward period reduces the MERM by one percentage point. Each one-year increase in the forward period increases the MERM</w:t>
      </w:r>
      <w:r w:rsidRPr="00C50581" w:rsidDel="00521F7E">
        <w:rPr>
          <w:rFonts w:ascii="Calibri" w:hAnsi="Calibri"/>
          <w:color w:val="auto"/>
          <w:sz w:val="22"/>
          <w:szCs w:val="22"/>
        </w:rPr>
        <w:t xml:space="preserve"> </w:t>
      </w:r>
      <w:r w:rsidRPr="00C50581">
        <w:rPr>
          <w:rFonts w:ascii="Calibri" w:hAnsi="Calibri"/>
          <w:color w:val="auto"/>
          <w:sz w:val="22"/>
          <w:szCs w:val="22"/>
        </w:rPr>
        <w:t>by 0.</w:t>
      </w:r>
      <w:r w:rsidR="00F63CF1" w:rsidRPr="00C50581">
        <w:rPr>
          <w:rFonts w:ascii="Calibri" w:hAnsi="Calibri"/>
          <w:color w:val="auto"/>
          <w:sz w:val="22"/>
          <w:szCs w:val="22"/>
        </w:rPr>
        <w:t>2</w:t>
      </w:r>
      <w:r w:rsidRPr="00C50581">
        <w:rPr>
          <w:rFonts w:ascii="Calibri" w:hAnsi="Calibri"/>
          <w:color w:val="auto"/>
          <w:sz w:val="22"/>
          <w:szCs w:val="22"/>
        </w:rPr>
        <w:t>5%</w:t>
      </w:r>
      <w:r w:rsidR="00F63CF1" w:rsidRPr="00C50581">
        <w:rPr>
          <w:rFonts w:ascii="Calibri" w:hAnsi="Calibri"/>
          <w:color w:val="auto"/>
          <w:sz w:val="22"/>
          <w:szCs w:val="22"/>
        </w:rPr>
        <w:t>.</w:t>
      </w:r>
      <w:r w:rsidR="000E7D7E">
        <w:rPr>
          <w:rFonts w:ascii="Calibri" w:hAnsi="Calibri"/>
          <w:color w:val="auto"/>
          <w:sz w:val="22"/>
          <w:szCs w:val="22"/>
        </w:rPr>
        <w:t xml:space="preserve"> Weighting more recent weather years more heavily increases MERM since recent data exhibits higher loads on average. And the effects of CONE pricing are symmetrical, but even a reasonably large shift of 25% only moves MERM by </w:t>
      </w:r>
      <w:r w:rsidR="004A6654">
        <w:rPr>
          <w:rFonts w:ascii="Calibri" w:hAnsi="Calibri"/>
          <w:color w:val="auto"/>
          <w:sz w:val="22"/>
          <w:szCs w:val="22"/>
        </w:rPr>
        <w:t>one percentage point</w:t>
      </w:r>
      <w:r w:rsidR="000E7D7E">
        <w:rPr>
          <w:rFonts w:ascii="Calibri" w:hAnsi="Calibri"/>
          <w:color w:val="auto"/>
          <w:sz w:val="22"/>
          <w:szCs w:val="22"/>
        </w:rPr>
        <w:t>.</w:t>
      </w:r>
    </w:p>
    <w:p w14:paraId="2C4EB2A0" w14:textId="62275EF1" w:rsidR="000F0C8B" w:rsidRDefault="000F0C8B" w:rsidP="0009094A">
      <w:pPr>
        <w:pStyle w:val="BGNormal125"/>
        <w:spacing w:after="240"/>
        <w:rPr>
          <w:rFonts w:ascii="Calibri" w:hAnsi="Calibri"/>
          <w:color w:val="auto"/>
          <w:sz w:val="22"/>
          <w:szCs w:val="22"/>
        </w:rPr>
      </w:pPr>
    </w:p>
    <w:p w14:paraId="1B7233F2" w14:textId="50843B96" w:rsidR="000F0C8B" w:rsidRDefault="000F0C8B" w:rsidP="0009094A">
      <w:pPr>
        <w:pStyle w:val="BGNormal125"/>
        <w:spacing w:after="240"/>
        <w:rPr>
          <w:rFonts w:ascii="Calibri" w:hAnsi="Calibri"/>
          <w:color w:val="auto"/>
          <w:sz w:val="22"/>
          <w:szCs w:val="22"/>
        </w:rPr>
      </w:pPr>
    </w:p>
    <w:p w14:paraId="7BEEC367" w14:textId="48CFA455" w:rsidR="000F0C8B" w:rsidRDefault="000F0C8B" w:rsidP="0009094A">
      <w:pPr>
        <w:pStyle w:val="BGNormal125"/>
        <w:spacing w:after="240"/>
        <w:rPr>
          <w:rFonts w:ascii="Calibri" w:hAnsi="Calibri"/>
          <w:color w:val="auto"/>
          <w:sz w:val="22"/>
          <w:szCs w:val="22"/>
        </w:rPr>
      </w:pPr>
    </w:p>
    <w:p w14:paraId="60E03B5A" w14:textId="0DC35E36" w:rsidR="000F0C8B" w:rsidRDefault="000F0C8B" w:rsidP="0009094A">
      <w:pPr>
        <w:pStyle w:val="BGNormal125"/>
        <w:spacing w:after="240"/>
        <w:rPr>
          <w:rFonts w:ascii="Calibri" w:hAnsi="Calibri"/>
          <w:color w:val="auto"/>
          <w:sz w:val="22"/>
          <w:szCs w:val="22"/>
        </w:rPr>
      </w:pPr>
    </w:p>
    <w:p w14:paraId="1B01FAFC" w14:textId="77777777" w:rsidR="000F0C8B" w:rsidRPr="00C50581" w:rsidRDefault="000F0C8B" w:rsidP="0009094A">
      <w:pPr>
        <w:pStyle w:val="BGNormal125"/>
        <w:spacing w:after="240"/>
        <w:rPr>
          <w:rFonts w:ascii="Calibri" w:hAnsi="Calibri"/>
          <w:color w:val="auto"/>
          <w:sz w:val="22"/>
          <w:szCs w:val="22"/>
        </w:rPr>
      </w:pPr>
    </w:p>
    <w:p w14:paraId="7F028257" w14:textId="287E7CC1" w:rsidR="004B58AD" w:rsidRPr="00C50581" w:rsidRDefault="004B58AD" w:rsidP="0009094A">
      <w:pPr>
        <w:pStyle w:val="Caption"/>
        <w:spacing w:after="0"/>
        <w:jc w:val="center"/>
        <w:rPr>
          <w:b/>
          <w:bCs/>
          <w:i w:val="0"/>
          <w:iCs w:val="0"/>
          <w:color w:val="auto"/>
          <w:sz w:val="22"/>
          <w:szCs w:val="22"/>
        </w:rPr>
      </w:pPr>
      <w:bookmarkStart w:id="288" w:name="_Ref526445007"/>
      <w:r w:rsidRPr="00C50581">
        <w:rPr>
          <w:b/>
          <w:bCs/>
          <w:i w:val="0"/>
          <w:iCs w:val="0"/>
          <w:color w:val="auto"/>
          <w:sz w:val="22"/>
          <w:szCs w:val="22"/>
        </w:rPr>
        <w:t xml:space="preserve">Figure </w:t>
      </w:r>
      <w:r w:rsidRPr="00CF57C0">
        <w:rPr>
          <w:b/>
          <w:bCs/>
          <w:i w:val="0"/>
          <w:iCs w:val="0"/>
          <w:noProof/>
          <w:color w:val="auto"/>
          <w:sz w:val="22"/>
          <w:szCs w:val="22"/>
        </w:rPr>
        <w:fldChar w:fldCharType="begin"/>
      </w:r>
      <w:r w:rsidRPr="00C50581">
        <w:rPr>
          <w:b/>
          <w:bCs/>
          <w:i w:val="0"/>
          <w:iCs w:val="0"/>
          <w:noProof/>
          <w:color w:val="auto"/>
          <w:sz w:val="22"/>
          <w:szCs w:val="22"/>
        </w:rPr>
        <w:instrText xml:space="preserve"> SEQ Figure \* ARABIC </w:instrText>
      </w:r>
      <w:r w:rsidRPr="00CF57C0">
        <w:rPr>
          <w:b/>
          <w:bCs/>
          <w:i w:val="0"/>
          <w:iCs w:val="0"/>
          <w:noProof/>
          <w:color w:val="auto"/>
          <w:sz w:val="22"/>
          <w:szCs w:val="22"/>
        </w:rPr>
        <w:fldChar w:fldCharType="separate"/>
      </w:r>
      <w:r w:rsidR="00CF57C0">
        <w:rPr>
          <w:b/>
          <w:bCs/>
          <w:i w:val="0"/>
          <w:iCs w:val="0"/>
          <w:noProof/>
          <w:color w:val="auto"/>
          <w:sz w:val="22"/>
          <w:szCs w:val="22"/>
        </w:rPr>
        <w:t>21</w:t>
      </w:r>
      <w:r w:rsidRPr="00CF57C0">
        <w:rPr>
          <w:b/>
          <w:bCs/>
          <w:i w:val="0"/>
          <w:iCs w:val="0"/>
          <w:noProof/>
          <w:color w:val="auto"/>
          <w:sz w:val="22"/>
          <w:szCs w:val="22"/>
        </w:rPr>
        <w:fldChar w:fldCharType="end"/>
      </w:r>
      <w:bookmarkEnd w:id="288"/>
      <w:r w:rsidR="00132D4F" w:rsidRPr="00C50581">
        <w:rPr>
          <w:b/>
          <w:bCs/>
          <w:i w:val="0"/>
          <w:iCs w:val="0"/>
          <w:noProof/>
          <w:color w:val="auto"/>
          <w:sz w:val="22"/>
          <w:szCs w:val="22"/>
        </w:rPr>
        <w:t xml:space="preserve">. </w:t>
      </w:r>
      <w:r w:rsidRPr="00C50581">
        <w:rPr>
          <w:b/>
          <w:bCs/>
          <w:i w:val="0"/>
          <w:iCs w:val="0"/>
          <w:color w:val="auto"/>
          <w:sz w:val="22"/>
          <w:szCs w:val="22"/>
        </w:rPr>
        <w:t>Sensitivity of the Market Equilibrium Reserve Margin to Study Assumptions</w:t>
      </w:r>
    </w:p>
    <w:p w14:paraId="1E4F465C" w14:textId="55B01A30" w:rsidR="004B58AD" w:rsidRDefault="00F03118" w:rsidP="004B58AD">
      <w:pPr>
        <w:pStyle w:val="BGInsertGraphic"/>
      </w:pPr>
      <w:r>
        <w:rPr>
          <w:noProof/>
        </w:rPr>
        <w:drawing>
          <wp:inline distT="0" distB="0" distL="0" distR="0" wp14:anchorId="4E8F7DD6" wp14:editId="18F32431">
            <wp:extent cx="6296025" cy="368630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737" cy="3691987"/>
                    </a:xfrm>
                    <a:prstGeom prst="rect">
                      <a:avLst/>
                    </a:prstGeom>
                    <a:noFill/>
                  </pic:spPr>
                </pic:pic>
              </a:graphicData>
            </a:graphic>
          </wp:inline>
        </w:drawing>
      </w:r>
    </w:p>
    <w:p w14:paraId="6EEE8D8D" w14:textId="4ED9D800" w:rsidR="004B58AD" w:rsidRPr="000F0C8B" w:rsidRDefault="004B58AD" w:rsidP="000F0C8B">
      <w:pPr>
        <w:pStyle w:val="BGNotesFiguresTables"/>
        <w:spacing w:before="0" w:after="240"/>
        <w:ind w:left="720" w:right="720"/>
        <w:rPr>
          <w:i/>
          <w:color w:val="auto"/>
        </w:rPr>
      </w:pPr>
      <w:r w:rsidRPr="00C50581">
        <w:rPr>
          <w:i/>
          <w:color w:val="auto"/>
        </w:rPr>
        <w:t>Notes:</w:t>
      </w:r>
      <w:r w:rsidR="000F0C8B">
        <w:rPr>
          <w:i/>
          <w:color w:val="auto"/>
        </w:rPr>
        <w:t xml:space="preserve"> </w:t>
      </w:r>
      <w:r w:rsidRPr="00C50581">
        <w:rPr>
          <w:color w:val="auto"/>
        </w:rPr>
        <w:t xml:space="preserve">Varying the VOLL is not shown because it does not affect the MERM. </w:t>
      </w:r>
    </w:p>
    <w:p w14:paraId="715BDE84" w14:textId="10E9CF77" w:rsidR="004B58AD" w:rsidRPr="00BD38B6" w:rsidRDefault="004B58AD" w:rsidP="00132D4F">
      <w:pPr>
        <w:pStyle w:val="Caption"/>
        <w:jc w:val="center"/>
        <w:rPr>
          <w:color w:val="auto"/>
        </w:rPr>
      </w:pPr>
      <w:bookmarkStart w:id="289" w:name="_Ref525139188"/>
      <w:r w:rsidRPr="00BD38B6">
        <w:rPr>
          <w:b/>
          <w:bCs/>
          <w:i w:val="0"/>
          <w:iCs w:val="0"/>
          <w:color w:val="auto"/>
          <w:sz w:val="22"/>
          <w:szCs w:val="22"/>
        </w:rPr>
        <w:t xml:space="preserve">Table </w:t>
      </w:r>
      <w:r w:rsidRPr="00BD38B6">
        <w:rPr>
          <w:b/>
          <w:bCs/>
          <w:i w:val="0"/>
          <w:iCs w:val="0"/>
          <w:noProof/>
          <w:color w:val="auto"/>
          <w:sz w:val="22"/>
          <w:szCs w:val="22"/>
        </w:rPr>
        <w:fldChar w:fldCharType="begin"/>
      </w:r>
      <w:r w:rsidRPr="00BD38B6">
        <w:rPr>
          <w:b/>
          <w:bCs/>
          <w:i w:val="0"/>
          <w:iCs w:val="0"/>
          <w:noProof/>
          <w:color w:val="auto"/>
          <w:sz w:val="22"/>
          <w:szCs w:val="22"/>
        </w:rPr>
        <w:instrText xml:space="preserve"> SEQ Table \* ARABIC </w:instrText>
      </w:r>
      <w:r w:rsidRPr="00BD38B6">
        <w:rPr>
          <w:b/>
          <w:bCs/>
          <w:i w:val="0"/>
          <w:iCs w:val="0"/>
          <w:noProof/>
          <w:color w:val="auto"/>
          <w:sz w:val="22"/>
          <w:szCs w:val="22"/>
        </w:rPr>
        <w:fldChar w:fldCharType="separate"/>
      </w:r>
      <w:r w:rsidR="00CF57C0">
        <w:rPr>
          <w:b/>
          <w:bCs/>
          <w:i w:val="0"/>
          <w:iCs w:val="0"/>
          <w:noProof/>
          <w:color w:val="auto"/>
          <w:sz w:val="22"/>
          <w:szCs w:val="22"/>
        </w:rPr>
        <w:t>9</w:t>
      </w:r>
      <w:r w:rsidRPr="00BD38B6">
        <w:rPr>
          <w:b/>
          <w:bCs/>
          <w:i w:val="0"/>
          <w:iCs w:val="0"/>
          <w:noProof/>
          <w:color w:val="auto"/>
          <w:sz w:val="22"/>
          <w:szCs w:val="22"/>
        </w:rPr>
        <w:fldChar w:fldCharType="end"/>
      </w:r>
      <w:bookmarkEnd w:id="289"/>
      <w:r w:rsidR="00132D4F" w:rsidRPr="00BD38B6">
        <w:rPr>
          <w:b/>
          <w:bCs/>
          <w:i w:val="0"/>
          <w:iCs w:val="0"/>
          <w:noProof/>
          <w:color w:val="auto"/>
          <w:sz w:val="22"/>
          <w:szCs w:val="22"/>
        </w:rPr>
        <w:t xml:space="preserve">. </w:t>
      </w:r>
      <w:r w:rsidRPr="00BD38B6">
        <w:rPr>
          <w:b/>
          <w:bCs/>
          <w:i w:val="0"/>
          <w:iCs w:val="0"/>
          <w:color w:val="auto"/>
          <w:sz w:val="22"/>
          <w:szCs w:val="22"/>
        </w:rPr>
        <w:t>Sensitivity of the Market Equilibrium Reserve Margin to Study Assumptions</w:t>
      </w:r>
      <w:r w:rsidRPr="00BD38B6">
        <w:rPr>
          <w:color w:val="auto"/>
        </w:rPr>
        <w:t xml:space="preserve"> </w:t>
      </w:r>
    </w:p>
    <w:tbl>
      <w:tblPr>
        <w:tblW w:w="9360" w:type="dxa"/>
        <w:tblLook w:val="04A0" w:firstRow="1" w:lastRow="0" w:firstColumn="1" w:lastColumn="0" w:noHBand="0" w:noVBand="1"/>
      </w:tblPr>
      <w:tblGrid>
        <w:gridCol w:w="3060"/>
        <w:gridCol w:w="1890"/>
        <w:gridCol w:w="2160"/>
        <w:gridCol w:w="2250"/>
      </w:tblGrid>
      <w:tr w:rsidR="00A8641A" w:rsidRPr="00A8641A" w14:paraId="29F55C1A" w14:textId="3BED5E26" w:rsidTr="00BD38B6">
        <w:trPr>
          <w:trHeight w:val="585"/>
        </w:trPr>
        <w:tc>
          <w:tcPr>
            <w:tcW w:w="3060" w:type="dxa"/>
            <w:tcBorders>
              <w:top w:val="single" w:sz="8" w:space="0" w:color="auto"/>
              <w:left w:val="nil"/>
              <w:bottom w:val="single" w:sz="4" w:space="0" w:color="auto"/>
              <w:right w:val="nil"/>
            </w:tcBorders>
            <w:shd w:val="clear" w:color="auto" w:fill="auto"/>
            <w:noWrap/>
            <w:vAlign w:val="center"/>
            <w:hideMark/>
          </w:tcPr>
          <w:p w14:paraId="74C57685" w14:textId="77777777" w:rsidR="00A8641A" w:rsidRPr="00A8641A" w:rsidRDefault="00A8641A" w:rsidP="00BD38B6">
            <w:pPr>
              <w:spacing w:after="0" w:line="240" w:lineRule="auto"/>
              <w:jc w:val="center"/>
              <w:rPr>
                <w:rFonts w:eastAsia="Times New Roman" w:cs="Calibri"/>
                <w:b/>
                <w:bCs/>
                <w:color w:val="000000"/>
                <w:kern w:val="0"/>
              </w:rPr>
            </w:pPr>
            <w:r w:rsidRPr="00A8641A">
              <w:rPr>
                <w:rFonts w:eastAsia="Times New Roman" w:cs="Calibri"/>
                <w:b/>
                <w:bCs/>
                <w:color w:val="000000"/>
                <w:kern w:val="0"/>
              </w:rPr>
              <w:t>Scenario/Sensitivity</w:t>
            </w:r>
          </w:p>
        </w:tc>
        <w:tc>
          <w:tcPr>
            <w:tcW w:w="1890" w:type="dxa"/>
            <w:tcBorders>
              <w:top w:val="single" w:sz="8" w:space="0" w:color="auto"/>
              <w:left w:val="nil"/>
              <w:bottom w:val="single" w:sz="4" w:space="0" w:color="auto"/>
              <w:right w:val="nil"/>
            </w:tcBorders>
            <w:shd w:val="clear" w:color="auto" w:fill="auto"/>
            <w:noWrap/>
            <w:vAlign w:val="center"/>
            <w:hideMark/>
          </w:tcPr>
          <w:p w14:paraId="2231B991" w14:textId="77777777" w:rsidR="00A8641A" w:rsidRDefault="00A8641A" w:rsidP="00BD38B6">
            <w:pPr>
              <w:spacing w:after="0" w:line="240" w:lineRule="auto"/>
              <w:jc w:val="center"/>
              <w:rPr>
                <w:rFonts w:eastAsia="Times New Roman" w:cs="Calibri"/>
                <w:b/>
                <w:bCs/>
                <w:color w:val="000000"/>
                <w:kern w:val="0"/>
              </w:rPr>
            </w:pPr>
            <w:r w:rsidRPr="00A8641A">
              <w:rPr>
                <w:rFonts w:eastAsia="Times New Roman" w:cs="Calibri"/>
                <w:b/>
                <w:bCs/>
                <w:color w:val="000000"/>
                <w:kern w:val="0"/>
              </w:rPr>
              <w:t>M</w:t>
            </w:r>
            <w:r>
              <w:rPr>
                <w:rFonts w:eastAsia="Times New Roman" w:cs="Calibri"/>
                <w:b/>
                <w:bCs/>
                <w:color w:val="000000"/>
                <w:kern w:val="0"/>
              </w:rPr>
              <w:t>arket Equilibrium Reserve Margin</w:t>
            </w:r>
          </w:p>
          <w:p w14:paraId="5660C03B" w14:textId="15129585" w:rsidR="00A8641A" w:rsidRPr="00A8641A" w:rsidRDefault="00A8641A" w:rsidP="00BD38B6">
            <w:pPr>
              <w:spacing w:after="0" w:line="240" w:lineRule="auto"/>
              <w:jc w:val="center"/>
              <w:rPr>
                <w:rFonts w:eastAsia="Times New Roman" w:cs="Calibri"/>
                <w:b/>
                <w:bCs/>
                <w:color w:val="000000"/>
                <w:kern w:val="0"/>
              </w:rPr>
            </w:pPr>
            <w:r>
              <w:rPr>
                <w:rFonts w:eastAsia="Times New Roman" w:cs="Calibri"/>
                <w:b/>
                <w:bCs/>
                <w:color w:val="000000"/>
                <w:kern w:val="0"/>
              </w:rPr>
              <w:t>(%)</w:t>
            </w:r>
          </w:p>
        </w:tc>
        <w:tc>
          <w:tcPr>
            <w:tcW w:w="2160" w:type="dxa"/>
            <w:tcBorders>
              <w:top w:val="single" w:sz="8" w:space="0" w:color="auto"/>
              <w:left w:val="nil"/>
              <w:bottom w:val="single" w:sz="4" w:space="0" w:color="auto"/>
              <w:right w:val="nil"/>
            </w:tcBorders>
            <w:shd w:val="clear" w:color="auto" w:fill="auto"/>
            <w:noWrap/>
            <w:vAlign w:val="center"/>
            <w:hideMark/>
          </w:tcPr>
          <w:p w14:paraId="58BB7145" w14:textId="542E42B7" w:rsidR="00A8641A" w:rsidRPr="00A8641A" w:rsidRDefault="00A8641A" w:rsidP="00BD38B6">
            <w:pPr>
              <w:spacing w:after="0" w:line="240" w:lineRule="auto"/>
              <w:jc w:val="center"/>
              <w:rPr>
                <w:rFonts w:eastAsia="Times New Roman" w:cs="Calibri"/>
                <w:b/>
                <w:bCs/>
                <w:color w:val="000000"/>
                <w:kern w:val="0"/>
              </w:rPr>
            </w:pPr>
            <w:r>
              <w:rPr>
                <w:rFonts w:eastAsia="Times New Roman" w:cs="Calibri"/>
                <w:b/>
                <w:bCs/>
                <w:color w:val="000000"/>
                <w:kern w:val="0"/>
              </w:rPr>
              <w:t>Base Assumptions</w:t>
            </w:r>
          </w:p>
        </w:tc>
        <w:tc>
          <w:tcPr>
            <w:tcW w:w="2250" w:type="dxa"/>
            <w:tcBorders>
              <w:top w:val="single" w:sz="8" w:space="0" w:color="auto"/>
              <w:left w:val="nil"/>
              <w:bottom w:val="single" w:sz="4" w:space="0" w:color="auto"/>
              <w:right w:val="nil"/>
            </w:tcBorders>
            <w:vAlign w:val="center"/>
          </w:tcPr>
          <w:p w14:paraId="1C41B551" w14:textId="1ADCAAEE" w:rsidR="00A8641A" w:rsidRPr="00A8641A" w:rsidRDefault="00A8641A" w:rsidP="00BD38B6">
            <w:pPr>
              <w:spacing w:after="0" w:line="240" w:lineRule="auto"/>
              <w:jc w:val="center"/>
              <w:rPr>
                <w:rFonts w:eastAsia="Times New Roman" w:cs="Calibri"/>
                <w:b/>
                <w:bCs/>
                <w:color w:val="000000"/>
                <w:kern w:val="0"/>
              </w:rPr>
            </w:pPr>
            <w:r>
              <w:rPr>
                <w:rFonts w:eastAsia="Times New Roman" w:cs="Calibri"/>
                <w:b/>
                <w:bCs/>
                <w:color w:val="000000"/>
                <w:kern w:val="0"/>
              </w:rPr>
              <w:t>Low/High Sensitivity</w:t>
            </w:r>
          </w:p>
        </w:tc>
      </w:tr>
      <w:tr w:rsidR="00A8641A" w:rsidRPr="00A8641A" w14:paraId="23AE9DC0" w14:textId="1FD5B247" w:rsidTr="00BD38B6">
        <w:trPr>
          <w:trHeight w:val="300"/>
        </w:trPr>
        <w:tc>
          <w:tcPr>
            <w:tcW w:w="3060" w:type="dxa"/>
            <w:tcBorders>
              <w:top w:val="single" w:sz="4" w:space="0" w:color="auto"/>
              <w:left w:val="nil"/>
              <w:bottom w:val="nil"/>
              <w:right w:val="nil"/>
            </w:tcBorders>
            <w:shd w:val="clear" w:color="000000" w:fill="D9D9D9"/>
            <w:noWrap/>
            <w:vAlign w:val="center"/>
            <w:hideMark/>
          </w:tcPr>
          <w:p w14:paraId="4387F815" w14:textId="77777777" w:rsidR="00A8641A" w:rsidRPr="00A8641A" w:rsidRDefault="00A8641A" w:rsidP="00BD38B6">
            <w:pPr>
              <w:spacing w:after="0" w:line="240" w:lineRule="auto"/>
              <w:jc w:val="center"/>
              <w:rPr>
                <w:rFonts w:eastAsia="Times New Roman" w:cs="Calibri"/>
                <w:b/>
                <w:bCs/>
                <w:color w:val="000000"/>
                <w:kern w:val="0"/>
              </w:rPr>
            </w:pPr>
            <w:r w:rsidRPr="00A8641A">
              <w:rPr>
                <w:rFonts w:eastAsia="Times New Roman" w:cs="Calibri"/>
                <w:b/>
                <w:bCs/>
                <w:color w:val="000000"/>
                <w:kern w:val="0"/>
              </w:rPr>
              <w:t>Base Case</w:t>
            </w:r>
          </w:p>
        </w:tc>
        <w:tc>
          <w:tcPr>
            <w:tcW w:w="1890" w:type="dxa"/>
            <w:tcBorders>
              <w:top w:val="single" w:sz="4" w:space="0" w:color="auto"/>
              <w:left w:val="nil"/>
              <w:bottom w:val="nil"/>
              <w:right w:val="nil"/>
            </w:tcBorders>
            <w:shd w:val="clear" w:color="000000" w:fill="D9D9D9"/>
            <w:noWrap/>
            <w:vAlign w:val="center"/>
            <w:hideMark/>
          </w:tcPr>
          <w:p w14:paraId="52451239" w14:textId="17DCCBA4" w:rsidR="00A8641A" w:rsidRPr="00A8641A" w:rsidRDefault="00A8641A" w:rsidP="00BD38B6">
            <w:pPr>
              <w:spacing w:after="0" w:line="240" w:lineRule="auto"/>
              <w:jc w:val="center"/>
              <w:rPr>
                <w:rFonts w:eastAsia="Times New Roman" w:cs="Calibri"/>
                <w:b/>
                <w:bCs/>
                <w:color w:val="000000"/>
                <w:kern w:val="0"/>
              </w:rPr>
            </w:pPr>
            <w:r w:rsidRPr="00A8641A">
              <w:rPr>
                <w:rFonts w:eastAsia="Times New Roman" w:cs="Calibri"/>
                <w:b/>
                <w:bCs/>
                <w:color w:val="000000"/>
                <w:kern w:val="0"/>
              </w:rPr>
              <w:t>1</w:t>
            </w:r>
            <w:r w:rsidR="001862E4">
              <w:rPr>
                <w:rFonts w:eastAsia="Times New Roman" w:cs="Calibri"/>
                <w:b/>
                <w:bCs/>
                <w:color w:val="000000"/>
                <w:kern w:val="0"/>
              </w:rPr>
              <w:t>2</w:t>
            </w:r>
            <w:r w:rsidRPr="00A8641A">
              <w:rPr>
                <w:rFonts w:eastAsia="Times New Roman" w:cs="Calibri"/>
                <w:b/>
                <w:bCs/>
                <w:color w:val="000000"/>
                <w:kern w:val="0"/>
              </w:rPr>
              <w:t>.25</w:t>
            </w:r>
          </w:p>
        </w:tc>
        <w:tc>
          <w:tcPr>
            <w:tcW w:w="2160" w:type="dxa"/>
            <w:tcBorders>
              <w:top w:val="single" w:sz="4" w:space="0" w:color="auto"/>
              <w:left w:val="nil"/>
              <w:bottom w:val="nil"/>
              <w:right w:val="nil"/>
            </w:tcBorders>
            <w:shd w:val="clear" w:color="000000" w:fill="D9D9D9"/>
            <w:noWrap/>
            <w:vAlign w:val="center"/>
          </w:tcPr>
          <w:p w14:paraId="3ED8F152" w14:textId="0DC25B4C" w:rsidR="00A8641A" w:rsidRPr="00A8641A" w:rsidRDefault="00A8641A" w:rsidP="00BD38B6">
            <w:pPr>
              <w:spacing w:after="0" w:line="240" w:lineRule="auto"/>
              <w:jc w:val="center"/>
              <w:rPr>
                <w:rFonts w:eastAsia="Times New Roman" w:cs="Calibri"/>
                <w:b/>
                <w:bCs/>
                <w:color w:val="000000"/>
                <w:kern w:val="0"/>
              </w:rPr>
            </w:pPr>
          </w:p>
        </w:tc>
        <w:tc>
          <w:tcPr>
            <w:tcW w:w="2250" w:type="dxa"/>
            <w:tcBorders>
              <w:top w:val="single" w:sz="4" w:space="0" w:color="auto"/>
              <w:left w:val="nil"/>
              <w:bottom w:val="nil"/>
              <w:right w:val="nil"/>
            </w:tcBorders>
            <w:shd w:val="clear" w:color="000000" w:fill="D9D9D9"/>
            <w:vAlign w:val="center"/>
          </w:tcPr>
          <w:p w14:paraId="64251D11" w14:textId="77777777" w:rsidR="00A8641A" w:rsidRPr="00A8641A" w:rsidRDefault="00A8641A" w:rsidP="00BD38B6">
            <w:pPr>
              <w:spacing w:after="0" w:line="240" w:lineRule="auto"/>
              <w:jc w:val="center"/>
              <w:rPr>
                <w:rFonts w:eastAsia="Times New Roman" w:cs="Calibri"/>
                <w:b/>
                <w:bCs/>
                <w:color w:val="000000"/>
                <w:kern w:val="0"/>
              </w:rPr>
            </w:pPr>
          </w:p>
        </w:tc>
      </w:tr>
      <w:tr w:rsidR="00A8641A" w:rsidRPr="00A8641A" w14:paraId="01522807" w14:textId="7ED8F5C1" w:rsidTr="00BD38B6">
        <w:trPr>
          <w:trHeight w:val="300"/>
        </w:trPr>
        <w:tc>
          <w:tcPr>
            <w:tcW w:w="3060" w:type="dxa"/>
            <w:tcBorders>
              <w:top w:val="nil"/>
              <w:left w:val="nil"/>
              <w:bottom w:val="nil"/>
              <w:right w:val="nil"/>
            </w:tcBorders>
            <w:shd w:val="clear" w:color="auto" w:fill="auto"/>
            <w:noWrap/>
            <w:vAlign w:val="center"/>
            <w:hideMark/>
          </w:tcPr>
          <w:p w14:paraId="7CE682BF" w14:textId="682D9A70" w:rsidR="00A8641A" w:rsidRPr="00A8641A" w:rsidRDefault="00A8641A" w:rsidP="000740A4">
            <w:pPr>
              <w:spacing w:after="0" w:line="240" w:lineRule="auto"/>
              <w:jc w:val="center"/>
              <w:rPr>
                <w:rFonts w:eastAsia="Times New Roman" w:cs="Calibri"/>
                <w:color w:val="000000"/>
                <w:kern w:val="0"/>
              </w:rPr>
            </w:pPr>
            <w:r w:rsidRPr="00A8641A">
              <w:rPr>
                <w:rFonts w:eastAsia="Times New Roman" w:cs="Calibri"/>
                <w:color w:val="000000"/>
                <w:kern w:val="0"/>
              </w:rPr>
              <w:t>Vary CONE</w:t>
            </w:r>
          </w:p>
        </w:tc>
        <w:tc>
          <w:tcPr>
            <w:tcW w:w="1890" w:type="dxa"/>
            <w:tcBorders>
              <w:top w:val="nil"/>
              <w:left w:val="nil"/>
              <w:bottom w:val="nil"/>
              <w:right w:val="nil"/>
            </w:tcBorders>
            <w:shd w:val="clear" w:color="auto" w:fill="auto"/>
            <w:noWrap/>
            <w:vAlign w:val="center"/>
            <w:hideMark/>
          </w:tcPr>
          <w:p w14:paraId="3232DBD7" w14:textId="4645EEE0" w:rsidR="00A8641A" w:rsidRPr="00A8641A" w:rsidRDefault="004D238C" w:rsidP="00BD38B6">
            <w:pPr>
              <w:spacing w:after="0" w:line="240" w:lineRule="auto"/>
              <w:jc w:val="center"/>
              <w:rPr>
                <w:rFonts w:eastAsia="Times New Roman" w:cs="Calibri"/>
                <w:color w:val="000000"/>
                <w:kern w:val="0"/>
              </w:rPr>
            </w:pPr>
            <w:r>
              <w:rPr>
                <w:rFonts w:eastAsia="Times New Roman" w:cs="Calibri"/>
                <w:color w:val="000000"/>
                <w:kern w:val="0"/>
              </w:rPr>
              <w:t>11.25 – 13.25</w:t>
            </w:r>
          </w:p>
        </w:tc>
        <w:tc>
          <w:tcPr>
            <w:tcW w:w="2160" w:type="dxa"/>
            <w:tcBorders>
              <w:top w:val="nil"/>
              <w:left w:val="nil"/>
              <w:bottom w:val="nil"/>
              <w:right w:val="nil"/>
            </w:tcBorders>
            <w:shd w:val="clear" w:color="auto" w:fill="auto"/>
            <w:noWrap/>
            <w:vAlign w:val="center"/>
          </w:tcPr>
          <w:p w14:paraId="642883B8" w14:textId="4D1FC201"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$93.5/kW-</w:t>
            </w:r>
            <w:proofErr w:type="spellStart"/>
            <w:r>
              <w:rPr>
                <w:rFonts w:eastAsia="Times New Roman" w:cs="Calibri"/>
                <w:color w:val="000000"/>
                <w:kern w:val="0"/>
              </w:rPr>
              <w:t>yr</w:t>
            </w:r>
            <w:proofErr w:type="spellEnd"/>
          </w:p>
        </w:tc>
        <w:tc>
          <w:tcPr>
            <w:tcW w:w="2250" w:type="dxa"/>
            <w:tcBorders>
              <w:top w:val="nil"/>
              <w:left w:val="nil"/>
              <w:bottom w:val="nil"/>
              <w:right w:val="nil"/>
            </w:tcBorders>
            <w:vAlign w:val="center"/>
          </w:tcPr>
          <w:p w14:paraId="6458F27C" w14:textId="172CD142"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$70.1 - $116.9/kW-</w:t>
            </w:r>
            <w:proofErr w:type="spellStart"/>
            <w:r>
              <w:rPr>
                <w:rFonts w:eastAsia="Times New Roman" w:cs="Calibri"/>
                <w:color w:val="000000"/>
                <w:kern w:val="0"/>
              </w:rPr>
              <w:t>yr</w:t>
            </w:r>
            <w:proofErr w:type="spellEnd"/>
          </w:p>
        </w:tc>
      </w:tr>
      <w:tr w:rsidR="00A8641A" w:rsidRPr="00A8641A" w14:paraId="79948BBE" w14:textId="435B652D" w:rsidTr="00BD38B6">
        <w:trPr>
          <w:trHeight w:val="300"/>
        </w:trPr>
        <w:tc>
          <w:tcPr>
            <w:tcW w:w="3060" w:type="dxa"/>
            <w:tcBorders>
              <w:top w:val="nil"/>
              <w:left w:val="nil"/>
              <w:bottom w:val="nil"/>
              <w:right w:val="nil"/>
            </w:tcBorders>
            <w:shd w:val="clear" w:color="000000" w:fill="D9D9D9"/>
            <w:noWrap/>
            <w:vAlign w:val="center"/>
            <w:hideMark/>
          </w:tcPr>
          <w:p w14:paraId="47D64386" w14:textId="77777777" w:rsidR="00A8641A" w:rsidRPr="00A8641A" w:rsidRDefault="00A8641A" w:rsidP="00BD38B6">
            <w:pPr>
              <w:spacing w:after="0" w:line="240" w:lineRule="auto"/>
              <w:jc w:val="center"/>
              <w:rPr>
                <w:rFonts w:eastAsia="Times New Roman" w:cs="Calibri"/>
                <w:color w:val="000000"/>
                <w:kern w:val="0"/>
              </w:rPr>
            </w:pPr>
            <w:r w:rsidRPr="00A8641A">
              <w:rPr>
                <w:rFonts w:eastAsia="Times New Roman" w:cs="Calibri"/>
                <w:color w:val="000000"/>
                <w:kern w:val="0"/>
              </w:rPr>
              <w:t>Vary VOLL</w:t>
            </w:r>
          </w:p>
        </w:tc>
        <w:tc>
          <w:tcPr>
            <w:tcW w:w="1890" w:type="dxa"/>
            <w:tcBorders>
              <w:top w:val="nil"/>
              <w:left w:val="nil"/>
              <w:bottom w:val="nil"/>
              <w:right w:val="nil"/>
            </w:tcBorders>
            <w:shd w:val="clear" w:color="000000" w:fill="D9D9D9"/>
            <w:noWrap/>
            <w:vAlign w:val="center"/>
            <w:hideMark/>
          </w:tcPr>
          <w:p w14:paraId="01E94141" w14:textId="03E9F2C0" w:rsidR="00A8641A" w:rsidRPr="00A8641A" w:rsidRDefault="00A8641A" w:rsidP="00BD38B6">
            <w:pPr>
              <w:spacing w:after="0" w:line="240" w:lineRule="auto"/>
              <w:jc w:val="center"/>
              <w:rPr>
                <w:rFonts w:eastAsia="Times New Roman" w:cs="Calibri"/>
                <w:color w:val="000000"/>
                <w:kern w:val="0"/>
              </w:rPr>
            </w:pPr>
            <w:r w:rsidRPr="00A8641A">
              <w:rPr>
                <w:rFonts w:eastAsia="Times New Roman" w:cs="Calibri"/>
                <w:color w:val="000000"/>
                <w:kern w:val="0"/>
              </w:rPr>
              <w:t>1</w:t>
            </w:r>
            <w:r w:rsidR="001862E4">
              <w:rPr>
                <w:rFonts w:eastAsia="Times New Roman" w:cs="Calibri"/>
                <w:color w:val="000000"/>
                <w:kern w:val="0"/>
              </w:rPr>
              <w:t>2</w:t>
            </w:r>
            <w:r w:rsidRPr="00A8641A">
              <w:rPr>
                <w:rFonts w:eastAsia="Times New Roman" w:cs="Calibri"/>
                <w:color w:val="000000"/>
                <w:kern w:val="0"/>
              </w:rPr>
              <w:t>.25</w:t>
            </w:r>
          </w:p>
        </w:tc>
        <w:tc>
          <w:tcPr>
            <w:tcW w:w="2160" w:type="dxa"/>
            <w:tcBorders>
              <w:top w:val="nil"/>
              <w:left w:val="nil"/>
              <w:bottom w:val="nil"/>
              <w:right w:val="nil"/>
            </w:tcBorders>
            <w:shd w:val="clear" w:color="000000" w:fill="D9D9D9"/>
            <w:noWrap/>
            <w:vAlign w:val="center"/>
          </w:tcPr>
          <w:p w14:paraId="6C7903D2" w14:textId="584C40F1"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$9,000/MWh</w:t>
            </w:r>
          </w:p>
        </w:tc>
        <w:tc>
          <w:tcPr>
            <w:tcW w:w="2250" w:type="dxa"/>
            <w:tcBorders>
              <w:top w:val="nil"/>
              <w:left w:val="nil"/>
              <w:bottom w:val="nil"/>
              <w:right w:val="nil"/>
            </w:tcBorders>
            <w:shd w:val="clear" w:color="000000" w:fill="D9D9D9"/>
            <w:vAlign w:val="center"/>
          </w:tcPr>
          <w:p w14:paraId="244538EE" w14:textId="3DC0700E"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$5,000-$30,000/MWh</w:t>
            </w:r>
          </w:p>
        </w:tc>
      </w:tr>
      <w:tr w:rsidR="00A8641A" w:rsidRPr="00A8641A" w14:paraId="3E79AE68" w14:textId="0EA5C42D" w:rsidTr="00BD38B6">
        <w:trPr>
          <w:trHeight w:val="300"/>
        </w:trPr>
        <w:tc>
          <w:tcPr>
            <w:tcW w:w="3060" w:type="dxa"/>
            <w:tcBorders>
              <w:top w:val="nil"/>
              <w:left w:val="nil"/>
              <w:bottom w:val="nil"/>
              <w:right w:val="nil"/>
            </w:tcBorders>
            <w:shd w:val="clear" w:color="auto" w:fill="auto"/>
            <w:noWrap/>
            <w:vAlign w:val="center"/>
            <w:hideMark/>
          </w:tcPr>
          <w:p w14:paraId="52C203EA" w14:textId="77777777" w:rsidR="00A8641A" w:rsidRPr="00A8641A" w:rsidRDefault="00A8641A" w:rsidP="00BD38B6">
            <w:pPr>
              <w:spacing w:after="0" w:line="240" w:lineRule="auto"/>
              <w:jc w:val="center"/>
              <w:rPr>
                <w:rFonts w:eastAsia="Times New Roman" w:cs="Calibri"/>
                <w:color w:val="000000"/>
                <w:kern w:val="0"/>
              </w:rPr>
            </w:pPr>
            <w:r w:rsidRPr="00A8641A">
              <w:rPr>
                <w:rFonts w:eastAsia="Times New Roman" w:cs="Calibri"/>
                <w:color w:val="000000"/>
                <w:kern w:val="0"/>
              </w:rPr>
              <w:t>Vary Probability of Weather Years</w:t>
            </w:r>
          </w:p>
        </w:tc>
        <w:tc>
          <w:tcPr>
            <w:tcW w:w="1890" w:type="dxa"/>
            <w:tcBorders>
              <w:top w:val="nil"/>
              <w:left w:val="nil"/>
              <w:bottom w:val="nil"/>
              <w:right w:val="nil"/>
            </w:tcBorders>
            <w:shd w:val="clear" w:color="auto" w:fill="auto"/>
            <w:noWrap/>
            <w:vAlign w:val="center"/>
            <w:hideMark/>
          </w:tcPr>
          <w:p w14:paraId="781D06A4" w14:textId="55CB7D9C" w:rsidR="00A8641A" w:rsidRPr="00A8641A" w:rsidRDefault="001862E4" w:rsidP="00BD38B6">
            <w:pPr>
              <w:spacing w:after="0" w:line="240" w:lineRule="auto"/>
              <w:jc w:val="center"/>
              <w:rPr>
                <w:rFonts w:eastAsia="Times New Roman" w:cs="Calibri"/>
                <w:color w:val="000000"/>
                <w:kern w:val="0"/>
              </w:rPr>
            </w:pPr>
            <w:r>
              <w:rPr>
                <w:rFonts w:eastAsia="Times New Roman" w:cs="Calibri"/>
                <w:color w:val="000000"/>
                <w:kern w:val="0"/>
              </w:rPr>
              <w:t>13.25</w:t>
            </w:r>
          </w:p>
        </w:tc>
        <w:tc>
          <w:tcPr>
            <w:tcW w:w="2160" w:type="dxa"/>
            <w:tcBorders>
              <w:top w:val="nil"/>
              <w:left w:val="nil"/>
              <w:bottom w:val="nil"/>
              <w:right w:val="nil"/>
            </w:tcBorders>
            <w:shd w:val="clear" w:color="auto" w:fill="auto"/>
            <w:noWrap/>
            <w:vAlign w:val="center"/>
          </w:tcPr>
          <w:p w14:paraId="0C94AB3B" w14:textId="374F818A"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Equal probability to all 40 weather years</w:t>
            </w:r>
          </w:p>
        </w:tc>
        <w:tc>
          <w:tcPr>
            <w:tcW w:w="2250" w:type="dxa"/>
            <w:tcBorders>
              <w:top w:val="nil"/>
              <w:left w:val="nil"/>
              <w:bottom w:val="nil"/>
              <w:right w:val="nil"/>
            </w:tcBorders>
            <w:vAlign w:val="center"/>
          </w:tcPr>
          <w:p w14:paraId="0863B14B" w14:textId="5F8247E3"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Equal probability to last 15 weather years</w:t>
            </w:r>
          </w:p>
        </w:tc>
      </w:tr>
      <w:tr w:rsidR="00A8641A" w:rsidRPr="00A8641A" w14:paraId="2C573F10" w14:textId="73952D89" w:rsidTr="00BD38B6">
        <w:trPr>
          <w:trHeight w:val="300"/>
        </w:trPr>
        <w:tc>
          <w:tcPr>
            <w:tcW w:w="3060" w:type="dxa"/>
            <w:tcBorders>
              <w:top w:val="nil"/>
              <w:left w:val="nil"/>
              <w:bottom w:val="nil"/>
              <w:right w:val="nil"/>
            </w:tcBorders>
            <w:shd w:val="clear" w:color="000000" w:fill="D9D9D9"/>
            <w:noWrap/>
            <w:vAlign w:val="center"/>
            <w:hideMark/>
          </w:tcPr>
          <w:p w14:paraId="5D24998E" w14:textId="77777777" w:rsidR="00A8641A" w:rsidRPr="00A8641A" w:rsidRDefault="00A8641A" w:rsidP="00BD38B6">
            <w:pPr>
              <w:spacing w:after="0" w:line="240" w:lineRule="auto"/>
              <w:jc w:val="center"/>
              <w:rPr>
                <w:rFonts w:eastAsia="Times New Roman" w:cs="Calibri"/>
                <w:color w:val="000000"/>
                <w:kern w:val="0"/>
              </w:rPr>
            </w:pPr>
            <w:r w:rsidRPr="00A8641A">
              <w:rPr>
                <w:rFonts w:eastAsia="Times New Roman" w:cs="Calibri"/>
                <w:color w:val="000000"/>
                <w:kern w:val="0"/>
              </w:rPr>
              <w:t>Vary Forward Period and Load Forecast Uncertainty</w:t>
            </w:r>
          </w:p>
        </w:tc>
        <w:tc>
          <w:tcPr>
            <w:tcW w:w="1890" w:type="dxa"/>
            <w:tcBorders>
              <w:top w:val="nil"/>
              <w:left w:val="nil"/>
              <w:bottom w:val="nil"/>
              <w:right w:val="nil"/>
            </w:tcBorders>
            <w:shd w:val="clear" w:color="000000" w:fill="D9D9D9"/>
            <w:noWrap/>
            <w:vAlign w:val="center"/>
            <w:hideMark/>
          </w:tcPr>
          <w:p w14:paraId="6023CB41" w14:textId="14A38AF4" w:rsidR="00A8641A" w:rsidRPr="00A8641A" w:rsidRDefault="001862E4" w:rsidP="00BD38B6">
            <w:pPr>
              <w:spacing w:after="0" w:line="240" w:lineRule="auto"/>
              <w:jc w:val="center"/>
              <w:rPr>
                <w:rFonts w:eastAsia="Times New Roman" w:cs="Calibri"/>
                <w:color w:val="000000"/>
                <w:kern w:val="0"/>
              </w:rPr>
            </w:pPr>
            <w:r>
              <w:rPr>
                <w:rFonts w:eastAsia="Times New Roman" w:cs="Calibri"/>
                <w:color w:val="000000"/>
                <w:kern w:val="0"/>
              </w:rPr>
              <w:t>11.25 – 12.00</w:t>
            </w:r>
          </w:p>
        </w:tc>
        <w:tc>
          <w:tcPr>
            <w:tcW w:w="2160" w:type="dxa"/>
            <w:tcBorders>
              <w:top w:val="nil"/>
              <w:left w:val="nil"/>
              <w:bottom w:val="nil"/>
              <w:right w:val="nil"/>
            </w:tcBorders>
            <w:shd w:val="clear" w:color="000000" w:fill="D9D9D9"/>
            <w:noWrap/>
            <w:vAlign w:val="center"/>
          </w:tcPr>
          <w:p w14:paraId="58396151" w14:textId="48BD8A3F"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4 years</w:t>
            </w:r>
          </w:p>
        </w:tc>
        <w:tc>
          <w:tcPr>
            <w:tcW w:w="2250" w:type="dxa"/>
            <w:tcBorders>
              <w:top w:val="nil"/>
              <w:left w:val="nil"/>
              <w:bottom w:val="nil"/>
              <w:right w:val="nil"/>
            </w:tcBorders>
            <w:shd w:val="clear" w:color="000000" w:fill="D9D9D9"/>
            <w:vAlign w:val="center"/>
          </w:tcPr>
          <w:p w14:paraId="3D00CFD0" w14:textId="041DAA94" w:rsidR="00A8641A" w:rsidRPr="00A8641A" w:rsidRDefault="00BD38B6" w:rsidP="00BD38B6">
            <w:pPr>
              <w:spacing w:after="0" w:line="240" w:lineRule="auto"/>
              <w:jc w:val="center"/>
              <w:rPr>
                <w:rFonts w:eastAsia="Times New Roman" w:cs="Calibri"/>
                <w:color w:val="000000"/>
                <w:kern w:val="0"/>
              </w:rPr>
            </w:pPr>
            <w:r>
              <w:rPr>
                <w:rFonts w:eastAsia="Times New Roman" w:cs="Calibri"/>
                <w:color w:val="000000"/>
                <w:kern w:val="0"/>
              </w:rPr>
              <w:t>0 years to 3 years</w:t>
            </w:r>
          </w:p>
        </w:tc>
      </w:tr>
      <w:tr w:rsidR="00A8641A" w:rsidRPr="00A8641A" w14:paraId="5EB213D4" w14:textId="63313FE4" w:rsidTr="00BD38B6">
        <w:trPr>
          <w:trHeight w:val="300"/>
        </w:trPr>
        <w:tc>
          <w:tcPr>
            <w:tcW w:w="3060" w:type="dxa"/>
            <w:tcBorders>
              <w:top w:val="nil"/>
              <w:left w:val="nil"/>
              <w:bottom w:val="nil"/>
              <w:right w:val="nil"/>
            </w:tcBorders>
            <w:shd w:val="clear" w:color="auto" w:fill="auto"/>
            <w:noWrap/>
            <w:vAlign w:val="center"/>
            <w:hideMark/>
          </w:tcPr>
          <w:p w14:paraId="2A1B0C1A" w14:textId="41126E64" w:rsidR="00A8641A" w:rsidRPr="00A8641A" w:rsidRDefault="00A8641A" w:rsidP="00BD38B6">
            <w:pPr>
              <w:spacing w:after="0" w:line="240" w:lineRule="auto"/>
              <w:jc w:val="center"/>
              <w:rPr>
                <w:rFonts w:eastAsia="Times New Roman" w:cs="Calibri"/>
                <w:b/>
                <w:bCs/>
                <w:color w:val="000000"/>
                <w:kern w:val="0"/>
              </w:rPr>
            </w:pPr>
            <w:r w:rsidRPr="00A8641A">
              <w:rPr>
                <w:rFonts w:eastAsia="Times New Roman" w:cs="Calibri"/>
                <w:b/>
                <w:bCs/>
                <w:color w:val="000000"/>
                <w:kern w:val="0"/>
              </w:rPr>
              <w:t xml:space="preserve">High Renewables Scenario </w:t>
            </w:r>
          </w:p>
        </w:tc>
        <w:tc>
          <w:tcPr>
            <w:tcW w:w="1890" w:type="dxa"/>
            <w:tcBorders>
              <w:top w:val="nil"/>
              <w:left w:val="nil"/>
              <w:bottom w:val="nil"/>
              <w:right w:val="nil"/>
            </w:tcBorders>
            <w:shd w:val="clear" w:color="auto" w:fill="auto"/>
            <w:noWrap/>
            <w:vAlign w:val="center"/>
            <w:hideMark/>
          </w:tcPr>
          <w:p w14:paraId="6AABF944" w14:textId="7B21C678" w:rsidR="00A8641A" w:rsidRPr="00A8641A" w:rsidRDefault="001862E4" w:rsidP="00BD38B6">
            <w:pPr>
              <w:spacing w:after="0" w:line="240" w:lineRule="auto"/>
              <w:jc w:val="center"/>
              <w:rPr>
                <w:rFonts w:eastAsia="Times New Roman" w:cs="Calibri"/>
                <w:b/>
                <w:bCs/>
                <w:color w:val="000000"/>
                <w:kern w:val="0"/>
              </w:rPr>
            </w:pPr>
            <w:r>
              <w:rPr>
                <w:rFonts w:eastAsia="Times New Roman" w:cs="Calibri"/>
                <w:b/>
                <w:bCs/>
                <w:color w:val="000000"/>
                <w:kern w:val="0"/>
              </w:rPr>
              <w:t>10</w:t>
            </w:r>
            <w:r w:rsidR="00A8641A" w:rsidRPr="00A8641A">
              <w:rPr>
                <w:rFonts w:eastAsia="Times New Roman" w:cs="Calibri"/>
                <w:b/>
                <w:bCs/>
                <w:color w:val="000000"/>
                <w:kern w:val="0"/>
              </w:rPr>
              <w:t>.25</w:t>
            </w:r>
          </w:p>
        </w:tc>
        <w:tc>
          <w:tcPr>
            <w:tcW w:w="2160" w:type="dxa"/>
            <w:tcBorders>
              <w:top w:val="nil"/>
              <w:left w:val="nil"/>
              <w:bottom w:val="nil"/>
              <w:right w:val="nil"/>
            </w:tcBorders>
            <w:shd w:val="clear" w:color="auto" w:fill="auto"/>
            <w:noWrap/>
            <w:vAlign w:val="center"/>
          </w:tcPr>
          <w:p w14:paraId="62868BE7" w14:textId="5F9F4889" w:rsidR="00A8641A" w:rsidRPr="00A8641A" w:rsidRDefault="001862E4" w:rsidP="00BD38B6">
            <w:pPr>
              <w:spacing w:after="0" w:line="240" w:lineRule="auto"/>
              <w:jc w:val="center"/>
              <w:rPr>
                <w:rFonts w:eastAsia="Times New Roman" w:cs="Calibri"/>
                <w:b/>
                <w:bCs/>
                <w:color w:val="000000"/>
                <w:kern w:val="0"/>
              </w:rPr>
            </w:pPr>
            <w:r>
              <w:rPr>
                <w:rFonts w:eastAsia="Times New Roman" w:cs="Calibri"/>
                <w:b/>
                <w:bCs/>
                <w:color w:val="000000"/>
                <w:kern w:val="0"/>
              </w:rPr>
              <w:t>May 2020 CDR values for 2024 study year</w:t>
            </w:r>
          </w:p>
        </w:tc>
        <w:tc>
          <w:tcPr>
            <w:tcW w:w="2250" w:type="dxa"/>
            <w:tcBorders>
              <w:top w:val="nil"/>
              <w:left w:val="nil"/>
              <w:bottom w:val="nil"/>
              <w:right w:val="nil"/>
            </w:tcBorders>
            <w:vAlign w:val="center"/>
          </w:tcPr>
          <w:p w14:paraId="736D0C28" w14:textId="4BB069F4" w:rsidR="00A8641A" w:rsidRPr="00A8641A" w:rsidRDefault="00BD38B6" w:rsidP="00BD38B6">
            <w:pPr>
              <w:spacing w:after="0" w:line="240" w:lineRule="auto"/>
              <w:jc w:val="center"/>
              <w:rPr>
                <w:rFonts w:eastAsia="Times New Roman" w:cs="Calibri"/>
                <w:b/>
                <w:bCs/>
                <w:color w:val="000000"/>
                <w:kern w:val="0"/>
              </w:rPr>
            </w:pPr>
            <w:r>
              <w:rPr>
                <w:rFonts w:eastAsia="Times New Roman" w:cs="Calibri"/>
                <w:b/>
                <w:bCs/>
                <w:color w:val="000000"/>
                <w:kern w:val="0"/>
              </w:rPr>
              <w:t>15 GW of new solar and 5 GW of new wind</w:t>
            </w:r>
          </w:p>
        </w:tc>
      </w:tr>
      <w:tr w:rsidR="00A8641A" w:rsidRPr="00A8641A" w14:paraId="0F159ACA" w14:textId="686BCC8E" w:rsidTr="00C50581">
        <w:trPr>
          <w:trHeight w:val="315"/>
        </w:trPr>
        <w:tc>
          <w:tcPr>
            <w:tcW w:w="3060" w:type="dxa"/>
            <w:tcBorders>
              <w:top w:val="nil"/>
              <w:left w:val="nil"/>
              <w:bottom w:val="single" w:sz="8" w:space="0" w:color="auto"/>
              <w:right w:val="nil"/>
            </w:tcBorders>
            <w:shd w:val="clear" w:color="auto" w:fill="D9D9D9" w:themeFill="background1" w:themeFillShade="D9"/>
            <w:noWrap/>
            <w:vAlign w:val="center"/>
            <w:hideMark/>
          </w:tcPr>
          <w:p w14:paraId="5C73B032" w14:textId="1410C037" w:rsidR="00A8641A" w:rsidRPr="00A8641A" w:rsidRDefault="004A6654" w:rsidP="00BD38B6">
            <w:pPr>
              <w:spacing w:after="0" w:line="240" w:lineRule="auto"/>
              <w:jc w:val="center"/>
              <w:rPr>
                <w:rFonts w:eastAsia="Times New Roman" w:cs="Calibri"/>
                <w:b/>
                <w:bCs/>
                <w:color w:val="000000"/>
                <w:kern w:val="0"/>
              </w:rPr>
            </w:pPr>
            <w:r>
              <w:rPr>
                <w:rFonts w:eastAsia="Times New Roman" w:cs="Calibri"/>
                <w:b/>
                <w:bCs/>
                <w:color w:val="000000"/>
                <w:kern w:val="0"/>
              </w:rPr>
              <w:t xml:space="preserve">Lower </w:t>
            </w:r>
            <w:r w:rsidR="00A8641A" w:rsidRPr="00A8641A">
              <w:rPr>
                <w:rFonts w:eastAsia="Times New Roman" w:cs="Calibri"/>
                <w:b/>
                <w:bCs/>
                <w:color w:val="000000"/>
                <w:kern w:val="0"/>
              </w:rPr>
              <w:t>EFOR</w:t>
            </w:r>
          </w:p>
        </w:tc>
        <w:tc>
          <w:tcPr>
            <w:tcW w:w="1890" w:type="dxa"/>
            <w:tcBorders>
              <w:top w:val="nil"/>
              <w:left w:val="nil"/>
              <w:bottom w:val="single" w:sz="8" w:space="0" w:color="auto"/>
              <w:right w:val="nil"/>
            </w:tcBorders>
            <w:shd w:val="clear" w:color="auto" w:fill="D9D9D9" w:themeFill="background1" w:themeFillShade="D9"/>
            <w:noWrap/>
            <w:vAlign w:val="center"/>
            <w:hideMark/>
          </w:tcPr>
          <w:p w14:paraId="5D3B4D65" w14:textId="59C7E91F" w:rsidR="00A8641A" w:rsidRPr="00A8641A" w:rsidRDefault="00A8641A" w:rsidP="00BD38B6">
            <w:pPr>
              <w:spacing w:after="0" w:line="240" w:lineRule="auto"/>
              <w:jc w:val="center"/>
              <w:rPr>
                <w:rFonts w:eastAsia="Times New Roman" w:cs="Calibri"/>
                <w:b/>
                <w:bCs/>
                <w:color w:val="000000"/>
                <w:kern w:val="0"/>
              </w:rPr>
            </w:pPr>
            <w:r w:rsidRPr="00A8641A">
              <w:rPr>
                <w:rFonts w:eastAsia="Times New Roman" w:cs="Calibri"/>
                <w:b/>
                <w:bCs/>
                <w:color w:val="000000"/>
                <w:kern w:val="0"/>
              </w:rPr>
              <w:t>1</w:t>
            </w:r>
            <w:r w:rsidR="001862E4">
              <w:rPr>
                <w:rFonts w:eastAsia="Times New Roman" w:cs="Calibri"/>
                <w:b/>
                <w:bCs/>
                <w:color w:val="000000"/>
                <w:kern w:val="0"/>
              </w:rPr>
              <w:t>1</w:t>
            </w:r>
            <w:r w:rsidRPr="00A8641A">
              <w:rPr>
                <w:rFonts w:eastAsia="Times New Roman" w:cs="Calibri"/>
                <w:b/>
                <w:bCs/>
                <w:color w:val="000000"/>
                <w:kern w:val="0"/>
              </w:rPr>
              <w:t>.25</w:t>
            </w:r>
          </w:p>
        </w:tc>
        <w:tc>
          <w:tcPr>
            <w:tcW w:w="2160" w:type="dxa"/>
            <w:tcBorders>
              <w:top w:val="nil"/>
              <w:left w:val="nil"/>
              <w:bottom w:val="single" w:sz="8" w:space="0" w:color="auto"/>
              <w:right w:val="nil"/>
            </w:tcBorders>
            <w:shd w:val="clear" w:color="auto" w:fill="D9D9D9" w:themeFill="background1" w:themeFillShade="D9"/>
            <w:noWrap/>
            <w:vAlign w:val="center"/>
          </w:tcPr>
          <w:p w14:paraId="471516B9" w14:textId="63BA019E" w:rsidR="00A8641A" w:rsidRPr="00A8641A" w:rsidRDefault="00BD38B6" w:rsidP="00BD38B6">
            <w:pPr>
              <w:spacing w:after="0" w:line="240" w:lineRule="auto"/>
              <w:jc w:val="center"/>
              <w:rPr>
                <w:rFonts w:eastAsia="Times New Roman" w:cs="Calibri"/>
                <w:b/>
                <w:bCs/>
                <w:color w:val="000000"/>
                <w:kern w:val="0"/>
              </w:rPr>
            </w:pPr>
            <w:r>
              <w:rPr>
                <w:rFonts w:eastAsia="Times New Roman" w:cs="Calibri"/>
                <w:b/>
                <w:bCs/>
                <w:color w:val="000000"/>
                <w:kern w:val="0"/>
              </w:rPr>
              <w:t>Last 3 years to populate outage rates for all units</w:t>
            </w:r>
          </w:p>
        </w:tc>
        <w:tc>
          <w:tcPr>
            <w:tcW w:w="2250" w:type="dxa"/>
            <w:tcBorders>
              <w:top w:val="nil"/>
              <w:left w:val="nil"/>
              <w:bottom w:val="single" w:sz="8" w:space="0" w:color="auto"/>
              <w:right w:val="nil"/>
            </w:tcBorders>
            <w:shd w:val="clear" w:color="auto" w:fill="D9D9D9" w:themeFill="background1" w:themeFillShade="D9"/>
            <w:vAlign w:val="center"/>
          </w:tcPr>
          <w:p w14:paraId="0A935CE6" w14:textId="5E3062FA" w:rsidR="00A8641A" w:rsidRPr="00A8641A" w:rsidRDefault="00BD38B6" w:rsidP="00BD38B6">
            <w:pPr>
              <w:spacing w:after="0" w:line="240" w:lineRule="auto"/>
              <w:jc w:val="center"/>
              <w:rPr>
                <w:rFonts w:eastAsia="Times New Roman" w:cs="Calibri"/>
                <w:b/>
                <w:bCs/>
                <w:color w:val="000000"/>
                <w:kern w:val="0"/>
              </w:rPr>
            </w:pPr>
            <w:r>
              <w:rPr>
                <w:rFonts w:eastAsia="Times New Roman" w:cs="Calibri"/>
                <w:b/>
                <w:bCs/>
                <w:color w:val="000000"/>
                <w:kern w:val="0"/>
              </w:rPr>
              <w:t>2018 study class average EFORs</w:t>
            </w:r>
          </w:p>
        </w:tc>
      </w:tr>
    </w:tbl>
    <w:p w14:paraId="46A209A9" w14:textId="2CE31332" w:rsidR="004B58AD" w:rsidRPr="000F0C8B" w:rsidRDefault="004B58AD" w:rsidP="000F0C8B">
      <w:pPr>
        <w:pStyle w:val="BGNotesFiguresTables"/>
        <w:ind w:left="720" w:right="720"/>
        <w:rPr>
          <w:i/>
          <w:color w:val="auto"/>
        </w:rPr>
      </w:pPr>
      <w:r w:rsidRPr="00BD38B6">
        <w:rPr>
          <w:i/>
          <w:color w:val="auto"/>
        </w:rPr>
        <w:t>Notes:</w:t>
      </w:r>
      <w:r w:rsidR="000F0C8B">
        <w:rPr>
          <w:i/>
          <w:color w:val="auto"/>
        </w:rPr>
        <w:t xml:space="preserve"> </w:t>
      </w:r>
      <w:r w:rsidRPr="00BD38B6">
        <w:rPr>
          <w:color w:val="auto"/>
        </w:rPr>
        <w:t xml:space="preserve">Varying the VOLL does not affect the MERM. </w:t>
      </w:r>
      <w:r>
        <w:br w:type="page"/>
      </w:r>
    </w:p>
    <w:p w14:paraId="515965F2" w14:textId="455F9370" w:rsidR="004B58AD" w:rsidRPr="00526044" w:rsidRDefault="004B58AD" w:rsidP="00FA0DFD">
      <w:pPr>
        <w:pStyle w:val="Heading1"/>
        <w:numPr>
          <w:ilvl w:val="0"/>
          <w:numId w:val="10"/>
        </w:numPr>
        <w:rPr>
          <w:sz w:val="28"/>
          <w:szCs w:val="28"/>
        </w:rPr>
      </w:pPr>
      <w:bookmarkStart w:id="290" w:name="_Toc526279123"/>
      <w:bookmarkStart w:id="291" w:name="_Toc526437275"/>
      <w:bookmarkStart w:id="292" w:name="_Toc526439918"/>
      <w:bookmarkStart w:id="293" w:name="_Toc526440028"/>
      <w:bookmarkStart w:id="294" w:name="_Toc532834305"/>
      <w:bookmarkStart w:id="295" w:name="_Toc57193578"/>
      <w:r w:rsidRPr="00526044">
        <w:rPr>
          <w:sz w:val="28"/>
          <w:szCs w:val="28"/>
        </w:rPr>
        <w:t>Discussion of Results</w:t>
      </w:r>
      <w:bookmarkEnd w:id="290"/>
      <w:bookmarkEnd w:id="291"/>
      <w:bookmarkEnd w:id="292"/>
      <w:bookmarkEnd w:id="293"/>
      <w:bookmarkEnd w:id="294"/>
      <w:bookmarkEnd w:id="295"/>
    </w:p>
    <w:p w14:paraId="009E9C2A" w14:textId="39AF43EF" w:rsidR="00D76DE9" w:rsidRDefault="00CF57C0" w:rsidP="008B0478">
      <w:pPr>
        <w:spacing w:before="300" w:line="300" w:lineRule="auto"/>
        <w:jc w:val="both"/>
      </w:pPr>
      <w:bookmarkStart w:id="296" w:name="_Toc525938062"/>
      <w:r>
        <w:t>As shown in Table 10, t</w:t>
      </w:r>
      <w:r w:rsidR="00217792">
        <w:t xml:space="preserve">he reported MERM from the 2018 study increased from 10.25% to 12.25%, but the increase is associated with forced outage rate changes and reserve margin reporting artifacts which do not translate to improvements in reliability. </w:t>
      </w:r>
      <w:r w:rsidR="00D76DE9">
        <w:t>The base case in this study</w:t>
      </w:r>
      <w:r w:rsidR="00217792">
        <w:t>, as in the 2018 study,</w:t>
      </w:r>
      <w:r w:rsidR="00D76DE9">
        <w:t xml:space="preserve"> projects 0.5 LOLE days per year, a level 5 times higher than the industry standard of 0.1 LOLE. If renewable deployments continue to increase to the level in the high renewable scenario analyzed, firm load shed frequency will rise 160% to 1.3 days per year.</w:t>
      </w:r>
      <w:r w:rsidR="00DB5319">
        <w:t xml:space="preserve"> This high renewable scenario demonstrates a MERM of 10.25%.</w:t>
      </w:r>
      <w:r w:rsidR="00D76DE9">
        <w:t xml:space="preserve"> Since further renewable penetration increases have a more dramatic impact on the shape of the net load curve, the impact on MERM will escalate</w:t>
      </w:r>
      <w:r w:rsidR="00DB5319">
        <w:t>, further reducing reserve margins and increasing the frequency of reliability events</w:t>
      </w:r>
      <w:r w:rsidR="00D76DE9">
        <w:t>.</w:t>
      </w:r>
    </w:p>
    <w:p w14:paraId="5A247139" w14:textId="7626C0C5" w:rsidR="004D238C" w:rsidRPr="00C50581" w:rsidRDefault="004D238C" w:rsidP="00CF57C0">
      <w:pPr>
        <w:pStyle w:val="Caption"/>
        <w:jc w:val="center"/>
        <w:rPr>
          <w:color w:val="auto"/>
        </w:rPr>
      </w:pPr>
      <w:r w:rsidRPr="00BD38B6">
        <w:rPr>
          <w:b/>
          <w:bCs/>
          <w:i w:val="0"/>
          <w:iCs w:val="0"/>
          <w:color w:val="auto"/>
          <w:sz w:val="22"/>
          <w:szCs w:val="22"/>
        </w:rPr>
        <w:t xml:space="preserve">Table </w:t>
      </w:r>
      <w:r w:rsidRPr="00BD38B6">
        <w:rPr>
          <w:b/>
          <w:bCs/>
          <w:i w:val="0"/>
          <w:iCs w:val="0"/>
          <w:noProof/>
          <w:color w:val="auto"/>
          <w:sz w:val="22"/>
          <w:szCs w:val="22"/>
        </w:rPr>
        <w:fldChar w:fldCharType="begin"/>
      </w:r>
      <w:r w:rsidRPr="00BD38B6">
        <w:rPr>
          <w:b/>
          <w:bCs/>
          <w:i w:val="0"/>
          <w:iCs w:val="0"/>
          <w:noProof/>
          <w:color w:val="auto"/>
          <w:sz w:val="22"/>
          <w:szCs w:val="22"/>
        </w:rPr>
        <w:instrText xml:space="preserve"> SEQ Table \* ARABIC </w:instrText>
      </w:r>
      <w:r w:rsidRPr="00BD38B6">
        <w:rPr>
          <w:b/>
          <w:bCs/>
          <w:i w:val="0"/>
          <w:iCs w:val="0"/>
          <w:noProof/>
          <w:color w:val="auto"/>
          <w:sz w:val="22"/>
          <w:szCs w:val="22"/>
        </w:rPr>
        <w:fldChar w:fldCharType="separate"/>
      </w:r>
      <w:r w:rsidR="00CF57C0">
        <w:rPr>
          <w:b/>
          <w:bCs/>
          <w:i w:val="0"/>
          <w:iCs w:val="0"/>
          <w:noProof/>
          <w:color w:val="auto"/>
          <w:sz w:val="22"/>
          <w:szCs w:val="22"/>
        </w:rPr>
        <w:t>10</w:t>
      </w:r>
      <w:r w:rsidRPr="00BD38B6">
        <w:rPr>
          <w:b/>
          <w:bCs/>
          <w:i w:val="0"/>
          <w:iCs w:val="0"/>
          <w:noProof/>
          <w:color w:val="auto"/>
          <w:sz w:val="22"/>
          <w:szCs w:val="22"/>
        </w:rPr>
        <w:fldChar w:fldCharType="end"/>
      </w:r>
      <w:r w:rsidRPr="00BD38B6">
        <w:rPr>
          <w:b/>
          <w:bCs/>
          <w:i w:val="0"/>
          <w:iCs w:val="0"/>
          <w:noProof/>
          <w:color w:val="auto"/>
          <w:sz w:val="22"/>
          <w:szCs w:val="22"/>
        </w:rPr>
        <w:t xml:space="preserve">. </w:t>
      </w:r>
      <w:r w:rsidR="007263BE">
        <w:rPr>
          <w:b/>
          <w:bCs/>
          <w:i w:val="0"/>
          <w:iCs w:val="0"/>
          <w:color w:val="auto"/>
          <w:sz w:val="22"/>
          <w:szCs w:val="22"/>
        </w:rPr>
        <w:t>MERM and Reliability Comparison Between Scenarios</w:t>
      </w:r>
      <w:r w:rsidRPr="00BD38B6">
        <w:rPr>
          <w:color w:val="auto"/>
        </w:rPr>
        <w:t xml:space="preserve"> </w:t>
      </w:r>
    </w:p>
    <w:tbl>
      <w:tblPr>
        <w:tblStyle w:val="TableGrid"/>
        <w:tblW w:w="0" w:type="auto"/>
        <w:tblInd w:w="4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340"/>
        <w:gridCol w:w="2610"/>
      </w:tblGrid>
      <w:tr w:rsidR="000C1C90" w14:paraId="15BB56DB" w14:textId="77777777" w:rsidTr="008B0478">
        <w:tc>
          <w:tcPr>
            <w:tcW w:w="3060" w:type="dxa"/>
            <w:tcBorders>
              <w:top w:val="single" w:sz="4" w:space="0" w:color="auto"/>
              <w:bottom w:val="single" w:sz="4" w:space="0" w:color="auto"/>
            </w:tcBorders>
            <w:vAlign w:val="center"/>
          </w:tcPr>
          <w:p w14:paraId="29388AA3" w14:textId="72371412" w:rsidR="000C1C90" w:rsidRPr="00C50581" w:rsidRDefault="004D238C" w:rsidP="0009094A">
            <w:pPr>
              <w:spacing w:after="0"/>
              <w:jc w:val="center"/>
              <w:rPr>
                <w:b/>
                <w:bCs/>
              </w:rPr>
            </w:pPr>
            <w:r w:rsidRPr="00C50581">
              <w:rPr>
                <w:b/>
                <w:bCs/>
              </w:rPr>
              <w:t>Scenario</w:t>
            </w:r>
          </w:p>
        </w:tc>
        <w:tc>
          <w:tcPr>
            <w:tcW w:w="2340" w:type="dxa"/>
            <w:tcBorders>
              <w:top w:val="single" w:sz="4" w:space="0" w:color="auto"/>
              <w:bottom w:val="single" w:sz="4" w:space="0" w:color="auto"/>
            </w:tcBorders>
            <w:vAlign w:val="center"/>
          </w:tcPr>
          <w:p w14:paraId="792B574B" w14:textId="5A886014" w:rsidR="000C1C90" w:rsidRPr="00C50581" w:rsidRDefault="000C1C90" w:rsidP="00C50581">
            <w:pPr>
              <w:spacing w:after="0"/>
              <w:jc w:val="center"/>
              <w:rPr>
                <w:b/>
                <w:bCs/>
              </w:rPr>
            </w:pPr>
            <w:r w:rsidRPr="00C50581">
              <w:rPr>
                <w:b/>
                <w:bCs/>
              </w:rPr>
              <w:t>MERM</w:t>
            </w:r>
          </w:p>
        </w:tc>
        <w:tc>
          <w:tcPr>
            <w:tcW w:w="2610" w:type="dxa"/>
            <w:tcBorders>
              <w:top w:val="single" w:sz="4" w:space="0" w:color="auto"/>
              <w:bottom w:val="single" w:sz="4" w:space="0" w:color="auto"/>
            </w:tcBorders>
            <w:vAlign w:val="center"/>
          </w:tcPr>
          <w:p w14:paraId="0E545585" w14:textId="47BE2E8A" w:rsidR="004D238C" w:rsidRPr="00C50581" w:rsidRDefault="000C1C90" w:rsidP="00A663C5">
            <w:pPr>
              <w:spacing w:after="0"/>
              <w:jc w:val="center"/>
              <w:rPr>
                <w:b/>
                <w:bCs/>
              </w:rPr>
            </w:pPr>
            <w:r w:rsidRPr="00C50581">
              <w:rPr>
                <w:b/>
                <w:bCs/>
              </w:rPr>
              <w:t>Reliability at MERM</w:t>
            </w:r>
          </w:p>
          <w:p w14:paraId="0EC0CE69" w14:textId="709B3BDC" w:rsidR="000C1C90" w:rsidRPr="00C50581" w:rsidRDefault="000C1C90" w:rsidP="0098195C">
            <w:pPr>
              <w:spacing w:after="0"/>
              <w:jc w:val="center"/>
              <w:rPr>
                <w:b/>
                <w:bCs/>
              </w:rPr>
            </w:pPr>
            <w:r w:rsidRPr="00C50581">
              <w:rPr>
                <w:b/>
                <w:bCs/>
              </w:rPr>
              <w:t>(LOLE in Days per Year)</w:t>
            </w:r>
          </w:p>
        </w:tc>
      </w:tr>
      <w:tr w:rsidR="000C1C90" w14:paraId="171C9D61" w14:textId="77777777" w:rsidTr="008B0478">
        <w:tc>
          <w:tcPr>
            <w:tcW w:w="3060" w:type="dxa"/>
            <w:tcBorders>
              <w:top w:val="single" w:sz="4" w:space="0" w:color="auto"/>
            </w:tcBorders>
            <w:shd w:val="clear" w:color="auto" w:fill="D9D9D9" w:themeFill="background1" w:themeFillShade="D9"/>
            <w:vAlign w:val="center"/>
          </w:tcPr>
          <w:p w14:paraId="4EFFD8B0" w14:textId="1991ECE2" w:rsidR="000C1C90" w:rsidRDefault="000C1C90" w:rsidP="0009094A">
            <w:pPr>
              <w:spacing w:after="0"/>
              <w:jc w:val="center"/>
            </w:pPr>
            <w:r>
              <w:t>2018 Study</w:t>
            </w:r>
          </w:p>
        </w:tc>
        <w:tc>
          <w:tcPr>
            <w:tcW w:w="2340" w:type="dxa"/>
            <w:tcBorders>
              <w:top w:val="single" w:sz="4" w:space="0" w:color="auto"/>
            </w:tcBorders>
            <w:shd w:val="clear" w:color="auto" w:fill="D9D9D9" w:themeFill="background1" w:themeFillShade="D9"/>
            <w:vAlign w:val="center"/>
          </w:tcPr>
          <w:p w14:paraId="4828BC91" w14:textId="2278CF37" w:rsidR="000C1C90" w:rsidRDefault="000C1C90" w:rsidP="00C50581">
            <w:pPr>
              <w:spacing w:after="0"/>
              <w:jc w:val="center"/>
            </w:pPr>
            <w:r>
              <w:t>10.25%</w:t>
            </w:r>
          </w:p>
        </w:tc>
        <w:tc>
          <w:tcPr>
            <w:tcW w:w="2610" w:type="dxa"/>
            <w:tcBorders>
              <w:top w:val="single" w:sz="4" w:space="0" w:color="auto"/>
            </w:tcBorders>
            <w:shd w:val="clear" w:color="auto" w:fill="D9D9D9" w:themeFill="background1" w:themeFillShade="D9"/>
            <w:vAlign w:val="center"/>
          </w:tcPr>
          <w:p w14:paraId="5DD6DE57" w14:textId="2EFD175B" w:rsidR="000C1C90" w:rsidRDefault="004D238C" w:rsidP="00A663C5">
            <w:pPr>
              <w:spacing w:after="0"/>
              <w:jc w:val="center"/>
            </w:pPr>
            <w:r>
              <w:t>0</w:t>
            </w:r>
            <w:r w:rsidR="000C1C90">
              <w:t>.5</w:t>
            </w:r>
          </w:p>
        </w:tc>
      </w:tr>
      <w:tr w:rsidR="000C1C90" w14:paraId="744D2AEB" w14:textId="77777777" w:rsidTr="008B0478">
        <w:tc>
          <w:tcPr>
            <w:tcW w:w="3060" w:type="dxa"/>
            <w:vAlign w:val="center"/>
          </w:tcPr>
          <w:p w14:paraId="3FCE49B0" w14:textId="0D056430" w:rsidR="000C1C90" w:rsidRDefault="000C1C90" w:rsidP="0009094A">
            <w:pPr>
              <w:spacing w:after="0"/>
              <w:jc w:val="center"/>
            </w:pPr>
            <w:r>
              <w:t>2020 Study</w:t>
            </w:r>
          </w:p>
        </w:tc>
        <w:tc>
          <w:tcPr>
            <w:tcW w:w="2340" w:type="dxa"/>
            <w:vAlign w:val="center"/>
          </w:tcPr>
          <w:p w14:paraId="67EDA84C" w14:textId="11567297" w:rsidR="000C1C90" w:rsidRDefault="000C1C90" w:rsidP="00C50581">
            <w:pPr>
              <w:spacing w:after="0"/>
              <w:jc w:val="center"/>
            </w:pPr>
            <w:r>
              <w:t>12.25%</w:t>
            </w:r>
          </w:p>
        </w:tc>
        <w:tc>
          <w:tcPr>
            <w:tcW w:w="2610" w:type="dxa"/>
            <w:vAlign w:val="center"/>
          </w:tcPr>
          <w:p w14:paraId="235E50C4" w14:textId="3E75D86C" w:rsidR="000C1C90" w:rsidRDefault="004D238C" w:rsidP="00A663C5">
            <w:pPr>
              <w:spacing w:after="0"/>
              <w:jc w:val="center"/>
            </w:pPr>
            <w:r>
              <w:t>0</w:t>
            </w:r>
            <w:r w:rsidR="000C1C90">
              <w:t>.5</w:t>
            </w:r>
          </w:p>
        </w:tc>
      </w:tr>
      <w:tr w:rsidR="000C1C90" w14:paraId="21BE16C3" w14:textId="77777777" w:rsidTr="008B0478">
        <w:tc>
          <w:tcPr>
            <w:tcW w:w="3060" w:type="dxa"/>
            <w:shd w:val="clear" w:color="auto" w:fill="D9D9D9" w:themeFill="background1" w:themeFillShade="D9"/>
            <w:vAlign w:val="center"/>
          </w:tcPr>
          <w:p w14:paraId="29581C09" w14:textId="5BD03E23" w:rsidR="000C1C90" w:rsidRDefault="000C1C90" w:rsidP="0009094A">
            <w:pPr>
              <w:spacing w:after="0"/>
              <w:jc w:val="center"/>
            </w:pPr>
            <w:r>
              <w:t>2020 Study</w:t>
            </w:r>
            <w:r w:rsidR="00AD5F64">
              <w:t>,</w:t>
            </w:r>
            <w:r>
              <w:t xml:space="preserve"> High Renewable</w:t>
            </w:r>
          </w:p>
        </w:tc>
        <w:tc>
          <w:tcPr>
            <w:tcW w:w="2340" w:type="dxa"/>
            <w:shd w:val="clear" w:color="auto" w:fill="D9D9D9" w:themeFill="background1" w:themeFillShade="D9"/>
            <w:vAlign w:val="center"/>
          </w:tcPr>
          <w:p w14:paraId="34385645" w14:textId="09363003" w:rsidR="000C1C90" w:rsidRDefault="000C1C90" w:rsidP="00C50581">
            <w:pPr>
              <w:spacing w:after="0"/>
              <w:jc w:val="center"/>
            </w:pPr>
            <w:r>
              <w:t>10.25%</w:t>
            </w:r>
          </w:p>
        </w:tc>
        <w:tc>
          <w:tcPr>
            <w:tcW w:w="2610" w:type="dxa"/>
            <w:shd w:val="clear" w:color="auto" w:fill="D9D9D9" w:themeFill="background1" w:themeFillShade="D9"/>
            <w:vAlign w:val="center"/>
          </w:tcPr>
          <w:p w14:paraId="7052561A" w14:textId="34080733" w:rsidR="000C1C90" w:rsidRDefault="000C1C90" w:rsidP="00C50581">
            <w:pPr>
              <w:spacing w:after="0"/>
              <w:jc w:val="center"/>
            </w:pPr>
            <w:r>
              <w:t>1.3</w:t>
            </w:r>
          </w:p>
        </w:tc>
      </w:tr>
    </w:tbl>
    <w:p w14:paraId="1FA22369" w14:textId="6A738A1D" w:rsidR="00D76DE9" w:rsidRDefault="00AF58FB" w:rsidP="0009094A">
      <w:pPr>
        <w:spacing w:before="300" w:line="300" w:lineRule="auto"/>
        <w:jc w:val="both"/>
      </w:pPr>
      <w:r>
        <w:t>However, o</w:t>
      </w:r>
      <w:r w:rsidR="00D76DE9">
        <w:t>ther factors</w:t>
      </w:r>
      <w:r>
        <w:t>,</w:t>
      </w:r>
      <w:r w:rsidR="00D76DE9">
        <w:t xml:space="preserve"> which have in recent history </w:t>
      </w:r>
      <w:r w:rsidR="00217792">
        <w:t xml:space="preserve">mostly </w:t>
      </w:r>
      <w:r w:rsidR="00D76DE9">
        <w:t>resulted in realized reserve margins in ERCOT above MERM</w:t>
      </w:r>
      <w:r>
        <w:t>,</w:t>
      </w:r>
      <w:r w:rsidR="00D76DE9">
        <w:t xml:space="preserve"> may continue to </w:t>
      </w:r>
      <w:r>
        <w:t>exert an influence on reserve margin levels</w:t>
      </w:r>
      <w:r w:rsidR="00D76DE9">
        <w:t>. Re</w:t>
      </w:r>
      <w:r w:rsidR="00217792">
        <w:t>newable resource</w:t>
      </w:r>
      <w:r w:rsidR="00C9580C">
        <w:t xml:space="preserve"> investments motivated by</w:t>
      </w:r>
      <w:r w:rsidR="00217792">
        <w:t xml:space="preserve"> alternate economic or other decision criteria have continued to be added at a pace </w:t>
      </w:r>
      <w:r w:rsidR="00C9580C">
        <w:t xml:space="preserve">that </w:t>
      </w:r>
      <w:r w:rsidR="00217792">
        <w:t xml:space="preserve">maintains a reserve margin above the market equilibrium even after economic retirements are accounted for. Storage deployment costs have dropped dramatically in recent years and after consideration of current and potential governmental incentives for storage devices, may support significant investment and result in </w:t>
      </w:r>
      <w:r w:rsidR="000C1C90">
        <w:t xml:space="preserve">the continuation of </w:t>
      </w:r>
      <w:r w:rsidR="00217792">
        <w:t xml:space="preserve">reserve margins </w:t>
      </w:r>
      <w:r w:rsidR="00C9580C">
        <w:t xml:space="preserve">that </w:t>
      </w:r>
      <w:r w:rsidR="00217792">
        <w:t xml:space="preserve">support high levels of reliability. </w:t>
      </w:r>
      <w:r w:rsidR="00DB5319">
        <w:t>However, the design of an energy</w:t>
      </w:r>
      <w:r w:rsidR="00C9580C">
        <w:t>-</w:t>
      </w:r>
      <w:r w:rsidR="00DB5319">
        <w:t>only market does not inherently protect system reliability</w:t>
      </w:r>
      <w:r w:rsidR="000C1C90">
        <w:t xml:space="preserve">. Future reserve margin studies will continue to analyze the implications of not only marginal conventional technology, but also the interactions of all resource classes and other market conditions </w:t>
      </w:r>
      <w:r w:rsidR="00C9580C">
        <w:t xml:space="preserve">that </w:t>
      </w:r>
      <w:r w:rsidR="000C1C90">
        <w:t>may result in realized reliability higher than projected by MERM.</w:t>
      </w:r>
    </w:p>
    <w:p w14:paraId="2BD0D2B8" w14:textId="6D865831" w:rsidR="00D76DE9" w:rsidRDefault="000C1C90" w:rsidP="00C50581">
      <w:pPr>
        <w:spacing w:before="300" w:line="300" w:lineRule="auto"/>
        <w:jc w:val="both"/>
      </w:pPr>
      <w:r>
        <w:t xml:space="preserve">In addition to highlighting the potential market and reliability outcomes of the ERCOT system, this report has </w:t>
      </w:r>
      <w:r w:rsidR="008D425C">
        <w:t>provided information on the impact of</w:t>
      </w:r>
      <w:r>
        <w:t xml:space="preserve"> </w:t>
      </w:r>
      <w:r w:rsidR="001E3F85">
        <w:t xml:space="preserve">accounting treatment of renewable resources. While the reserve margin is primarily only a reporting </w:t>
      </w:r>
      <w:r w:rsidR="00C9580C">
        <w:t>indicator</w:t>
      </w:r>
      <w:r w:rsidR="001E3F85">
        <w:t xml:space="preserve">, it can communicate the wrong message with respect to reliability if the disconnect between capacity credit and reliability contribution continues to grow. In fact, if current CDR accounting was applied to the high renewable scenario, the reported MERM would rise to </w:t>
      </w:r>
      <w:r w:rsidR="00CF57C0">
        <w:t>19.25</w:t>
      </w:r>
      <w:r w:rsidR="001E3F85">
        <w:t>%, even though the projected reliability for this scenario is 160% worse than that of the base case.</w:t>
      </w:r>
      <w:r w:rsidR="008D425C">
        <w:t xml:space="preserve"> In order to provide market participants with the most meaningful information, it is important that the reliability contribution</w:t>
      </w:r>
      <w:r w:rsidR="00197DD0">
        <w:t xml:space="preserve"> calculations</w:t>
      </w:r>
      <w:r w:rsidR="008D425C">
        <w:t xml:space="preserve"> and capacity accounting be synchronized.</w:t>
      </w:r>
    </w:p>
    <w:p w14:paraId="72E06E70" w14:textId="145B5280" w:rsidR="001E3F85" w:rsidRDefault="00197DD0" w:rsidP="00C50581">
      <w:pPr>
        <w:spacing w:before="300" w:line="300" w:lineRule="auto"/>
        <w:jc w:val="both"/>
      </w:pPr>
      <w:r>
        <w:t xml:space="preserve">The results presented throughout this report consider a range of possibilities for a number of uncertain </w:t>
      </w:r>
      <w:proofErr w:type="spellStart"/>
      <w:r>
        <w:t>variables.To</w:t>
      </w:r>
      <w:proofErr w:type="spellEnd"/>
      <w:r>
        <w:t xml:space="preserve"> the extent history provides guidance for the distribution of uncertainty, rigorous analysis was performed to quantify it. Load shapes, renewable </w:t>
      </w:r>
      <w:r w:rsidR="00032DED">
        <w:t xml:space="preserve">output </w:t>
      </w:r>
      <w:r>
        <w:t xml:space="preserve">profiles, and generator outages all have histories that give reasonable representations for how the future may materialize. </w:t>
      </w:r>
      <w:r w:rsidR="00E77081">
        <w:t xml:space="preserve"> </w:t>
      </w:r>
    </w:p>
    <w:p w14:paraId="483A4975" w14:textId="77777777" w:rsidR="004B58AD" w:rsidRDefault="004B58AD" w:rsidP="00C50581">
      <w:pPr>
        <w:spacing w:before="300" w:line="300" w:lineRule="auto"/>
        <w:rPr>
          <w:rFonts w:ascii="Century Gothic" w:eastAsiaTheme="majorEastAsia" w:hAnsi="Century Gothic" w:cstheme="majorBidi"/>
          <w:b/>
          <w:bCs/>
          <w:color w:val="00467F"/>
          <w:sz w:val="28"/>
          <w:szCs w:val="28"/>
        </w:rPr>
      </w:pPr>
    </w:p>
    <w:p w14:paraId="65748D12" w14:textId="77777777" w:rsidR="00197DD0" w:rsidRDefault="00197DD0" w:rsidP="00C50581">
      <w:pPr>
        <w:spacing w:before="300" w:after="160" w:line="300" w:lineRule="auto"/>
        <w:rPr>
          <w:rFonts w:ascii="Century Gothic" w:eastAsiaTheme="majorEastAsia" w:hAnsi="Century Gothic" w:cstheme="majorBidi"/>
          <w:b/>
          <w:caps/>
          <w:color w:val="FFFFFF" w:themeColor="background1"/>
          <w:sz w:val="28"/>
          <w:szCs w:val="28"/>
        </w:rPr>
      </w:pPr>
      <w:bookmarkStart w:id="297" w:name="_Toc526279124"/>
      <w:bookmarkStart w:id="298" w:name="_Toc526437276"/>
      <w:bookmarkStart w:id="299" w:name="_Toc526439919"/>
      <w:bookmarkStart w:id="300" w:name="_Toc526440029"/>
      <w:bookmarkStart w:id="301" w:name="_Toc532834306"/>
      <w:r>
        <w:rPr>
          <w:sz w:val="28"/>
          <w:szCs w:val="28"/>
        </w:rPr>
        <w:br w:type="page"/>
      </w:r>
    </w:p>
    <w:p w14:paraId="2A3547BD" w14:textId="201BCC2D" w:rsidR="004B58AD" w:rsidRPr="00526044" w:rsidRDefault="004B58AD" w:rsidP="004B58AD">
      <w:pPr>
        <w:pStyle w:val="Heading1"/>
        <w:rPr>
          <w:sz w:val="28"/>
          <w:szCs w:val="28"/>
        </w:rPr>
      </w:pPr>
      <w:bookmarkStart w:id="302" w:name="_Toc57193579"/>
      <w:r w:rsidRPr="00526044">
        <w:rPr>
          <w:sz w:val="28"/>
          <w:szCs w:val="28"/>
        </w:rPr>
        <w:t>List of Acronyms</w:t>
      </w:r>
      <w:bookmarkEnd w:id="209"/>
      <w:bookmarkEnd w:id="210"/>
      <w:bookmarkEnd w:id="296"/>
      <w:bookmarkEnd w:id="297"/>
      <w:bookmarkEnd w:id="298"/>
      <w:bookmarkEnd w:id="299"/>
      <w:bookmarkEnd w:id="300"/>
      <w:bookmarkEnd w:id="301"/>
      <w:bookmarkEnd w:id="302"/>
    </w:p>
    <w:p w14:paraId="4299E2B4" w14:textId="77777777" w:rsidR="008B0478" w:rsidRPr="008B0478" w:rsidRDefault="008B0478" w:rsidP="004B58AD">
      <w:pPr>
        <w:pStyle w:val="BGAcronymlist"/>
        <w:rPr>
          <w:rFonts w:ascii="Calibri" w:hAnsi="Calibri" w:cs="Calibri"/>
          <w:color w:val="auto"/>
          <w:sz w:val="14"/>
          <w:szCs w:val="14"/>
        </w:rPr>
      </w:pPr>
    </w:p>
    <w:p w14:paraId="08471664" w14:textId="4856BCE8"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4CP</w:t>
      </w:r>
      <w:r w:rsidRPr="00C50581">
        <w:rPr>
          <w:rFonts w:ascii="Calibri" w:hAnsi="Calibri" w:cs="Calibri"/>
          <w:color w:val="auto"/>
          <w:sz w:val="22"/>
          <w:szCs w:val="22"/>
        </w:rPr>
        <w:tab/>
        <w:t>Four Coincident Peak</w:t>
      </w:r>
    </w:p>
    <w:p w14:paraId="2A32AE54"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ATWACC</w:t>
      </w:r>
      <w:r w:rsidRPr="00C50581">
        <w:rPr>
          <w:rFonts w:ascii="Calibri" w:hAnsi="Calibri" w:cs="Calibri"/>
          <w:color w:val="auto"/>
          <w:sz w:val="22"/>
          <w:szCs w:val="22"/>
        </w:rPr>
        <w:tab/>
        <w:t>After-Tax Weighted Average Cost of Capital</w:t>
      </w:r>
    </w:p>
    <w:p w14:paraId="7556A899"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AEO</w:t>
      </w:r>
      <w:r w:rsidRPr="00C50581">
        <w:rPr>
          <w:rFonts w:ascii="Calibri" w:hAnsi="Calibri" w:cs="Calibri"/>
          <w:color w:val="auto"/>
          <w:sz w:val="22"/>
          <w:szCs w:val="22"/>
        </w:rPr>
        <w:tab/>
        <w:t>Annual Energy Outlook</w:t>
      </w:r>
    </w:p>
    <w:p w14:paraId="188EFEDA"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CC</w:t>
      </w:r>
      <w:r w:rsidRPr="00C50581">
        <w:rPr>
          <w:rFonts w:ascii="Calibri" w:hAnsi="Calibri" w:cs="Calibri"/>
          <w:color w:val="auto"/>
          <w:sz w:val="22"/>
          <w:szCs w:val="22"/>
        </w:rPr>
        <w:tab/>
        <w:t>Combined Cycle</w:t>
      </w:r>
    </w:p>
    <w:p w14:paraId="40D3C20B"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CDR</w:t>
      </w:r>
      <w:r w:rsidRPr="00C50581">
        <w:rPr>
          <w:rFonts w:ascii="Calibri" w:hAnsi="Calibri" w:cs="Calibri"/>
          <w:color w:val="auto"/>
          <w:sz w:val="22"/>
          <w:szCs w:val="22"/>
        </w:rPr>
        <w:tab/>
        <w:t>Capacity, Demand, and Reserves (report)</w:t>
      </w:r>
    </w:p>
    <w:p w14:paraId="16C7F977" w14:textId="5000EADC"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CONE</w:t>
      </w:r>
      <w:r w:rsidRPr="00C50581">
        <w:rPr>
          <w:rFonts w:ascii="Calibri" w:hAnsi="Calibri" w:cs="Calibri"/>
          <w:color w:val="auto"/>
          <w:sz w:val="22"/>
          <w:szCs w:val="22"/>
        </w:rPr>
        <w:tab/>
        <w:t>Cost of New Entry</w:t>
      </w:r>
      <w:r w:rsidR="000D61E5" w:rsidRPr="00C50581">
        <w:rPr>
          <w:rFonts w:ascii="Calibri" w:hAnsi="Calibri" w:cs="Calibri"/>
          <w:color w:val="auto"/>
          <w:sz w:val="22"/>
          <w:szCs w:val="22"/>
        </w:rPr>
        <w:t xml:space="preserve"> (Gross)</w:t>
      </w:r>
    </w:p>
    <w:p w14:paraId="10B9F910"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CT</w:t>
      </w:r>
      <w:r w:rsidRPr="00C50581">
        <w:rPr>
          <w:rFonts w:ascii="Calibri" w:hAnsi="Calibri" w:cs="Calibri"/>
          <w:color w:val="auto"/>
          <w:sz w:val="22"/>
          <w:szCs w:val="22"/>
        </w:rPr>
        <w:tab/>
        <w:t>Combustion Turbine</w:t>
      </w:r>
    </w:p>
    <w:p w14:paraId="4994A272"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EFOR</w:t>
      </w:r>
      <w:r w:rsidRPr="00C50581">
        <w:rPr>
          <w:rFonts w:ascii="Calibri" w:hAnsi="Calibri" w:cs="Calibri"/>
          <w:color w:val="auto"/>
          <w:sz w:val="22"/>
          <w:szCs w:val="22"/>
        </w:rPr>
        <w:tab/>
        <w:t>Equivalent Forced Outage Rate</w:t>
      </w:r>
    </w:p>
    <w:p w14:paraId="6628BBC4"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EE</w:t>
      </w:r>
      <w:r w:rsidRPr="00C50581">
        <w:rPr>
          <w:rFonts w:ascii="Calibri" w:hAnsi="Calibri" w:cs="Calibri"/>
          <w:color w:val="auto"/>
          <w:sz w:val="22"/>
          <w:szCs w:val="22"/>
        </w:rPr>
        <w:tab/>
        <w:t>Energy Efficiency</w:t>
      </w:r>
    </w:p>
    <w:p w14:paraId="43B82B90"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EORM</w:t>
      </w:r>
      <w:r w:rsidRPr="00C50581">
        <w:rPr>
          <w:rFonts w:ascii="Calibri" w:hAnsi="Calibri" w:cs="Calibri"/>
          <w:color w:val="auto"/>
          <w:sz w:val="22"/>
          <w:szCs w:val="22"/>
        </w:rPr>
        <w:tab/>
        <w:t>Economically Optimal Reserve Margin</w:t>
      </w:r>
    </w:p>
    <w:p w14:paraId="0B6C1998"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ERCOT</w:t>
      </w:r>
      <w:r w:rsidRPr="00C50581">
        <w:rPr>
          <w:rFonts w:ascii="Calibri" w:hAnsi="Calibri" w:cs="Calibri"/>
          <w:color w:val="auto"/>
          <w:sz w:val="22"/>
          <w:szCs w:val="22"/>
        </w:rPr>
        <w:tab/>
        <w:t>Electric Reliability Council of Texas</w:t>
      </w:r>
    </w:p>
    <w:p w14:paraId="4D1E8D5F"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ERS</w:t>
      </w:r>
      <w:r w:rsidRPr="00C50581">
        <w:rPr>
          <w:rFonts w:ascii="Calibri" w:hAnsi="Calibri" w:cs="Calibri"/>
          <w:color w:val="auto"/>
          <w:sz w:val="22"/>
          <w:szCs w:val="22"/>
        </w:rPr>
        <w:tab/>
        <w:t>Emergency Response Service</w:t>
      </w:r>
    </w:p>
    <w:p w14:paraId="28225559"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EUE</w:t>
      </w:r>
      <w:r w:rsidRPr="00C50581">
        <w:rPr>
          <w:rFonts w:ascii="Calibri" w:hAnsi="Calibri" w:cs="Calibri"/>
          <w:color w:val="auto"/>
          <w:sz w:val="22"/>
          <w:szCs w:val="22"/>
        </w:rPr>
        <w:tab/>
        <w:t>Expected Unserved Energy</w:t>
      </w:r>
    </w:p>
    <w:p w14:paraId="4830F705"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GADS</w:t>
      </w:r>
      <w:r w:rsidRPr="00C50581">
        <w:rPr>
          <w:rFonts w:ascii="Calibri" w:hAnsi="Calibri" w:cs="Calibri"/>
          <w:color w:val="auto"/>
          <w:sz w:val="22"/>
          <w:szCs w:val="22"/>
        </w:rPr>
        <w:tab/>
        <w:t>Generation Availability Data System</w:t>
      </w:r>
    </w:p>
    <w:p w14:paraId="13DE2895"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HCAP</w:t>
      </w:r>
      <w:r w:rsidRPr="00C50581">
        <w:rPr>
          <w:rFonts w:ascii="Calibri" w:hAnsi="Calibri" w:cs="Calibri"/>
          <w:color w:val="auto"/>
          <w:sz w:val="22"/>
          <w:szCs w:val="22"/>
        </w:rPr>
        <w:tab/>
        <w:t>High System-Wide Offer Cap</w:t>
      </w:r>
    </w:p>
    <w:p w14:paraId="4CC79AB2"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HVDC</w:t>
      </w:r>
      <w:r w:rsidRPr="00C50581">
        <w:rPr>
          <w:rFonts w:ascii="Calibri" w:hAnsi="Calibri" w:cs="Calibri"/>
          <w:color w:val="auto"/>
          <w:sz w:val="22"/>
          <w:szCs w:val="22"/>
        </w:rPr>
        <w:tab/>
        <w:t>High Voltage Direct Current</w:t>
      </w:r>
    </w:p>
    <w:p w14:paraId="20866BD8"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LCAP</w:t>
      </w:r>
      <w:r w:rsidRPr="00C50581">
        <w:rPr>
          <w:rFonts w:ascii="Calibri" w:hAnsi="Calibri" w:cs="Calibri"/>
          <w:color w:val="auto"/>
          <w:sz w:val="22"/>
          <w:szCs w:val="22"/>
        </w:rPr>
        <w:tab/>
        <w:t>Low System-Wide Offer Cap</w:t>
      </w:r>
    </w:p>
    <w:p w14:paraId="5FE3F464"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LFE</w:t>
      </w:r>
      <w:r w:rsidRPr="00C50581">
        <w:rPr>
          <w:rFonts w:ascii="Calibri" w:hAnsi="Calibri" w:cs="Calibri"/>
          <w:color w:val="auto"/>
          <w:sz w:val="22"/>
          <w:szCs w:val="22"/>
        </w:rPr>
        <w:tab/>
        <w:t>Load Forecast Error</w:t>
      </w:r>
    </w:p>
    <w:p w14:paraId="47237FA3"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LTRA</w:t>
      </w:r>
      <w:r w:rsidRPr="00C50581">
        <w:rPr>
          <w:rFonts w:ascii="Calibri" w:hAnsi="Calibri" w:cs="Calibri"/>
          <w:color w:val="auto"/>
          <w:sz w:val="22"/>
          <w:szCs w:val="22"/>
        </w:rPr>
        <w:tab/>
        <w:t>Long-Term Reliability Assessment</w:t>
      </w:r>
    </w:p>
    <w:p w14:paraId="37E46BDA"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LOL</w:t>
      </w:r>
      <w:r w:rsidRPr="00C50581">
        <w:rPr>
          <w:rFonts w:ascii="Calibri" w:hAnsi="Calibri" w:cs="Calibri"/>
          <w:color w:val="auto"/>
          <w:sz w:val="22"/>
          <w:szCs w:val="22"/>
        </w:rPr>
        <w:tab/>
        <w:t>Loss-of-Load</w:t>
      </w:r>
    </w:p>
    <w:p w14:paraId="510A69A7"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LOLE</w:t>
      </w:r>
      <w:r w:rsidRPr="00C50581">
        <w:rPr>
          <w:rFonts w:ascii="Calibri" w:hAnsi="Calibri" w:cs="Calibri"/>
          <w:color w:val="auto"/>
          <w:sz w:val="22"/>
          <w:szCs w:val="22"/>
        </w:rPr>
        <w:tab/>
        <w:t>Loss-of-Load Event</w:t>
      </w:r>
    </w:p>
    <w:p w14:paraId="1784153F"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LOLH</w:t>
      </w:r>
      <w:r w:rsidRPr="00C50581">
        <w:rPr>
          <w:rFonts w:ascii="Calibri" w:hAnsi="Calibri" w:cs="Calibri"/>
          <w:color w:val="auto"/>
          <w:sz w:val="22"/>
          <w:szCs w:val="22"/>
        </w:rPr>
        <w:tab/>
        <w:t>Loss-of-Load Hour</w:t>
      </w:r>
    </w:p>
    <w:p w14:paraId="412FC2BD"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LOLP</w:t>
      </w:r>
      <w:r w:rsidRPr="00C50581">
        <w:rPr>
          <w:rFonts w:ascii="Calibri" w:hAnsi="Calibri" w:cs="Calibri"/>
          <w:color w:val="auto"/>
          <w:sz w:val="22"/>
          <w:szCs w:val="22"/>
        </w:rPr>
        <w:tab/>
        <w:t>Loss of Load Probability</w:t>
      </w:r>
    </w:p>
    <w:p w14:paraId="604EB6FB"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LRs</w:t>
      </w:r>
      <w:r w:rsidRPr="00C50581">
        <w:rPr>
          <w:rFonts w:ascii="Calibri" w:hAnsi="Calibri" w:cs="Calibri"/>
          <w:color w:val="auto"/>
          <w:sz w:val="22"/>
          <w:szCs w:val="22"/>
        </w:rPr>
        <w:tab/>
        <w:t>Load Resources</w:t>
      </w:r>
    </w:p>
    <w:p w14:paraId="46CEB1B8"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MERM</w:t>
      </w:r>
      <w:r w:rsidRPr="00C50581">
        <w:rPr>
          <w:rFonts w:ascii="Calibri" w:hAnsi="Calibri" w:cs="Calibri"/>
          <w:color w:val="auto"/>
          <w:sz w:val="22"/>
          <w:szCs w:val="22"/>
        </w:rPr>
        <w:tab/>
        <w:t>Market Equilibrium Reserve Margin</w:t>
      </w:r>
    </w:p>
    <w:p w14:paraId="0284C753"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NERC</w:t>
      </w:r>
      <w:r w:rsidRPr="00C50581">
        <w:rPr>
          <w:rFonts w:ascii="Calibri" w:hAnsi="Calibri" w:cs="Calibri"/>
          <w:color w:val="auto"/>
          <w:sz w:val="22"/>
          <w:szCs w:val="22"/>
        </w:rPr>
        <w:tab/>
        <w:t>North American Electric Reliability Corporation</w:t>
      </w:r>
    </w:p>
    <w:p w14:paraId="3ADF68B6"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ORDC</w:t>
      </w:r>
      <w:r w:rsidRPr="00C50581">
        <w:rPr>
          <w:rFonts w:ascii="Calibri" w:hAnsi="Calibri" w:cs="Calibri"/>
          <w:color w:val="auto"/>
          <w:sz w:val="22"/>
          <w:szCs w:val="22"/>
        </w:rPr>
        <w:tab/>
        <w:t>Operating Reserve Demand Curve</w:t>
      </w:r>
    </w:p>
    <w:p w14:paraId="27C0D262"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PBPC</w:t>
      </w:r>
      <w:r w:rsidRPr="00C50581">
        <w:rPr>
          <w:rFonts w:ascii="Calibri" w:hAnsi="Calibri" w:cs="Calibri"/>
          <w:color w:val="auto"/>
          <w:sz w:val="22"/>
          <w:szCs w:val="22"/>
        </w:rPr>
        <w:tab/>
        <w:t>Power Balance Penalty Curve</w:t>
      </w:r>
    </w:p>
    <w:p w14:paraId="2B53AFED"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PNM</w:t>
      </w:r>
      <w:r w:rsidRPr="00C50581">
        <w:rPr>
          <w:rFonts w:ascii="Calibri" w:hAnsi="Calibri" w:cs="Calibri"/>
          <w:color w:val="auto"/>
          <w:sz w:val="22"/>
          <w:szCs w:val="22"/>
        </w:rPr>
        <w:tab/>
        <w:t>Peaker Net Margin</w:t>
      </w:r>
    </w:p>
    <w:p w14:paraId="4490E506"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PRD</w:t>
      </w:r>
      <w:r w:rsidRPr="00C50581">
        <w:rPr>
          <w:rFonts w:ascii="Calibri" w:hAnsi="Calibri" w:cs="Calibri"/>
          <w:color w:val="auto"/>
          <w:sz w:val="22"/>
          <w:szCs w:val="22"/>
        </w:rPr>
        <w:tab/>
        <w:t>Price Responsive Demand</w:t>
      </w:r>
    </w:p>
    <w:p w14:paraId="05AEED6D"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PUCT</w:t>
      </w:r>
      <w:r w:rsidRPr="00C50581">
        <w:rPr>
          <w:rFonts w:ascii="Calibri" w:hAnsi="Calibri" w:cs="Calibri"/>
          <w:color w:val="auto"/>
          <w:sz w:val="22"/>
          <w:szCs w:val="22"/>
        </w:rPr>
        <w:tab/>
        <w:t>Public Utility Commission of Texas</w:t>
      </w:r>
    </w:p>
    <w:p w14:paraId="22D724B3"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PUN</w:t>
      </w:r>
      <w:r w:rsidRPr="00C50581">
        <w:rPr>
          <w:rFonts w:ascii="Calibri" w:hAnsi="Calibri" w:cs="Calibri"/>
          <w:color w:val="auto"/>
          <w:sz w:val="22"/>
          <w:szCs w:val="22"/>
        </w:rPr>
        <w:tab/>
        <w:t>Private Use Network</w:t>
      </w:r>
    </w:p>
    <w:p w14:paraId="32A7A00D"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RRS</w:t>
      </w:r>
      <w:r w:rsidRPr="00C50581">
        <w:rPr>
          <w:rFonts w:ascii="Calibri" w:hAnsi="Calibri" w:cs="Calibri"/>
          <w:color w:val="auto"/>
          <w:sz w:val="22"/>
          <w:szCs w:val="22"/>
        </w:rPr>
        <w:tab/>
        <w:t>Responsive Reserve Service</w:t>
      </w:r>
    </w:p>
    <w:p w14:paraId="0417B512"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 xml:space="preserve">SCED </w:t>
      </w:r>
      <w:r w:rsidRPr="00C50581">
        <w:rPr>
          <w:rFonts w:ascii="Calibri" w:hAnsi="Calibri" w:cs="Calibri"/>
          <w:color w:val="auto"/>
          <w:sz w:val="22"/>
          <w:szCs w:val="22"/>
        </w:rPr>
        <w:tab/>
        <w:t>Security Constrained Economic Dispatch</w:t>
      </w:r>
    </w:p>
    <w:p w14:paraId="1C8A3720"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SERVM</w:t>
      </w:r>
      <w:r w:rsidRPr="00C50581">
        <w:rPr>
          <w:rFonts w:ascii="Calibri" w:hAnsi="Calibri" w:cs="Calibri"/>
          <w:color w:val="auto"/>
          <w:sz w:val="22"/>
          <w:szCs w:val="22"/>
        </w:rPr>
        <w:tab/>
        <w:t>Strategic Energy Risk Valuation Model</w:t>
      </w:r>
    </w:p>
    <w:p w14:paraId="7D719A51"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SWOC</w:t>
      </w:r>
      <w:r w:rsidRPr="00C50581">
        <w:rPr>
          <w:rFonts w:ascii="Calibri" w:hAnsi="Calibri" w:cs="Calibri"/>
          <w:color w:val="auto"/>
          <w:sz w:val="22"/>
          <w:szCs w:val="22"/>
        </w:rPr>
        <w:tab/>
        <w:t>System-Wide Offer Cap</w:t>
      </w:r>
    </w:p>
    <w:p w14:paraId="0A3A1183"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TDSP</w:t>
      </w:r>
      <w:r w:rsidRPr="00C50581">
        <w:rPr>
          <w:rFonts w:ascii="Calibri" w:hAnsi="Calibri" w:cs="Calibri"/>
          <w:color w:val="auto"/>
          <w:sz w:val="22"/>
          <w:szCs w:val="22"/>
        </w:rPr>
        <w:tab/>
        <w:t>Transmission/Distribution Service Providers</w:t>
      </w:r>
    </w:p>
    <w:p w14:paraId="70BE7A45"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VOLL</w:t>
      </w:r>
      <w:r w:rsidRPr="00C50581">
        <w:rPr>
          <w:rFonts w:ascii="Calibri" w:hAnsi="Calibri" w:cs="Calibri"/>
          <w:color w:val="auto"/>
          <w:sz w:val="22"/>
          <w:szCs w:val="22"/>
        </w:rPr>
        <w:tab/>
        <w:t>Value of Lost Load</w:t>
      </w:r>
    </w:p>
    <w:p w14:paraId="5665A54C" w14:textId="77777777" w:rsidR="004B58AD" w:rsidRPr="00C50581" w:rsidRDefault="004B58AD" w:rsidP="004B58AD">
      <w:pPr>
        <w:pStyle w:val="BGAcronymlist"/>
        <w:rPr>
          <w:rFonts w:ascii="Calibri" w:hAnsi="Calibri" w:cs="Calibri"/>
          <w:color w:val="auto"/>
          <w:sz w:val="22"/>
          <w:szCs w:val="22"/>
        </w:rPr>
      </w:pPr>
      <w:r w:rsidRPr="00C50581">
        <w:rPr>
          <w:rFonts w:ascii="Calibri" w:hAnsi="Calibri" w:cs="Calibri"/>
          <w:color w:val="auto"/>
          <w:sz w:val="22"/>
          <w:szCs w:val="22"/>
        </w:rPr>
        <w:t>VOM</w:t>
      </w:r>
      <w:r w:rsidRPr="00C50581">
        <w:rPr>
          <w:rFonts w:ascii="Calibri" w:hAnsi="Calibri" w:cs="Calibri"/>
          <w:color w:val="auto"/>
          <w:sz w:val="22"/>
          <w:szCs w:val="22"/>
        </w:rPr>
        <w:tab/>
        <w:t>Variable Operations and Maintenance</w:t>
      </w:r>
    </w:p>
    <w:p w14:paraId="148334BF" w14:textId="77777777" w:rsidR="004B58AD" w:rsidRPr="00132D4F" w:rsidRDefault="004B58AD" w:rsidP="004B58AD">
      <w:pPr>
        <w:pStyle w:val="BGAcronymlist"/>
        <w:rPr>
          <w:rFonts w:ascii="Calibri" w:hAnsi="Calibri" w:cs="Calibri"/>
          <w:color w:val="C00000"/>
          <w:sz w:val="22"/>
          <w:szCs w:val="22"/>
        </w:rPr>
      </w:pPr>
    </w:p>
    <w:p w14:paraId="088B3897" w14:textId="77777777" w:rsidR="004B58AD" w:rsidRPr="00D857A9" w:rsidRDefault="004B58AD" w:rsidP="004B58AD">
      <w:pPr>
        <w:contextualSpacing/>
        <w:sectPr w:rsidR="004B58AD" w:rsidRPr="00D857A9" w:rsidSect="004B58AD">
          <w:headerReference w:type="even" r:id="rId38"/>
          <w:headerReference w:type="default" r:id="rId39"/>
          <w:footerReference w:type="even" r:id="rId40"/>
          <w:footerReference w:type="default" r:id="rId41"/>
          <w:headerReference w:type="first" r:id="rId42"/>
          <w:footerReference w:type="first" r:id="rId43"/>
          <w:pgSz w:w="12240" w:h="15840" w:code="1"/>
          <w:pgMar w:top="1440" w:right="1440" w:bottom="1152" w:left="1440" w:header="720" w:footer="504" w:gutter="0"/>
          <w:cols w:space="720"/>
          <w:docGrid w:linePitch="326"/>
        </w:sectPr>
      </w:pPr>
    </w:p>
    <w:p w14:paraId="6006AAFB" w14:textId="77777777" w:rsidR="004B58AD" w:rsidRPr="00526044" w:rsidRDefault="004B58AD" w:rsidP="000F0C8B">
      <w:pPr>
        <w:pStyle w:val="Heading1"/>
        <w:spacing w:before="0"/>
        <w:rPr>
          <w:sz w:val="28"/>
          <w:szCs w:val="28"/>
        </w:rPr>
      </w:pPr>
      <w:bookmarkStart w:id="303" w:name="_Toc525079605"/>
      <w:bookmarkStart w:id="304" w:name="_Toc525851032"/>
      <w:bookmarkStart w:id="305" w:name="_Toc525938063"/>
      <w:bookmarkStart w:id="306" w:name="_Toc526279125"/>
      <w:bookmarkStart w:id="307" w:name="_Toc526437277"/>
      <w:bookmarkStart w:id="308" w:name="_Toc526439920"/>
      <w:bookmarkStart w:id="309" w:name="_Toc526440030"/>
      <w:bookmarkStart w:id="310" w:name="_Toc532834307"/>
      <w:bookmarkStart w:id="311" w:name="_Toc57193580"/>
      <w:r w:rsidRPr="00526044">
        <w:rPr>
          <w:sz w:val="28"/>
          <w:szCs w:val="28"/>
        </w:rPr>
        <w:t>Bibliography</w:t>
      </w:r>
      <w:bookmarkEnd w:id="303"/>
      <w:bookmarkEnd w:id="304"/>
      <w:bookmarkEnd w:id="305"/>
      <w:bookmarkEnd w:id="306"/>
      <w:bookmarkEnd w:id="307"/>
      <w:bookmarkEnd w:id="308"/>
      <w:bookmarkEnd w:id="309"/>
      <w:bookmarkEnd w:id="310"/>
      <w:bookmarkEnd w:id="311"/>
    </w:p>
    <w:p w14:paraId="019DE28C" w14:textId="77777777" w:rsidR="00AA7F32" w:rsidRPr="00AA7F32" w:rsidRDefault="00AA7F32" w:rsidP="00AA7F32">
      <w:pPr>
        <w:spacing w:before="160" w:after="0" w:line="240" w:lineRule="auto"/>
        <w:ind w:left="720" w:hanging="720"/>
        <w:rPr>
          <w:rFonts w:eastAsia="Calibri" w:cs="Calibri"/>
          <w:kern w:val="0"/>
        </w:rPr>
      </w:pPr>
      <w:bookmarkStart w:id="312" w:name="_Hlk56777649"/>
      <w:r w:rsidRPr="00AA7F32">
        <w:rPr>
          <w:rFonts w:eastAsia="Calibri" w:cs="Calibri"/>
          <w:kern w:val="0"/>
        </w:rPr>
        <w:t xml:space="preserve">Astrapé Consulting (2020). SERVM Software: Strategic Energy &amp; Risk Valuation Model (SERVM).  (Astrapé, 2020) Available at </w:t>
      </w:r>
      <w:hyperlink r:id="rId44" w:history="1">
        <w:r w:rsidRPr="00AA7F32">
          <w:rPr>
            <w:rFonts w:eastAsia="Calibri" w:cs="Calibri"/>
            <w:kern w:val="0"/>
          </w:rPr>
          <w:t>http://www.Astrape.com/servm/</w:t>
        </w:r>
      </w:hyperlink>
      <w:r w:rsidRPr="00AA7F32">
        <w:rPr>
          <w:rFonts w:eastAsia="Calibri" w:cs="Calibri"/>
          <w:kern w:val="0"/>
        </w:rPr>
        <w:t xml:space="preserve"> </w:t>
      </w:r>
    </w:p>
    <w:p w14:paraId="2108D42D"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Carden, Pfeifenberger, and Wintermantel (2011). </w:t>
      </w:r>
      <w:r w:rsidRPr="00AA7F32">
        <w:rPr>
          <w:rFonts w:eastAsia="Calibri" w:cs="Calibri"/>
          <w:i/>
          <w:iCs/>
          <w:kern w:val="0"/>
        </w:rPr>
        <w:t>The Value of Resource Adequacy Why reserve margins aren’t just about keeping the lights on</w:t>
      </w:r>
      <w:r w:rsidRPr="00AA7F32">
        <w:rPr>
          <w:rFonts w:eastAsia="Calibri" w:cs="Calibri"/>
          <w:kern w:val="0"/>
        </w:rPr>
        <w:t xml:space="preserve">. March 2011. (Carden, Pfeifenberger, and Wintermantel, 2011) Available at </w:t>
      </w:r>
      <w:hyperlink r:id="rId45" w:history="1">
        <w:r w:rsidRPr="00AA7F32">
          <w:rPr>
            <w:rFonts w:eastAsia="Calibri" w:cs="Calibri"/>
            <w:kern w:val="0"/>
          </w:rPr>
          <w:t>http://www.astrape.com/?ddownload=271</w:t>
        </w:r>
      </w:hyperlink>
      <w:r w:rsidRPr="00AA7F32">
        <w:rPr>
          <w:rFonts w:eastAsia="Calibri" w:cs="Calibri"/>
          <w:kern w:val="0"/>
        </w:rPr>
        <w:t xml:space="preserve"> </w:t>
      </w:r>
    </w:p>
    <w:p w14:paraId="6AC0887B"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(2020a). </w:t>
      </w:r>
      <w:r w:rsidRPr="00AA7F32">
        <w:rPr>
          <w:rFonts w:eastAsia="Calibri" w:cs="Calibri"/>
          <w:i/>
          <w:kern w:val="0"/>
        </w:rPr>
        <w:t>Report on the Capacity, Demand and Reserves (CDR) in the ERCOT Region, 2021-2030</w:t>
      </w:r>
      <w:r w:rsidRPr="00AA7F32">
        <w:rPr>
          <w:rFonts w:eastAsia="Calibri" w:cs="Calibri"/>
          <w:kern w:val="0"/>
        </w:rPr>
        <w:t>, May 2020.  (ERCOT, 2020a) Available at</w:t>
      </w:r>
      <w:r w:rsidRPr="00AA7F32">
        <w:rPr>
          <w:rFonts w:eastAsia="Calibri" w:cs="Calibri"/>
          <w:i/>
          <w:kern w:val="0"/>
        </w:rPr>
        <w:t xml:space="preserve"> </w:t>
      </w:r>
      <w:r w:rsidRPr="00AA7F32">
        <w:rPr>
          <w:rFonts w:eastAsia="Calibri" w:cs="Calibri"/>
          <w:kern w:val="0"/>
        </w:rPr>
        <w:t>http://www.ercot.com/content/wcm/lists/197379/CapacityDemandandReserveReport_May2020.xlsx</w:t>
      </w:r>
    </w:p>
    <w:p w14:paraId="7740BC9F"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(2020b).  ERS Procurement Results. (ERCOT, 2020b)  Available at </w:t>
      </w:r>
      <w:hyperlink r:id="rId46" w:history="1">
        <w:r w:rsidRPr="00AA7F32">
          <w:rPr>
            <w:rFonts w:eastAsia="Calibri" w:cs="Calibri"/>
            <w:kern w:val="0"/>
          </w:rPr>
          <w:t>http://mis.ercot.com/misapp/GetReports.do?reportTypeId=11465&amp;reportTitle=ERS%20Procurement%20Results&amp;showHTMLView=&amp;mimicKey/</w:t>
        </w:r>
      </w:hyperlink>
    </w:p>
    <w:p w14:paraId="09911182"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(2020c).  </w:t>
      </w:r>
      <w:r w:rsidRPr="00AA7F32">
        <w:rPr>
          <w:rFonts w:eastAsia="Calibri" w:cs="Calibri"/>
          <w:i/>
          <w:kern w:val="0"/>
        </w:rPr>
        <w:t>Emergency Response Service Technical Requirements &amp; Scope of Work, June 1, 2020 through September 30, 2020</w:t>
      </w:r>
      <w:r w:rsidRPr="00AA7F32">
        <w:rPr>
          <w:rFonts w:eastAsia="Calibri" w:cs="Calibri"/>
          <w:kern w:val="0"/>
        </w:rPr>
        <w:t xml:space="preserve">. April 6, 2020.  (ERCOT, 2020c) Available at </w:t>
      </w:r>
      <w:hyperlink r:id="rId47" w:history="1">
        <w:r w:rsidRPr="00AA7F32">
          <w:rPr>
            <w:rFonts w:eastAsia="Calibri" w:cs="Calibri"/>
            <w:kern w:val="0"/>
          </w:rPr>
          <w:t>http://www.ercot.com/content/wcm/lists/89551/Technical_Requirements_draft_FINAL.docx</w:t>
        </w:r>
      </w:hyperlink>
    </w:p>
    <w:p w14:paraId="1D595184"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(2020d). </w:t>
      </w:r>
      <w:r w:rsidRPr="00AA7F32">
        <w:rPr>
          <w:rFonts w:eastAsia="Calibri" w:cs="Calibri"/>
          <w:i/>
          <w:kern w:val="0"/>
        </w:rPr>
        <w:t>ERCOT Nodal Protocols.</w:t>
      </w:r>
      <w:r w:rsidRPr="00AA7F32">
        <w:rPr>
          <w:rFonts w:eastAsia="Calibri" w:cs="Calibri"/>
          <w:kern w:val="0"/>
        </w:rPr>
        <w:t xml:space="preserve"> September 2020. (ERCOT, 2020d) Available at </w:t>
      </w:r>
      <w:hyperlink r:id="rId48" w:history="1">
        <w:r w:rsidRPr="00AA7F32">
          <w:rPr>
            <w:rFonts w:eastAsia="Calibri" w:cs="Calibri"/>
            <w:kern w:val="0"/>
          </w:rPr>
          <w:t>http://www.ercot.com/content/wcm/libraries/212201/September_1__2020_Nodal_Protocols.pdf</w:t>
        </w:r>
      </w:hyperlink>
    </w:p>
    <w:p w14:paraId="0698EBA8"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Electric Reliability Council of Texas (ERCOT) (2020e).</w:t>
      </w:r>
      <w:r w:rsidRPr="00AA7F32">
        <w:rPr>
          <w:rFonts w:eastAsia="Calibri" w:cs="Calibri"/>
          <w:i/>
          <w:kern w:val="0"/>
        </w:rPr>
        <w:t xml:space="preserve"> ERCOT DC-Tie Operations, Version 3.0 Rev 13. </w:t>
      </w:r>
      <w:r w:rsidRPr="00AA7F32">
        <w:rPr>
          <w:rFonts w:eastAsia="Calibri" w:cs="Calibri"/>
          <w:kern w:val="0"/>
        </w:rPr>
        <w:t xml:space="preserve">July 31, 2020. (ERCOT, 2020e) Available at </w:t>
      </w:r>
      <w:hyperlink r:id="rId49" w:history="1">
        <w:r w:rsidRPr="00AA7F32">
          <w:rPr>
            <w:rFonts w:eastAsia="Calibri" w:cs="Calibri"/>
            <w:kern w:val="0"/>
          </w:rPr>
          <w:t>http://www.ercot.com/content/wcm/key_documents_lists/90055/ERCOT_DC_Tie_Operations_Document.docx</w:t>
        </w:r>
      </w:hyperlink>
    </w:p>
    <w:p w14:paraId="33953013"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(2020f). </w:t>
      </w:r>
      <w:r w:rsidRPr="00AA7F32">
        <w:rPr>
          <w:rFonts w:eastAsia="Calibri" w:cs="Calibri"/>
          <w:i/>
          <w:kern w:val="0"/>
        </w:rPr>
        <w:t>ERCOT Nodal Operating Guide.</w:t>
      </w:r>
      <w:r w:rsidRPr="00AA7F32">
        <w:rPr>
          <w:rFonts w:eastAsia="Calibri" w:cs="Calibri"/>
          <w:kern w:val="0"/>
        </w:rPr>
        <w:t xml:space="preserve"> July 2020. (ERCOT, 2020f) Available at </w:t>
      </w:r>
      <w:hyperlink r:id="rId50" w:history="1">
        <w:r w:rsidRPr="00AA7F32">
          <w:rPr>
            <w:rFonts w:eastAsia="Calibri" w:cs="Calibri"/>
            <w:kern w:val="0"/>
          </w:rPr>
          <w:t>http://www.ercot.com/mktrules/guides/noperating/current</w:t>
        </w:r>
      </w:hyperlink>
    </w:p>
    <w:p w14:paraId="353B2E78"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(2019a). </w:t>
      </w:r>
      <w:r w:rsidRPr="00AA7F32">
        <w:rPr>
          <w:rFonts w:eastAsia="Calibri" w:cs="Calibri"/>
          <w:i/>
          <w:kern w:val="0"/>
        </w:rPr>
        <w:t>2020 ERCOT System Planning Long-Term Hourly Peak Demand and Energy Forecast.</w:t>
      </w:r>
      <w:r w:rsidRPr="00AA7F32">
        <w:rPr>
          <w:rFonts w:eastAsia="Calibri" w:cs="Calibri"/>
          <w:kern w:val="0"/>
        </w:rPr>
        <w:t xml:space="preserve"> December 31, 2019.</w:t>
      </w:r>
      <w:r w:rsidRPr="00AA7F32">
        <w:rPr>
          <w:rFonts w:eastAsia="Calibri" w:cs="Calibri"/>
          <w:i/>
          <w:kern w:val="0"/>
        </w:rPr>
        <w:t xml:space="preserve"> </w:t>
      </w:r>
      <w:r w:rsidRPr="00AA7F32">
        <w:rPr>
          <w:rFonts w:eastAsia="Calibri" w:cs="Calibri"/>
          <w:kern w:val="0"/>
        </w:rPr>
        <w:t xml:space="preserve">(ERCOT, 2019a) Available at </w:t>
      </w:r>
      <w:hyperlink r:id="rId51" w:history="1">
        <w:r w:rsidRPr="00AA7F32">
          <w:rPr>
            <w:rFonts w:eastAsia="Calibri" w:cs="Calibri"/>
            <w:kern w:val="0"/>
          </w:rPr>
          <w:t>http://www.ercot.com/content/wcm/lists/196030/2020_LTLF_Report.pdf</w:t>
        </w:r>
      </w:hyperlink>
    </w:p>
    <w:p w14:paraId="3A727F72"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(2019b). </w:t>
      </w:r>
      <w:r w:rsidRPr="00AA7F32">
        <w:rPr>
          <w:rFonts w:eastAsia="Calibri" w:cs="Calibri"/>
          <w:i/>
          <w:kern w:val="0"/>
        </w:rPr>
        <w:t xml:space="preserve">Methodology for Setting Maximum Shadow Prices for Network and Power Balance Constraints. </w:t>
      </w:r>
      <w:r w:rsidRPr="00AA7F32">
        <w:rPr>
          <w:rFonts w:eastAsia="Calibri" w:cs="Calibri"/>
          <w:kern w:val="0"/>
        </w:rPr>
        <w:t xml:space="preserve">June 2019. (ERCOT, 2019b) Available at </w:t>
      </w:r>
      <w:hyperlink r:id="rId52" w:history="1">
        <w:r w:rsidRPr="00AA7F32">
          <w:rPr>
            <w:rFonts w:eastAsia="Calibri" w:cs="Calibri"/>
            <w:kern w:val="0"/>
          </w:rPr>
          <w:t>http://www.ercot.com/content/wcm/key_documents_lists/89286/Methodology_for_Setting_Maximum_Shadow_Prices_for_Network_and_Power_Balance_Constraints.zip</w:t>
        </w:r>
      </w:hyperlink>
    </w:p>
    <w:p w14:paraId="559007B0"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(2018a). </w:t>
      </w:r>
      <w:r w:rsidRPr="00AA7F32">
        <w:rPr>
          <w:rFonts w:eastAsia="Calibri" w:cs="Calibri"/>
          <w:i/>
          <w:kern w:val="0"/>
        </w:rPr>
        <w:t>Emergency Response Service Procurement Methodology</w:t>
      </w:r>
      <w:r w:rsidRPr="00AA7F32">
        <w:rPr>
          <w:rFonts w:eastAsia="Calibri" w:cs="Calibri"/>
          <w:kern w:val="0"/>
        </w:rPr>
        <w:t xml:space="preserve">. July 1, 2018.  (ERCOT, 2018a) Available at </w:t>
      </w:r>
      <w:hyperlink r:id="rId53" w:history="1">
        <w:r w:rsidRPr="00AA7F32">
          <w:rPr>
            <w:rFonts w:eastAsia="Calibri" w:cs="Calibri"/>
            <w:kern w:val="0"/>
          </w:rPr>
          <w:t>http://www.ercot.com/content/wcm/key_documents_lists/91842/Emergency_Response_Service_Procurement_Methodology.zip</w:t>
        </w:r>
      </w:hyperlink>
    </w:p>
    <w:p w14:paraId="1183CB86" w14:textId="77777777" w:rsidR="00AA7F32" w:rsidRPr="00AA7F32" w:rsidRDefault="00AA7F32" w:rsidP="00AA7F32">
      <w:pPr>
        <w:spacing w:before="160" w:after="0" w:line="240" w:lineRule="auto"/>
        <w:ind w:left="720" w:hanging="720"/>
        <w:rPr>
          <w:rFonts w:eastAsia="Calibri" w:cs="Calibri"/>
          <w:color w:val="0563C1"/>
          <w:kern w:val="0"/>
        </w:rPr>
      </w:pPr>
      <w:r w:rsidRPr="00AA7F32">
        <w:rPr>
          <w:rFonts w:eastAsia="Calibri" w:cs="Calibri"/>
          <w:kern w:val="0"/>
        </w:rPr>
        <w:t xml:space="preserve">Electric Reliability Council of Texas (ERCOT) (2018b). </w:t>
      </w:r>
      <w:r w:rsidRPr="00AA7F32">
        <w:rPr>
          <w:rFonts w:eastAsia="Calibri" w:cs="Calibri"/>
          <w:i/>
          <w:kern w:val="0"/>
        </w:rPr>
        <w:t>Retail Demand Response Survey Participant Headcounts 2013 - 2017.</w:t>
      </w:r>
      <w:r w:rsidRPr="00AA7F32">
        <w:rPr>
          <w:rFonts w:eastAsia="Calibri" w:cs="Calibri"/>
          <w:kern w:val="0"/>
        </w:rPr>
        <w:t xml:space="preserve"> February 23, 2018.  (ERCOT, 2018b) Available at </w:t>
      </w:r>
      <w:hyperlink r:id="rId54" w:history="1">
        <w:r w:rsidRPr="00AA7F32">
          <w:rPr>
            <w:rFonts w:eastAsia="Calibri" w:cs="Calibri"/>
            <w:kern w:val="0"/>
          </w:rPr>
          <w:t>http://www.ercot.com/content/wcm/key_documents_lists/27290/Demand_Response_Presentations.zip</w:t>
        </w:r>
      </w:hyperlink>
    </w:p>
    <w:p w14:paraId="08238C54"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(2017a). </w:t>
      </w:r>
      <w:r w:rsidRPr="00AA7F32">
        <w:rPr>
          <w:rFonts w:eastAsia="Calibri" w:cs="Calibri"/>
          <w:i/>
          <w:kern w:val="0"/>
        </w:rPr>
        <w:t>Analysis of Load Reductions Associated with 4-CP Transmission Charges and Price Responsive Load/Retail DR.</w:t>
      </w:r>
      <w:r w:rsidRPr="00AA7F32">
        <w:rPr>
          <w:rFonts w:eastAsia="Calibri" w:cs="Calibri"/>
          <w:kern w:val="0"/>
        </w:rPr>
        <w:t xml:space="preserve"> April 5, 2017.  (ERCOT, 2017a) Available at </w:t>
      </w:r>
      <w:hyperlink r:id="rId55" w:history="1">
        <w:r w:rsidRPr="00AA7F32">
          <w:rPr>
            <w:rFonts w:eastAsia="Calibri" w:cs="Calibri"/>
            <w:kern w:val="0"/>
          </w:rPr>
          <w:t>http://www.ercot.com/content/wcm/key_documents_lists/108818/17.__WMS_2017_4CP__Retail_DR_Analysis_Raish.v2.pptx</w:t>
        </w:r>
      </w:hyperlink>
    </w:p>
    <w:p w14:paraId="56CB3247"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(2017b). </w:t>
      </w:r>
      <w:r w:rsidRPr="00AA7F32">
        <w:rPr>
          <w:rFonts w:eastAsia="Calibri" w:cs="Calibri"/>
          <w:i/>
          <w:kern w:val="0"/>
        </w:rPr>
        <w:t>Study Process and Methodology Manual: Estimating Economically Optimum and Market Equilibrium Reserve Margins (EORM and MERM).</w:t>
      </w:r>
      <w:r w:rsidRPr="00AA7F32">
        <w:rPr>
          <w:rFonts w:eastAsia="Calibri" w:cs="Calibri"/>
          <w:kern w:val="0"/>
        </w:rPr>
        <w:t xml:space="preserve"> December 12, 2017.</w:t>
      </w:r>
      <w:r w:rsidRPr="00AA7F32">
        <w:rPr>
          <w:rFonts w:eastAsia="Calibri" w:cs="Calibri"/>
          <w:i/>
          <w:kern w:val="0"/>
        </w:rPr>
        <w:t xml:space="preserve"> </w:t>
      </w:r>
      <w:r w:rsidRPr="00AA7F32">
        <w:rPr>
          <w:rFonts w:eastAsia="Calibri" w:cs="Calibri"/>
          <w:kern w:val="0"/>
        </w:rPr>
        <w:t xml:space="preserve">(ERCOT, 2017b) Available at </w:t>
      </w:r>
      <w:hyperlink r:id="rId56" w:history="1">
        <w:r w:rsidRPr="00AA7F32">
          <w:rPr>
            <w:rFonts w:eastAsia="Calibri" w:cs="Calibri"/>
            <w:kern w:val="0"/>
          </w:rPr>
          <w:t>http://www.ercot.com/content/wcm/lists/114801/ERCOT_Study_Process_and_Methodology_Manual_for_EORM-MERM_11-3-2017_InitialDraft.docx</w:t>
        </w:r>
      </w:hyperlink>
    </w:p>
    <w:p w14:paraId="4C54BDBC"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Electric Reliability Council of Texas (ERCOT) and William Hogan (2013). Back Cast of Interim Solution B+ to Improve Real-Time Scarcity Pricing, White Paper, March 21, 2013. (ERCOT and Hogan, 2013) Available at </w:t>
      </w:r>
      <w:hyperlink r:id="rId57" w:history="1">
        <w:r w:rsidRPr="00AA7F32">
          <w:rPr>
            <w:rFonts w:eastAsia="Calibri" w:cs="Calibri"/>
            <w:kern w:val="0"/>
          </w:rPr>
          <w:t>http://lmpmarketdesign.com/papers/Back_Cast_of_Interim_Solution_B_Improve_Real_Time_Scarcity_Pricing_Whitepaper.pdf</w:t>
        </w:r>
      </w:hyperlink>
    </w:p>
    <w:p w14:paraId="69FFBD5F"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Federal Energy Regulatory Commission (FERC). Form No. 714 – Annual Electric Balancing Authority Area and Planning Area Report. 2020. (FERC, 2020) Available at https://www.ferc.gov/industries-data/electric/general-information/electric-industry-forms/form-no-714-annual-electric/data</w:t>
      </w:r>
    </w:p>
    <w:p w14:paraId="1310CAD1"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Lazard (2020). Lazard’s Levelized Cost of Energy Analysis – Version 14.0. October 2020. (Lazard, 2020). Available at https://www.lazard.com/media/451419/lazards-levelized-cost-of-energy-version-140.pdf</w:t>
      </w:r>
    </w:p>
    <w:p w14:paraId="06417D96"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Midcontinent Independent System Operator (2019). Planning Year 2020-2021 Loss of Load Expectation Study Report. November 2019. (MISO, 2019) Available at https://cdn.misoenergy.org/2020%20LOLE%20Study%20Report397064.pdf </w:t>
      </w:r>
    </w:p>
    <w:p w14:paraId="197B85D0" w14:textId="77777777" w:rsidR="00AA7F32" w:rsidRPr="00AA7F32" w:rsidRDefault="00AA7F32" w:rsidP="00AA7F32">
      <w:pPr>
        <w:spacing w:before="160" w:after="0" w:line="240" w:lineRule="auto"/>
        <w:ind w:left="720" w:hanging="720"/>
        <w:rPr>
          <w:rFonts w:eastAsia="Calibri" w:cs="Calibri"/>
          <w:kern w:val="0"/>
        </w:rPr>
      </w:pPr>
      <w:proofErr w:type="spellStart"/>
      <w:r w:rsidRPr="00AA7F32">
        <w:rPr>
          <w:rFonts w:eastAsia="Calibri" w:cs="Calibri"/>
          <w:kern w:val="0"/>
        </w:rPr>
        <w:t>Munasinghe</w:t>
      </w:r>
      <w:proofErr w:type="spellEnd"/>
      <w:r w:rsidRPr="00AA7F32">
        <w:rPr>
          <w:rFonts w:eastAsia="Calibri" w:cs="Calibri"/>
          <w:kern w:val="0"/>
        </w:rPr>
        <w:t xml:space="preserve">, M. and A. Sanghvi (1988). “Reliability of Supply, Outage Costs and value of Service: An Overview,” </w:t>
      </w:r>
      <w:r w:rsidRPr="00AA7F32">
        <w:rPr>
          <w:rFonts w:eastAsia="Calibri" w:cs="Calibri"/>
          <w:i/>
          <w:iCs/>
          <w:kern w:val="0"/>
        </w:rPr>
        <w:t>The Energy Journal</w:t>
      </w:r>
      <w:r w:rsidRPr="00AA7F32">
        <w:rPr>
          <w:rFonts w:eastAsia="Calibri" w:cs="Calibri"/>
          <w:kern w:val="0"/>
        </w:rPr>
        <w:t>. Volume 9, Special Issue on Electricity Reliability. (</w:t>
      </w:r>
      <w:proofErr w:type="spellStart"/>
      <w:r w:rsidRPr="00AA7F32">
        <w:rPr>
          <w:rFonts w:eastAsia="Calibri" w:cs="Calibri"/>
          <w:kern w:val="0"/>
        </w:rPr>
        <w:t>Munasinghe</w:t>
      </w:r>
      <w:proofErr w:type="spellEnd"/>
      <w:r w:rsidRPr="00AA7F32">
        <w:rPr>
          <w:rFonts w:eastAsia="Calibri" w:cs="Calibri"/>
          <w:kern w:val="0"/>
        </w:rPr>
        <w:t xml:space="preserve"> and </w:t>
      </w:r>
      <w:proofErr w:type="spellStart"/>
      <w:r w:rsidRPr="00AA7F32">
        <w:rPr>
          <w:rFonts w:eastAsia="Calibri" w:cs="Calibri"/>
          <w:kern w:val="0"/>
        </w:rPr>
        <w:t>Sanghvi</w:t>
      </w:r>
      <w:proofErr w:type="spellEnd"/>
      <w:r w:rsidRPr="00AA7F32">
        <w:rPr>
          <w:rFonts w:eastAsia="Calibri" w:cs="Calibri"/>
          <w:kern w:val="0"/>
        </w:rPr>
        <w:t>, 1988)</w:t>
      </w:r>
    </w:p>
    <w:p w14:paraId="32C93762" w14:textId="77777777" w:rsidR="00AA7F32" w:rsidRPr="00AA7F32" w:rsidRDefault="00AA7F32" w:rsidP="00AA7F32">
      <w:pPr>
        <w:spacing w:before="160" w:after="0" w:line="240" w:lineRule="auto"/>
        <w:ind w:left="720" w:hanging="720"/>
        <w:rPr>
          <w:rFonts w:eastAsia="Calibri" w:cs="Calibri"/>
          <w:kern w:val="0"/>
          <w:shd w:val="clear" w:color="auto" w:fill="70AD47"/>
        </w:rPr>
      </w:pPr>
      <w:r w:rsidRPr="00AA7F32">
        <w:rPr>
          <w:rFonts w:eastAsia="Calibri" w:cs="Calibri"/>
          <w:kern w:val="0"/>
        </w:rPr>
        <w:t>National Centers for Environmental Information: National Centers for Environmental Information (2019). Dataset Search. (NOAA, 2020) Available at https://www.ncei.noaa.gov/access/search/index</w:t>
      </w:r>
    </w:p>
    <w:p w14:paraId="6C5E74A1"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Newell, </w:t>
      </w:r>
      <w:proofErr w:type="spellStart"/>
      <w:r w:rsidRPr="00AA7F32">
        <w:rPr>
          <w:rFonts w:eastAsia="Calibri" w:cs="Calibri"/>
          <w:kern w:val="0"/>
        </w:rPr>
        <w:t>Hagerty</w:t>
      </w:r>
      <w:proofErr w:type="spellEnd"/>
      <w:r w:rsidRPr="00AA7F32">
        <w:rPr>
          <w:rFonts w:eastAsia="Calibri" w:cs="Calibri"/>
          <w:kern w:val="0"/>
        </w:rPr>
        <w:t xml:space="preserve">, </w:t>
      </w:r>
      <w:proofErr w:type="spellStart"/>
      <w:r w:rsidRPr="00AA7F32">
        <w:rPr>
          <w:rFonts w:eastAsia="Calibri" w:cs="Calibri"/>
          <w:kern w:val="0"/>
        </w:rPr>
        <w:t>Pfeifenberger</w:t>
      </w:r>
      <w:proofErr w:type="spellEnd"/>
      <w:r w:rsidRPr="00AA7F32">
        <w:rPr>
          <w:rFonts w:eastAsia="Calibri" w:cs="Calibri"/>
          <w:kern w:val="0"/>
        </w:rPr>
        <w:t xml:space="preserve">, Zhou, </w:t>
      </w:r>
      <w:proofErr w:type="spellStart"/>
      <w:r w:rsidRPr="00AA7F32">
        <w:rPr>
          <w:rFonts w:eastAsia="Calibri" w:cs="Calibri"/>
          <w:kern w:val="0"/>
        </w:rPr>
        <w:t>Shorin</w:t>
      </w:r>
      <w:proofErr w:type="spellEnd"/>
      <w:r w:rsidRPr="00AA7F32">
        <w:rPr>
          <w:rFonts w:eastAsia="Calibri" w:cs="Calibri"/>
          <w:kern w:val="0"/>
        </w:rPr>
        <w:t xml:space="preserve">, Fitz (2018). </w:t>
      </w:r>
      <w:r w:rsidRPr="00AA7F32">
        <w:rPr>
          <w:rFonts w:eastAsia="Calibri" w:cs="Calibri"/>
          <w:i/>
          <w:kern w:val="0"/>
        </w:rPr>
        <w:t>PJM Cost of New Entry.</w:t>
      </w:r>
      <w:r w:rsidRPr="00AA7F32">
        <w:rPr>
          <w:rFonts w:eastAsia="Calibri" w:cs="Calibri"/>
          <w:kern w:val="0"/>
        </w:rPr>
        <w:t xml:space="preserve">  April 19, 2018. (Newell, et al., 2018a) Available at </w:t>
      </w:r>
      <w:hyperlink r:id="rId58" w:history="1">
        <w:r w:rsidRPr="00AA7F32">
          <w:rPr>
            <w:rFonts w:eastAsia="Calibri" w:cs="Calibri"/>
            <w:kern w:val="0"/>
          </w:rPr>
          <w:t>https://www.pjm.com/~/media/committees-groups/committees/mic/20180425-special/20180425-pjm-2018-cost-of-new-entry-study.ashx</w:t>
        </w:r>
      </w:hyperlink>
    </w:p>
    <w:p w14:paraId="7EAD3002" w14:textId="77777777" w:rsidR="00AA7F32" w:rsidRPr="00AA7F32" w:rsidRDefault="00AA7F32" w:rsidP="00AA7F32">
      <w:pPr>
        <w:spacing w:before="160" w:after="0" w:line="240" w:lineRule="auto"/>
        <w:ind w:left="720" w:hanging="720"/>
        <w:rPr>
          <w:rFonts w:eastAsia="Calibri" w:cs="Calibri"/>
          <w:color w:val="C00000"/>
          <w:kern w:val="0"/>
        </w:rPr>
      </w:pPr>
      <w:r w:rsidRPr="00AA7F32">
        <w:rPr>
          <w:rFonts w:eastAsia="Calibri" w:cs="Calibri"/>
          <w:kern w:val="0"/>
        </w:rPr>
        <w:t xml:space="preserve">Newell, Carroll, </w:t>
      </w:r>
      <w:proofErr w:type="spellStart"/>
      <w:r w:rsidRPr="00AA7F32">
        <w:rPr>
          <w:rFonts w:eastAsia="Calibri" w:cs="Calibri"/>
          <w:kern w:val="0"/>
        </w:rPr>
        <w:t>Kaluzhny</w:t>
      </w:r>
      <w:proofErr w:type="spellEnd"/>
      <w:r w:rsidRPr="00AA7F32">
        <w:rPr>
          <w:rFonts w:eastAsia="Calibri" w:cs="Calibri"/>
          <w:kern w:val="0"/>
        </w:rPr>
        <w:t xml:space="preserve">, </w:t>
      </w:r>
      <w:proofErr w:type="spellStart"/>
      <w:r w:rsidRPr="00AA7F32">
        <w:rPr>
          <w:rFonts w:eastAsia="Calibri" w:cs="Calibri"/>
          <w:kern w:val="0"/>
        </w:rPr>
        <w:t>Spees</w:t>
      </w:r>
      <w:proofErr w:type="spellEnd"/>
      <w:r w:rsidRPr="00AA7F32">
        <w:rPr>
          <w:rFonts w:eastAsia="Calibri" w:cs="Calibri"/>
          <w:kern w:val="0"/>
        </w:rPr>
        <w:t xml:space="preserve">, Carden, </w:t>
      </w:r>
      <w:proofErr w:type="spellStart"/>
      <w:r w:rsidRPr="00AA7F32">
        <w:rPr>
          <w:rFonts w:eastAsia="Calibri" w:cs="Calibri"/>
          <w:kern w:val="0"/>
        </w:rPr>
        <w:t>Wintermantel</w:t>
      </w:r>
      <w:proofErr w:type="spellEnd"/>
      <w:r w:rsidRPr="00AA7F32">
        <w:rPr>
          <w:rFonts w:eastAsia="Calibri" w:cs="Calibri"/>
          <w:kern w:val="0"/>
        </w:rPr>
        <w:t xml:space="preserve">, Krasny (2018). </w:t>
      </w:r>
      <w:r w:rsidRPr="00AA7F32">
        <w:rPr>
          <w:rFonts w:eastAsia="Calibri" w:cs="Calibri"/>
          <w:i/>
          <w:kern w:val="0"/>
        </w:rPr>
        <w:t>Estimation of the Market Equilibrium and Economically Optimal Reserve Margins for the ERCOT Region, 2018 Update.</w:t>
      </w:r>
      <w:r w:rsidRPr="00AA7F32">
        <w:rPr>
          <w:rFonts w:eastAsia="Calibri" w:cs="Calibri"/>
          <w:kern w:val="0"/>
        </w:rPr>
        <w:t xml:space="preserve"> December 20, 2018. (Newell, et al., 2018b) Available at </w:t>
      </w:r>
      <w:r w:rsidRPr="00AA7F32">
        <w:rPr>
          <w:rFonts w:eastAsia="Calibri" w:cs="Calibri"/>
          <w:color w:val="000000"/>
          <w:kern w:val="0"/>
        </w:rPr>
        <w:t>http://www.ercot.com/content/wcm/lists/167026/2018_12_20_ERCOT_MERM_Report_Final.pdf</w:t>
      </w:r>
    </w:p>
    <w:p w14:paraId="5517AFBE"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North American Electric Reliability Corporation (NERC) (2019). 2019 Long-Term Reliability Assessment, December 2019. (NERC, 2019) Available at https://www.nerc.com/pa/RAPA/ra/Reliability%20Assessments%20DL/NERC_LTRA_2019.pdf</w:t>
      </w:r>
    </w:p>
    <w:p w14:paraId="08BDDEF9"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Poland, William B. (1988). “The Importance of Including Uncertainties in Economic Generation Reliability Planning,” </w:t>
      </w:r>
      <w:r w:rsidRPr="00AA7F32">
        <w:rPr>
          <w:rFonts w:eastAsia="Calibri" w:cs="Calibri"/>
          <w:i/>
          <w:iCs/>
          <w:kern w:val="0"/>
        </w:rPr>
        <w:t>The Energy Journal</w:t>
      </w:r>
      <w:r w:rsidRPr="00AA7F32">
        <w:rPr>
          <w:rFonts w:eastAsia="Calibri" w:cs="Calibri"/>
          <w:kern w:val="0"/>
        </w:rPr>
        <w:t>. Volume 9, Special Issue on Electricity Reliability. (Poland, 1988)</w:t>
      </w:r>
    </w:p>
    <w:p w14:paraId="771FACDA"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Public Utility Commission of Texas (PUCT) (2019). Chapter 25. Substantive Rules Applicable to Electric Service Providers. Subchapter S. Wholesale Markets, Effective Date May 30, 2019. (PUCT, 2019a) Available at </w:t>
      </w:r>
      <w:hyperlink r:id="rId59" w:history="1">
        <w:r w:rsidRPr="00AA7F32">
          <w:rPr>
            <w:rFonts w:eastAsia="Calibri" w:cs="Calibri"/>
            <w:kern w:val="0"/>
          </w:rPr>
          <w:t>http://www.puc.texas.gov/agency/rulesnlaws/subrules/electric/25.505/25.505.pdf</w:t>
        </w:r>
      </w:hyperlink>
    </w:p>
    <w:p w14:paraId="15372275"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Public Utility Commission of Texas (PUCT) (2019). Control Number: 48539 Item Number: 33 Public Utility Commission of Texas Memorandum, January 16, 2019. (PUCT, 2019b) Available athttps://interchange.puc.texas.gov/Documents/48539_33_1004833.PDF</w:t>
      </w:r>
    </w:p>
    <w:p w14:paraId="7F318E55" w14:textId="77777777" w:rsidR="00AA7F32" w:rsidRPr="00AA7F32" w:rsidRDefault="00AA7F32" w:rsidP="00AA7F32">
      <w:pPr>
        <w:spacing w:before="160" w:after="0" w:line="240" w:lineRule="auto"/>
        <w:ind w:left="720" w:hanging="720"/>
        <w:rPr>
          <w:rFonts w:eastAsia="Calibri" w:cs="Calibri"/>
          <w:color w:val="C00000"/>
          <w:kern w:val="0"/>
        </w:rPr>
      </w:pPr>
      <w:r w:rsidRPr="00AA7F32">
        <w:rPr>
          <w:rFonts w:eastAsia="Calibri" w:cs="Calibri"/>
          <w:kern w:val="0"/>
        </w:rPr>
        <w:t xml:space="preserve">Southwest Power Pool (2018).2017 SPP Loss of Load Expectation Study Report. June 2018. (SPP, 2018) Available at </w:t>
      </w:r>
      <w:r w:rsidRPr="00AA7F32">
        <w:rPr>
          <w:rFonts w:eastAsia="Calibri" w:cs="Calibri"/>
          <w:color w:val="000000"/>
          <w:kern w:val="0"/>
        </w:rPr>
        <w:t>https://www.spp.org/documents/58198/2017%20spp%20lole%20study%20report.pdf</w:t>
      </w:r>
    </w:p>
    <w:p w14:paraId="2B2E5D0C" w14:textId="77777777" w:rsidR="00AA7F32" w:rsidRPr="00AA7F32" w:rsidRDefault="00AA7F32" w:rsidP="00AA7F32">
      <w:pPr>
        <w:spacing w:before="160" w:after="0" w:line="240" w:lineRule="auto"/>
        <w:ind w:left="720" w:hanging="720"/>
        <w:rPr>
          <w:rFonts w:eastAsia="Calibri" w:cs="Calibri"/>
          <w:color w:val="C00000"/>
          <w:kern w:val="0"/>
        </w:rPr>
      </w:pPr>
      <w:r w:rsidRPr="00AA7F32">
        <w:rPr>
          <w:rFonts w:eastAsia="Calibri" w:cs="Calibri"/>
          <w:kern w:val="0"/>
        </w:rPr>
        <w:t xml:space="preserve">Spees, Kathleen, Samuel A. Newell, Robert Carlton, Bin Zhou, and Johannes P. Pfeifenberger. 2011 Cost of New Entry Estimates for Combustion Turbine and Combined-Cycle Plants in PJM. August 24, 2011. (Spees, et al., 2011) Available at </w:t>
      </w:r>
      <w:hyperlink r:id="rId60" w:history="1">
        <w:r w:rsidRPr="00AA7F32">
          <w:rPr>
            <w:rFonts w:eastAsia="Calibri" w:cs="Calibri"/>
            <w:kern w:val="0"/>
          </w:rPr>
          <w:t>http://files.brattle.com/files/7932_cost_of_new_entry_estimates_for_combustion-turbine_and_combined-cycle_plants_in_pjm_spees_et_al_aug_24_11.pdf</w:t>
        </w:r>
      </w:hyperlink>
    </w:p>
    <w:p w14:paraId="2CB46D1A" w14:textId="77777777" w:rsidR="00AA7F32" w:rsidRPr="00AA7F32" w:rsidRDefault="00AA7F32" w:rsidP="00AA7F32">
      <w:pPr>
        <w:spacing w:before="160" w:after="0" w:line="240" w:lineRule="auto"/>
        <w:ind w:left="720" w:hanging="720"/>
        <w:rPr>
          <w:rFonts w:eastAsia="Calibri" w:cs="Calibri"/>
          <w:kern w:val="0"/>
        </w:rPr>
      </w:pPr>
      <w:r w:rsidRPr="00AA7F32">
        <w:rPr>
          <w:rFonts w:eastAsia="Calibri" w:cs="Calibri"/>
          <w:kern w:val="0"/>
        </w:rPr>
        <w:t xml:space="preserve">U.S. Energy Information Administration (EIA). Form EIA-923. (EIA, 2020) Available at https://www.eia.gov/electricity/data/eia923/ </w:t>
      </w:r>
    </w:p>
    <w:bookmarkEnd w:id="312"/>
    <w:p w14:paraId="20CA4CD3" w14:textId="77777777" w:rsidR="00AA7F32" w:rsidRPr="00AA7F32" w:rsidRDefault="00AA7F32" w:rsidP="00AA7F32">
      <w:pPr>
        <w:autoSpaceDE w:val="0"/>
        <w:autoSpaceDN w:val="0"/>
        <w:adjustRightInd w:val="0"/>
        <w:rPr>
          <w:rFonts w:eastAsia="Calibri" w:cs="Calibri"/>
          <w:color w:val="C00000"/>
          <w:sz w:val="20"/>
          <w:szCs w:val="20"/>
        </w:rPr>
      </w:pPr>
    </w:p>
    <w:p w14:paraId="0BF1EDFB" w14:textId="77777777" w:rsidR="00AA7F32" w:rsidRPr="00AA7F32" w:rsidRDefault="00AA7F32" w:rsidP="00AA7F32">
      <w:pPr>
        <w:rPr>
          <w:rFonts w:eastAsia="Calibri" w:cs="Times New Roman"/>
        </w:rPr>
      </w:pPr>
    </w:p>
    <w:p w14:paraId="36A63C5E" w14:textId="77777777" w:rsidR="004B58AD" w:rsidRPr="00132D4F" w:rsidRDefault="004B58AD" w:rsidP="004B58AD">
      <w:pPr>
        <w:pStyle w:val="BGBibliographyText"/>
        <w:rPr>
          <w:rFonts w:ascii="Calibri" w:hAnsi="Calibri" w:cs="Calibri"/>
          <w:color w:val="C00000"/>
          <w:sz w:val="22"/>
          <w:szCs w:val="22"/>
        </w:rPr>
      </w:pPr>
    </w:p>
    <w:p w14:paraId="2266A80F" w14:textId="77777777" w:rsidR="004B58AD" w:rsidRDefault="004B58AD" w:rsidP="004B58AD">
      <w:pPr>
        <w:sectPr w:rsidR="004B58AD" w:rsidSect="004B58AD">
          <w:pgSz w:w="12240" w:h="15840" w:code="1"/>
          <w:pgMar w:top="1440" w:right="1440" w:bottom="1152" w:left="1440" w:header="720" w:footer="504" w:gutter="0"/>
          <w:cols w:space="720"/>
          <w:docGrid w:linePitch="326"/>
        </w:sectPr>
      </w:pPr>
    </w:p>
    <w:p w14:paraId="74C9C887" w14:textId="0C4CF21B" w:rsidR="00321C0A" w:rsidRPr="00321C0A" w:rsidRDefault="00321C0A" w:rsidP="000F0C8B">
      <w:pPr>
        <w:pStyle w:val="Heading1"/>
        <w:spacing w:before="0"/>
        <w:rPr>
          <w:sz w:val="28"/>
          <w:szCs w:val="28"/>
        </w:rPr>
      </w:pPr>
      <w:bookmarkStart w:id="313" w:name="_Toc57193581"/>
      <w:bookmarkStart w:id="314" w:name="_Toc525079606"/>
      <w:bookmarkStart w:id="315" w:name="_Toc525851033"/>
      <w:bookmarkStart w:id="316" w:name="_Toc525938064"/>
      <w:bookmarkStart w:id="317" w:name="_Toc526279126"/>
      <w:bookmarkStart w:id="318" w:name="_Toc526437278"/>
      <w:bookmarkStart w:id="319" w:name="_Toc526439921"/>
      <w:bookmarkStart w:id="320" w:name="_Toc526440031"/>
      <w:bookmarkStart w:id="321" w:name="_Ref526440797"/>
      <w:bookmarkStart w:id="322" w:name="_Ref526440816"/>
      <w:bookmarkStart w:id="323" w:name="_Ref526440817"/>
      <w:bookmarkStart w:id="324" w:name="_Ref526874590"/>
      <w:bookmarkStart w:id="325" w:name="_Toc532834308"/>
      <w:r w:rsidRPr="00321C0A">
        <w:rPr>
          <w:sz w:val="28"/>
          <w:szCs w:val="28"/>
        </w:rPr>
        <w:t>APPENDIX</w:t>
      </w:r>
      <w:r w:rsidR="00B62A65">
        <w:rPr>
          <w:sz w:val="28"/>
          <w:szCs w:val="28"/>
        </w:rPr>
        <w:t xml:space="preserve"> 1: Modeling Assumptions</w:t>
      </w:r>
      <w:bookmarkEnd w:id="313"/>
    </w:p>
    <w:p w14:paraId="4EE0E89A" w14:textId="2565350B" w:rsidR="004B58AD" w:rsidRPr="00565E08" w:rsidRDefault="004B58AD" w:rsidP="004B58AD">
      <w:pPr>
        <w:pStyle w:val="BGNormal125"/>
        <w:rPr>
          <w:rFonts w:ascii="Calibri" w:hAnsi="Calibri" w:cs="Calibri"/>
          <w:color w:val="auto"/>
          <w:sz w:val="22"/>
          <w:szCs w:val="22"/>
        </w:rPr>
      </w:pPr>
      <w:bookmarkStart w:id="326" w:name="_Toc525079607"/>
      <w:bookmarkStart w:id="327" w:name="_Toc525851034"/>
      <w:bookmarkEnd w:id="314"/>
      <w:bookmarkEnd w:id="315"/>
      <w:bookmarkEnd w:id="316"/>
      <w:bookmarkEnd w:id="317"/>
      <w:bookmarkEnd w:id="318"/>
      <w:bookmarkEnd w:id="319"/>
      <w:bookmarkEnd w:id="320"/>
      <w:bookmarkEnd w:id="321"/>
      <w:bookmarkEnd w:id="322"/>
      <w:bookmarkEnd w:id="323"/>
      <w:bookmarkEnd w:id="324"/>
      <w:bookmarkEnd w:id="325"/>
      <w:r w:rsidRPr="00565E08">
        <w:rPr>
          <w:rFonts w:ascii="Calibri" w:hAnsi="Calibri" w:cs="Calibri"/>
          <w:color w:val="auto"/>
          <w:sz w:val="22"/>
          <w:szCs w:val="22"/>
        </w:rPr>
        <w:t xml:space="preserve">This Appendix describes in more detail the representation of the ERCOT system, including: load and weather patterns and their probabilistic variations; the cost and performance characteristics of ERCOT’s generation and </w:t>
      </w:r>
      <w:r w:rsidRPr="00565E08" w:rsidDel="008B5E11">
        <w:rPr>
          <w:rFonts w:ascii="Calibri" w:hAnsi="Calibri" w:cs="Calibri"/>
          <w:color w:val="auto"/>
          <w:sz w:val="22"/>
          <w:szCs w:val="22"/>
        </w:rPr>
        <w:t>demand</w:t>
      </w:r>
      <w:r w:rsidRPr="00565E08">
        <w:rPr>
          <w:rFonts w:ascii="Calibri" w:hAnsi="Calibri" w:cs="Calibri"/>
          <w:color w:val="auto"/>
          <w:sz w:val="22"/>
          <w:szCs w:val="22"/>
        </w:rPr>
        <w:t xml:space="preserve">-response resources; the mechanics of the ERCOT energy and ancillary services markets, including a unit commitment and economic dispatch of all generation resources, </w:t>
      </w:r>
      <w:r w:rsidRPr="00565E08" w:rsidDel="008B5E11">
        <w:rPr>
          <w:rFonts w:ascii="Calibri" w:hAnsi="Calibri" w:cs="Calibri"/>
          <w:color w:val="auto"/>
          <w:sz w:val="22"/>
          <w:szCs w:val="22"/>
        </w:rPr>
        <w:t>demand</w:t>
      </w:r>
      <w:r w:rsidRPr="00565E08">
        <w:rPr>
          <w:rFonts w:ascii="Calibri" w:hAnsi="Calibri" w:cs="Calibri"/>
          <w:color w:val="auto"/>
          <w:sz w:val="22"/>
          <w:szCs w:val="22"/>
        </w:rPr>
        <w:t>-response resources, and the transmission interties with neighboring markets.  We also explain assumptions developed to reflect expected conditions of 202</w:t>
      </w:r>
      <w:r w:rsidR="00565E08" w:rsidRPr="00565E08">
        <w:rPr>
          <w:rFonts w:ascii="Calibri" w:hAnsi="Calibri" w:cs="Calibri"/>
          <w:color w:val="auto"/>
          <w:sz w:val="22"/>
          <w:szCs w:val="22"/>
        </w:rPr>
        <w:t>4</w:t>
      </w:r>
      <w:r w:rsidRPr="00565E08">
        <w:rPr>
          <w:rFonts w:ascii="Calibri" w:hAnsi="Calibri" w:cs="Calibri"/>
          <w:color w:val="auto"/>
          <w:sz w:val="22"/>
          <w:szCs w:val="22"/>
        </w:rPr>
        <w:t xml:space="preserve"> on the generation fleet, </w:t>
      </w:r>
      <w:r w:rsidRPr="00565E08" w:rsidDel="008B5E11">
        <w:rPr>
          <w:rFonts w:ascii="Calibri" w:hAnsi="Calibri" w:cs="Calibri"/>
          <w:color w:val="auto"/>
          <w:sz w:val="22"/>
          <w:szCs w:val="22"/>
        </w:rPr>
        <w:t>demand</w:t>
      </w:r>
      <w:r w:rsidRPr="00565E08">
        <w:rPr>
          <w:rFonts w:ascii="Calibri" w:hAnsi="Calibri" w:cs="Calibri"/>
          <w:color w:val="auto"/>
          <w:sz w:val="22"/>
          <w:szCs w:val="22"/>
        </w:rPr>
        <w:t>-response penetration, fuel prices, and energy market design.</w:t>
      </w:r>
    </w:p>
    <w:p w14:paraId="2548399C" w14:textId="0CEEEE74" w:rsidR="004B58AD" w:rsidRDefault="004B58AD" w:rsidP="00FA0DFD">
      <w:pPr>
        <w:pStyle w:val="Heading2"/>
        <w:numPr>
          <w:ilvl w:val="0"/>
          <w:numId w:val="17"/>
        </w:numPr>
        <w:spacing w:after="0"/>
        <w:jc w:val="both"/>
      </w:pPr>
      <w:bookmarkStart w:id="328" w:name="_Toc526279127"/>
      <w:bookmarkStart w:id="329" w:name="_Toc526437279"/>
      <w:bookmarkStart w:id="330" w:name="_Toc526439922"/>
      <w:bookmarkStart w:id="331" w:name="_Toc526440032"/>
      <w:bookmarkStart w:id="332" w:name="_Ref526443910"/>
      <w:bookmarkStart w:id="333" w:name="_Ref526444073"/>
      <w:bookmarkStart w:id="334" w:name="_Ref526462940"/>
      <w:bookmarkStart w:id="335" w:name="_Toc532834309"/>
      <w:bookmarkStart w:id="336" w:name="_Toc57193582"/>
      <w:bookmarkStart w:id="337" w:name="_Toc525938065"/>
      <w:r>
        <w:t>Demand Modeling</w:t>
      </w:r>
      <w:bookmarkEnd w:id="328"/>
      <w:bookmarkEnd w:id="329"/>
      <w:bookmarkEnd w:id="330"/>
      <w:bookmarkEnd w:id="331"/>
      <w:bookmarkEnd w:id="332"/>
      <w:bookmarkEnd w:id="333"/>
      <w:bookmarkEnd w:id="334"/>
      <w:bookmarkEnd w:id="335"/>
      <w:bookmarkEnd w:id="336"/>
      <w:r>
        <w:t xml:space="preserve"> </w:t>
      </w:r>
      <w:bookmarkEnd w:id="326"/>
      <w:bookmarkEnd w:id="327"/>
      <w:bookmarkEnd w:id="337"/>
    </w:p>
    <w:p w14:paraId="3F85CDC7" w14:textId="249AE5BD" w:rsidR="00342297" w:rsidRPr="00565E08" w:rsidRDefault="004B58AD" w:rsidP="008B0478">
      <w:pPr>
        <w:pStyle w:val="BGNormal125"/>
        <w:spacing w:after="240"/>
        <w:rPr>
          <w:rFonts w:ascii="Calibri" w:hAnsi="Calibri" w:cs="Calibri"/>
          <w:color w:val="auto"/>
          <w:sz w:val="22"/>
          <w:szCs w:val="22"/>
        </w:rPr>
      </w:pPr>
      <w:bookmarkStart w:id="338" w:name="_Ref526434442"/>
      <w:r w:rsidRPr="00565E08">
        <w:rPr>
          <w:rFonts w:ascii="Calibri" w:hAnsi="Calibri" w:cs="Calibri"/>
          <w:color w:val="auto"/>
          <w:sz w:val="22"/>
          <w:szCs w:val="22"/>
        </w:rPr>
        <w:t>This section describes the data and modelling of the demand in the model, specifically peak load, weather uncertainty, non-weather forecast uncertainty, and demand shapes.</w:t>
      </w:r>
      <w:bookmarkEnd w:id="338"/>
    </w:p>
    <w:p w14:paraId="713A451D" w14:textId="36FC25E4" w:rsidR="004B58AD" w:rsidRDefault="004B58AD" w:rsidP="00FA0DFD">
      <w:pPr>
        <w:pStyle w:val="Heading3"/>
        <w:numPr>
          <w:ilvl w:val="0"/>
          <w:numId w:val="18"/>
        </w:numPr>
      </w:pPr>
      <w:bookmarkStart w:id="339" w:name="_Toc532834310"/>
      <w:bookmarkStart w:id="340" w:name="_Toc57193583"/>
      <w:bookmarkStart w:id="341" w:name="_Toc525079608"/>
      <w:bookmarkStart w:id="342" w:name="_Toc525851035"/>
      <w:bookmarkStart w:id="343" w:name="_Toc525938066"/>
      <w:bookmarkStart w:id="344" w:name="_Ref526255005"/>
      <w:bookmarkStart w:id="345" w:name="_Toc526279128"/>
      <w:bookmarkStart w:id="346" w:name="_Ref526434399"/>
      <w:bookmarkStart w:id="347" w:name="_Ref526434472"/>
      <w:bookmarkStart w:id="348" w:name="_Toc526437280"/>
      <w:bookmarkStart w:id="349" w:name="_Ref526439231"/>
      <w:bookmarkStart w:id="350" w:name="_Toc526439923"/>
      <w:bookmarkStart w:id="351" w:name="_Toc526440033"/>
      <w:bookmarkStart w:id="352" w:name="_Ref526444017"/>
      <w:bookmarkStart w:id="353" w:name="_Ref526444088"/>
      <w:bookmarkStart w:id="354" w:name="_Ref526462972"/>
      <w:r>
        <w:t>Peak Demand and Regional Diversity</w:t>
      </w:r>
      <w:bookmarkEnd w:id="339"/>
      <w:bookmarkEnd w:id="340"/>
      <w:r>
        <w:t xml:space="preserve"> </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637A4ADD" w14:textId="6CDAE008" w:rsidR="004B58AD" w:rsidRPr="00C50581" w:rsidRDefault="003D3DA8" w:rsidP="004B58AD">
      <w:pPr>
        <w:pStyle w:val="BGNormal125"/>
        <w:rPr>
          <w:rFonts w:ascii="Calibri" w:hAnsi="Calibri" w:cs="Calibri"/>
          <w:color w:val="auto"/>
          <w:sz w:val="22"/>
          <w:szCs w:val="22"/>
        </w:rPr>
      </w:pPr>
      <w:r w:rsidRPr="00C50581" w:rsidDel="003D3DA8">
        <w:rPr>
          <w:rFonts w:ascii="Calibri" w:hAnsi="Calibri" w:cs="Calibri"/>
          <w:color w:val="auto"/>
          <w:sz w:val="22"/>
          <w:szCs w:val="22"/>
        </w:rPr>
        <w:t xml:space="preserve"> </w:t>
      </w:r>
      <w:r w:rsidR="004B58AD" w:rsidRPr="00C50581">
        <w:rPr>
          <w:rFonts w:ascii="Calibri" w:hAnsi="Calibri" w:cs="Calibri"/>
          <w:color w:val="auto"/>
          <w:sz w:val="22"/>
          <w:szCs w:val="22"/>
        </w:rPr>
        <w:t>The</w:t>
      </w:r>
      <w:r w:rsidR="004B58AD" w:rsidRPr="00C50581" w:rsidDel="003F421A">
        <w:rPr>
          <w:rFonts w:ascii="Calibri" w:hAnsi="Calibri" w:cs="Calibri"/>
          <w:color w:val="auto"/>
          <w:sz w:val="22"/>
          <w:szCs w:val="22"/>
        </w:rPr>
        <w:t xml:space="preserve"> </w:t>
      </w:r>
      <w:r w:rsidR="004B58AD" w:rsidRPr="00C50581">
        <w:rPr>
          <w:rFonts w:ascii="Calibri" w:hAnsi="Calibri" w:cs="Calibri"/>
          <w:color w:val="auto"/>
          <w:sz w:val="22"/>
          <w:szCs w:val="22"/>
        </w:rPr>
        <w:t>peak load forecast normalizes for weather by identifying a 50</w:t>
      </w:r>
      <w:r w:rsidR="004B58AD" w:rsidRPr="00C50581">
        <w:rPr>
          <w:rFonts w:ascii="Calibri" w:hAnsi="Calibri" w:cs="Calibri"/>
          <w:color w:val="auto"/>
          <w:sz w:val="22"/>
          <w:szCs w:val="22"/>
          <w:vertAlign w:val="superscript"/>
        </w:rPr>
        <w:t>th</w:t>
      </w:r>
      <w:r w:rsidR="004B58AD" w:rsidRPr="00C50581">
        <w:rPr>
          <w:rFonts w:ascii="Calibri" w:hAnsi="Calibri" w:cs="Calibri"/>
          <w:color w:val="auto"/>
          <w:sz w:val="22"/>
          <w:szCs w:val="22"/>
        </w:rPr>
        <w:t xml:space="preserve"> percentile peak load (“50/50”) forecast for each weather zone. The 50/50 peak load for each weather zone represents the average peak load from </w:t>
      </w:r>
      <w:r>
        <w:rPr>
          <w:rFonts w:ascii="Calibri" w:hAnsi="Calibri" w:cs="Calibri"/>
          <w:color w:val="auto"/>
          <w:sz w:val="22"/>
          <w:szCs w:val="22"/>
        </w:rPr>
        <w:t>40</w:t>
      </w:r>
      <w:r w:rsidRPr="00C50581">
        <w:rPr>
          <w:rFonts w:ascii="Calibri" w:hAnsi="Calibri" w:cs="Calibri"/>
          <w:color w:val="auto"/>
          <w:sz w:val="22"/>
          <w:szCs w:val="22"/>
        </w:rPr>
        <w:t xml:space="preserve"> </w:t>
      </w:r>
      <w:r w:rsidR="004B58AD" w:rsidRPr="00C50581">
        <w:rPr>
          <w:rFonts w:ascii="Calibri" w:hAnsi="Calibri" w:cs="Calibri"/>
          <w:color w:val="auto"/>
          <w:sz w:val="22"/>
          <w:szCs w:val="22"/>
        </w:rPr>
        <w:t xml:space="preserve">synthetic load profiles, each representing the expected load in a future year given the weather patterns from each of the last </w:t>
      </w:r>
      <w:r>
        <w:rPr>
          <w:rFonts w:ascii="Calibri" w:hAnsi="Calibri" w:cs="Calibri"/>
          <w:color w:val="auto"/>
          <w:sz w:val="22"/>
          <w:szCs w:val="22"/>
        </w:rPr>
        <w:t>40</w:t>
      </w:r>
      <w:r w:rsidRPr="00C50581">
        <w:rPr>
          <w:rFonts w:ascii="Calibri" w:hAnsi="Calibri" w:cs="Calibri"/>
          <w:color w:val="auto"/>
          <w:sz w:val="22"/>
          <w:szCs w:val="22"/>
        </w:rPr>
        <w:t xml:space="preserve"> </w:t>
      </w:r>
      <w:r w:rsidR="004B58AD" w:rsidRPr="00C50581">
        <w:rPr>
          <w:rFonts w:ascii="Calibri" w:hAnsi="Calibri" w:cs="Calibri"/>
          <w:color w:val="auto"/>
          <w:sz w:val="22"/>
          <w:szCs w:val="22"/>
        </w:rPr>
        <w:t xml:space="preserve">years of history.  To develop a system 50/50 peak load forecast, the load in each weather zone must be identified at the time of the system peak.  To do so, an average load duration curve is constructed for each weather zone by averaging each hour of the load duration curves from </w:t>
      </w:r>
      <w:r>
        <w:rPr>
          <w:rFonts w:ascii="Calibri" w:hAnsi="Calibri" w:cs="Calibri"/>
          <w:color w:val="auto"/>
          <w:sz w:val="22"/>
          <w:szCs w:val="22"/>
        </w:rPr>
        <w:t>40</w:t>
      </w:r>
      <w:r w:rsidRPr="00C50581">
        <w:rPr>
          <w:rFonts w:ascii="Calibri" w:hAnsi="Calibri" w:cs="Calibri"/>
          <w:color w:val="auto"/>
          <w:sz w:val="22"/>
          <w:szCs w:val="22"/>
        </w:rPr>
        <w:t xml:space="preserve"> </w:t>
      </w:r>
      <w:r w:rsidR="004B58AD" w:rsidRPr="00C50581">
        <w:rPr>
          <w:rFonts w:ascii="Calibri" w:hAnsi="Calibri" w:cs="Calibri"/>
          <w:color w:val="auto"/>
          <w:sz w:val="22"/>
          <w:szCs w:val="22"/>
        </w:rPr>
        <w:t>years</w:t>
      </w:r>
      <w:r w:rsidR="004B58AD" w:rsidRPr="00C50581" w:rsidDel="00B445B4">
        <w:rPr>
          <w:rFonts w:ascii="Calibri" w:hAnsi="Calibri" w:cs="Calibri"/>
          <w:color w:val="auto"/>
          <w:sz w:val="22"/>
          <w:szCs w:val="22"/>
        </w:rPr>
        <w:t xml:space="preserve"> of </w:t>
      </w:r>
      <w:r w:rsidR="004B58AD" w:rsidRPr="00C50581">
        <w:rPr>
          <w:rFonts w:ascii="Calibri" w:hAnsi="Calibri" w:cs="Calibri"/>
          <w:color w:val="auto"/>
          <w:sz w:val="22"/>
          <w:szCs w:val="22"/>
        </w:rPr>
        <w:t>historical data.  Then, the zonal load duration curves are mapped to a single historical year.  The single historical year ERCOT uses for the 20</w:t>
      </w:r>
      <w:r w:rsidR="000D61E5" w:rsidRPr="00C50581">
        <w:rPr>
          <w:rFonts w:ascii="Calibri" w:hAnsi="Calibri" w:cs="Calibri"/>
          <w:color w:val="auto"/>
          <w:sz w:val="22"/>
          <w:szCs w:val="22"/>
        </w:rPr>
        <w:t>20</w:t>
      </w:r>
      <w:r w:rsidR="004B58AD" w:rsidRPr="00C50581">
        <w:rPr>
          <w:rFonts w:ascii="Calibri" w:hAnsi="Calibri" w:cs="Calibri"/>
          <w:color w:val="auto"/>
          <w:sz w:val="22"/>
          <w:szCs w:val="22"/>
        </w:rPr>
        <w:t xml:space="preserve"> CDR is </w:t>
      </w:r>
      <w:r w:rsidR="000D61E5" w:rsidRPr="00C50581">
        <w:rPr>
          <w:rFonts w:ascii="Calibri" w:hAnsi="Calibri" w:cs="Calibri"/>
          <w:color w:val="auto"/>
          <w:sz w:val="22"/>
          <w:szCs w:val="22"/>
        </w:rPr>
        <w:t xml:space="preserve">2008 </w:t>
      </w:r>
      <w:r w:rsidR="004B58AD" w:rsidRPr="00C50581">
        <w:rPr>
          <w:rFonts w:ascii="Calibri" w:hAnsi="Calibri" w:cs="Calibri"/>
          <w:color w:val="auto"/>
          <w:sz w:val="22"/>
          <w:szCs w:val="22"/>
        </w:rPr>
        <w:t xml:space="preserve">because it was a generally “normal” weather year.  The mapping is completed by identifying the peak load hour in </w:t>
      </w:r>
      <w:r w:rsidR="000D61E5" w:rsidRPr="00C50581">
        <w:rPr>
          <w:rFonts w:ascii="Calibri" w:hAnsi="Calibri" w:cs="Calibri"/>
          <w:color w:val="auto"/>
          <w:sz w:val="22"/>
          <w:szCs w:val="22"/>
        </w:rPr>
        <w:t xml:space="preserve">2008 </w:t>
      </w:r>
      <w:r w:rsidR="004B58AD" w:rsidRPr="00C50581">
        <w:rPr>
          <w:rFonts w:ascii="Calibri" w:hAnsi="Calibri" w:cs="Calibri"/>
          <w:color w:val="auto"/>
          <w:sz w:val="22"/>
          <w:szCs w:val="22"/>
        </w:rPr>
        <w:t xml:space="preserve">and setting its load to the peak load from the average zonal load duration curve. Then the second highest load hour in </w:t>
      </w:r>
      <w:r w:rsidR="000D61E5" w:rsidRPr="00C50581">
        <w:rPr>
          <w:rFonts w:ascii="Calibri" w:hAnsi="Calibri" w:cs="Calibri"/>
          <w:color w:val="auto"/>
          <w:sz w:val="22"/>
          <w:szCs w:val="22"/>
        </w:rPr>
        <w:t xml:space="preserve">2008 </w:t>
      </w:r>
      <w:r w:rsidR="004B58AD" w:rsidRPr="00C50581">
        <w:rPr>
          <w:rFonts w:ascii="Calibri" w:hAnsi="Calibri" w:cs="Calibri"/>
          <w:color w:val="auto"/>
          <w:sz w:val="22"/>
          <w:szCs w:val="22"/>
        </w:rPr>
        <w:t xml:space="preserve">is assigned the second highest load in the average zonal load duration curve. This continues until all of the hours in </w:t>
      </w:r>
      <w:r w:rsidR="000D61E5" w:rsidRPr="00C50581">
        <w:rPr>
          <w:rFonts w:ascii="Calibri" w:hAnsi="Calibri" w:cs="Calibri"/>
          <w:color w:val="auto"/>
          <w:sz w:val="22"/>
          <w:szCs w:val="22"/>
        </w:rPr>
        <w:t xml:space="preserve">2008 </w:t>
      </w:r>
      <w:r w:rsidR="004B58AD" w:rsidRPr="00C50581">
        <w:rPr>
          <w:rFonts w:ascii="Calibri" w:hAnsi="Calibri" w:cs="Calibri"/>
          <w:color w:val="auto"/>
          <w:sz w:val="22"/>
          <w:szCs w:val="22"/>
        </w:rPr>
        <w:t xml:space="preserve">are assigned a load level based on their rank and the equivalent load at that rank in the average load duration curve. The resulting hourly load profile constructed for each zone is then used to aggregate the individual zonal loads into the system peak load.  </w:t>
      </w:r>
    </w:p>
    <w:p w14:paraId="106F0636" w14:textId="683B4C02" w:rsidR="00342297" w:rsidRPr="00C50581" w:rsidRDefault="004B58AD" w:rsidP="008B0478">
      <w:pPr>
        <w:pStyle w:val="BGNormal125"/>
        <w:spacing w:after="240"/>
        <w:rPr>
          <w:rFonts w:ascii="Calibri" w:hAnsi="Calibri" w:cs="Calibri"/>
          <w:color w:val="auto"/>
          <w:sz w:val="22"/>
          <w:szCs w:val="22"/>
        </w:rPr>
      </w:pPr>
      <w:r w:rsidRPr="00C50581">
        <w:rPr>
          <w:rFonts w:ascii="Calibri" w:hAnsi="Calibri" w:cs="Calibri"/>
          <w:color w:val="auto"/>
          <w:sz w:val="22"/>
          <w:szCs w:val="22"/>
        </w:rPr>
        <w:t xml:space="preserve">However, </w:t>
      </w:r>
      <w:r w:rsidR="000D61E5" w:rsidRPr="00C50581">
        <w:rPr>
          <w:rFonts w:ascii="Calibri" w:hAnsi="Calibri" w:cs="Calibri"/>
          <w:color w:val="auto"/>
          <w:sz w:val="22"/>
          <w:szCs w:val="22"/>
        </w:rPr>
        <w:t xml:space="preserve">2008 </w:t>
      </w:r>
      <w:r w:rsidRPr="00C50581">
        <w:rPr>
          <w:rFonts w:ascii="Calibri" w:hAnsi="Calibri" w:cs="Calibri"/>
          <w:color w:val="auto"/>
          <w:sz w:val="22"/>
          <w:szCs w:val="22"/>
        </w:rPr>
        <w:t xml:space="preserve">experienced less peak diversity between weather zones than ERCOT normally experiences.  Expressing the “50/50” peak from the many years of historical data using </w:t>
      </w:r>
      <w:r w:rsidR="000D61E5" w:rsidRPr="00C50581">
        <w:rPr>
          <w:rFonts w:ascii="Calibri" w:hAnsi="Calibri" w:cs="Calibri"/>
          <w:color w:val="auto"/>
          <w:sz w:val="22"/>
          <w:szCs w:val="22"/>
        </w:rPr>
        <w:t xml:space="preserve">2008 </w:t>
      </w:r>
      <w:r w:rsidRPr="00C50581">
        <w:rPr>
          <w:rFonts w:ascii="Calibri" w:hAnsi="Calibri" w:cs="Calibri"/>
          <w:color w:val="auto"/>
          <w:sz w:val="22"/>
          <w:szCs w:val="22"/>
        </w:rPr>
        <w:t xml:space="preserve">as a base shape therefore understates typical load diversity and may overstate the 50/50 system peak load.  It results in a </w:t>
      </w:r>
      <w:r w:rsidR="00342297" w:rsidRPr="00C50581">
        <w:rPr>
          <w:rFonts w:ascii="Calibri" w:hAnsi="Calibri" w:cs="Calibri"/>
          <w:color w:val="auto"/>
          <w:sz w:val="22"/>
          <w:szCs w:val="22"/>
        </w:rPr>
        <w:t>82,982</w:t>
      </w:r>
      <w:r w:rsidRPr="00C50581">
        <w:rPr>
          <w:rFonts w:ascii="Calibri" w:hAnsi="Calibri" w:cs="Calibri"/>
          <w:color w:val="auto"/>
          <w:sz w:val="22"/>
          <w:szCs w:val="22"/>
        </w:rPr>
        <w:t xml:space="preserve"> MW system peak load rather than </w:t>
      </w:r>
      <w:r w:rsidR="000D61E5" w:rsidRPr="00C50581">
        <w:rPr>
          <w:rFonts w:ascii="Calibri" w:hAnsi="Calibri" w:cs="Calibri"/>
          <w:color w:val="auto"/>
          <w:sz w:val="22"/>
          <w:szCs w:val="22"/>
        </w:rPr>
        <w:t>81,793</w:t>
      </w:r>
      <w:r w:rsidRPr="00C50581">
        <w:rPr>
          <w:rFonts w:ascii="Calibri" w:hAnsi="Calibri" w:cs="Calibri"/>
          <w:color w:val="auto"/>
          <w:sz w:val="22"/>
          <w:szCs w:val="22"/>
        </w:rPr>
        <w:t xml:space="preserve"> MW 50/50 peak when using the </w:t>
      </w:r>
      <w:r w:rsidR="00342297" w:rsidRPr="00C50581">
        <w:rPr>
          <w:rFonts w:ascii="Calibri" w:hAnsi="Calibri" w:cs="Calibri"/>
          <w:color w:val="auto"/>
          <w:sz w:val="22"/>
          <w:szCs w:val="22"/>
        </w:rPr>
        <w:t xml:space="preserve">median </w:t>
      </w:r>
      <w:r w:rsidRPr="00C50581">
        <w:rPr>
          <w:rFonts w:ascii="Calibri" w:hAnsi="Calibri" w:cs="Calibri"/>
          <w:color w:val="auto"/>
          <w:sz w:val="22"/>
          <w:szCs w:val="22"/>
        </w:rPr>
        <w:t>system peak across the study years (1980–201</w:t>
      </w:r>
      <w:r w:rsidR="000D61E5" w:rsidRPr="00C50581">
        <w:rPr>
          <w:rFonts w:ascii="Calibri" w:hAnsi="Calibri" w:cs="Calibri"/>
          <w:color w:val="auto"/>
          <w:sz w:val="22"/>
          <w:szCs w:val="22"/>
        </w:rPr>
        <w:t>9</w:t>
      </w:r>
      <w:r w:rsidRPr="00C50581">
        <w:rPr>
          <w:rFonts w:ascii="Calibri" w:hAnsi="Calibri" w:cs="Calibri"/>
          <w:color w:val="auto"/>
          <w:sz w:val="22"/>
          <w:szCs w:val="22"/>
        </w:rPr>
        <w:t>).</w:t>
      </w:r>
      <w:r w:rsidRPr="00C50581">
        <w:rPr>
          <w:rStyle w:val="FootnoteReference"/>
          <w:rFonts w:ascii="Calibri" w:hAnsi="Calibri" w:cs="Calibri"/>
          <w:color w:val="auto"/>
          <w:sz w:val="22"/>
          <w:szCs w:val="22"/>
        </w:rPr>
        <w:footnoteReference w:id="34"/>
      </w:r>
      <w:r w:rsidRPr="00C50581">
        <w:rPr>
          <w:rFonts w:ascii="Calibri" w:hAnsi="Calibri" w:cs="Calibri"/>
          <w:color w:val="auto"/>
          <w:sz w:val="22"/>
          <w:szCs w:val="22"/>
        </w:rPr>
        <w:t xml:space="preserve"> For the purposes of this study, this is only a reporting issue and does not affect the underlying hourly weather patterns and loads used in our simulations.  It does cause the EORM and MERM to appear lower than they would if expressed against a 50/50 peak load using typical diversity, by about 1.</w:t>
      </w:r>
      <w:r w:rsidR="00342297" w:rsidRPr="00C50581">
        <w:rPr>
          <w:rFonts w:ascii="Calibri" w:hAnsi="Calibri" w:cs="Calibri"/>
          <w:color w:val="auto"/>
          <w:sz w:val="22"/>
          <w:szCs w:val="22"/>
        </w:rPr>
        <w:t>4</w:t>
      </w:r>
      <w:r w:rsidRPr="00C50581">
        <w:rPr>
          <w:rFonts w:ascii="Calibri" w:hAnsi="Calibri" w:cs="Calibri"/>
          <w:color w:val="auto"/>
          <w:sz w:val="22"/>
          <w:szCs w:val="22"/>
        </w:rPr>
        <w:t xml:space="preserve">% (since the reserve margin is expressed relative to a </w:t>
      </w:r>
      <w:r w:rsidR="000D61E5" w:rsidRPr="00C50581">
        <w:rPr>
          <w:rFonts w:ascii="Calibri" w:hAnsi="Calibri" w:cs="Calibri"/>
          <w:color w:val="auto"/>
          <w:sz w:val="22"/>
          <w:szCs w:val="22"/>
        </w:rPr>
        <w:t>8</w:t>
      </w:r>
      <w:r w:rsidR="00342297" w:rsidRPr="00C50581">
        <w:rPr>
          <w:rFonts w:ascii="Calibri" w:hAnsi="Calibri" w:cs="Calibri"/>
          <w:color w:val="auto"/>
          <w:sz w:val="22"/>
          <w:szCs w:val="22"/>
        </w:rPr>
        <w:t>3</w:t>
      </w:r>
      <w:r w:rsidR="000D61E5" w:rsidRPr="00C50581">
        <w:rPr>
          <w:rFonts w:ascii="Calibri" w:hAnsi="Calibri" w:cs="Calibri"/>
          <w:color w:val="auto"/>
          <w:sz w:val="22"/>
          <w:szCs w:val="22"/>
        </w:rPr>
        <w:t xml:space="preserve"> </w:t>
      </w:r>
      <w:r w:rsidRPr="00C50581">
        <w:rPr>
          <w:rFonts w:ascii="Calibri" w:hAnsi="Calibri" w:cs="Calibri"/>
          <w:color w:val="auto"/>
          <w:sz w:val="22"/>
          <w:szCs w:val="22"/>
        </w:rPr>
        <w:t xml:space="preserve">GW reported peak load when the actual 50/50 corresponding to the same underlying data may be closer to </w:t>
      </w:r>
      <w:r w:rsidR="000D61E5" w:rsidRPr="00C50581">
        <w:rPr>
          <w:rFonts w:ascii="Calibri" w:hAnsi="Calibri" w:cs="Calibri"/>
          <w:color w:val="auto"/>
          <w:sz w:val="22"/>
          <w:szCs w:val="22"/>
        </w:rPr>
        <w:t xml:space="preserve">82 </w:t>
      </w:r>
      <w:r w:rsidRPr="00C50581">
        <w:rPr>
          <w:rFonts w:ascii="Calibri" w:hAnsi="Calibri" w:cs="Calibri"/>
          <w:color w:val="auto"/>
          <w:sz w:val="22"/>
          <w:szCs w:val="22"/>
        </w:rPr>
        <w:t>GW).</w:t>
      </w:r>
    </w:p>
    <w:p w14:paraId="6CB5902F" w14:textId="7870F642" w:rsidR="004B58AD" w:rsidRDefault="004B58AD" w:rsidP="00FA0DFD">
      <w:pPr>
        <w:pStyle w:val="Heading3"/>
        <w:numPr>
          <w:ilvl w:val="0"/>
          <w:numId w:val="18"/>
        </w:numPr>
      </w:pPr>
      <w:bookmarkStart w:id="355" w:name="_Toc526279129"/>
      <w:bookmarkStart w:id="356" w:name="_Toc526437281"/>
      <w:bookmarkStart w:id="357" w:name="_Toc526437468"/>
      <w:bookmarkStart w:id="358" w:name="_Toc526439924"/>
      <w:bookmarkStart w:id="359" w:name="_Toc526440034"/>
      <w:bookmarkStart w:id="360" w:name="_Toc532834311"/>
      <w:bookmarkStart w:id="361" w:name="_Toc57193584"/>
      <w:bookmarkStart w:id="362" w:name="_Toc525079609"/>
      <w:bookmarkStart w:id="363" w:name="_Toc525851036"/>
      <w:bookmarkStart w:id="364" w:name="_Toc525938067"/>
      <w:r>
        <w:t>Demand Shapes and Weather Uncertainty Modeling</w:t>
      </w:r>
      <w:bookmarkEnd w:id="355"/>
      <w:bookmarkEnd w:id="356"/>
      <w:bookmarkEnd w:id="357"/>
      <w:bookmarkEnd w:id="358"/>
      <w:bookmarkEnd w:id="359"/>
      <w:bookmarkEnd w:id="360"/>
      <w:bookmarkEnd w:id="361"/>
      <w:r>
        <w:t xml:space="preserve"> </w:t>
      </w:r>
      <w:bookmarkEnd w:id="362"/>
      <w:bookmarkEnd w:id="363"/>
      <w:bookmarkEnd w:id="364"/>
    </w:p>
    <w:p w14:paraId="0C694AA5" w14:textId="43473FB3" w:rsidR="004B58AD" w:rsidRPr="007D2286" w:rsidRDefault="004B58AD" w:rsidP="004B58AD">
      <w:pPr>
        <w:pStyle w:val="BGNormal125"/>
        <w:rPr>
          <w:rFonts w:ascii="Calibri" w:hAnsi="Calibri" w:cs="Calibri"/>
          <w:color w:val="auto"/>
          <w:sz w:val="22"/>
          <w:szCs w:val="22"/>
        </w:rPr>
      </w:pPr>
      <w:r w:rsidRPr="007D2286">
        <w:rPr>
          <w:rFonts w:ascii="Calibri" w:hAnsi="Calibri" w:cs="Calibri"/>
          <w:color w:val="auto"/>
          <w:sz w:val="22"/>
          <w:szCs w:val="22"/>
        </w:rPr>
        <w:t>We represent weather uncertainty in the projected ERCOT 202</w:t>
      </w:r>
      <w:r w:rsidR="007D2286" w:rsidRPr="007D2286">
        <w:rPr>
          <w:rFonts w:ascii="Calibri" w:hAnsi="Calibri" w:cs="Calibri"/>
          <w:color w:val="auto"/>
          <w:sz w:val="22"/>
          <w:szCs w:val="22"/>
        </w:rPr>
        <w:t>4</w:t>
      </w:r>
      <w:r w:rsidRPr="007D2286">
        <w:rPr>
          <w:rFonts w:ascii="Calibri" w:hAnsi="Calibri" w:cs="Calibri"/>
          <w:color w:val="auto"/>
          <w:sz w:val="22"/>
          <w:szCs w:val="22"/>
        </w:rPr>
        <w:t xml:space="preserve"> peak load by modeling </w:t>
      </w:r>
      <w:r w:rsidR="007D2286" w:rsidRPr="007D2286">
        <w:rPr>
          <w:rFonts w:ascii="Calibri" w:hAnsi="Calibri" w:cs="Calibri"/>
          <w:color w:val="auto"/>
          <w:sz w:val="22"/>
          <w:szCs w:val="22"/>
        </w:rPr>
        <w:t>40</w:t>
      </w:r>
      <w:r w:rsidRPr="007D2286">
        <w:rPr>
          <w:rFonts w:ascii="Calibri" w:hAnsi="Calibri" w:cs="Calibri"/>
          <w:color w:val="auto"/>
          <w:sz w:val="22"/>
          <w:szCs w:val="22"/>
        </w:rPr>
        <w:t xml:space="preserve"> load forecasts based on </w:t>
      </w:r>
      <w:r w:rsidR="007D2286" w:rsidRPr="007D2286">
        <w:rPr>
          <w:rFonts w:ascii="Calibri" w:hAnsi="Calibri" w:cs="Calibri"/>
          <w:color w:val="auto"/>
          <w:sz w:val="22"/>
          <w:szCs w:val="22"/>
        </w:rPr>
        <w:t>40</w:t>
      </w:r>
      <w:r w:rsidRPr="007D2286">
        <w:rPr>
          <w:rFonts w:ascii="Calibri" w:hAnsi="Calibri" w:cs="Calibri"/>
          <w:color w:val="auto"/>
          <w:sz w:val="22"/>
          <w:szCs w:val="22"/>
        </w:rPr>
        <w:t xml:space="preserve"> historical weather years from 1980–201</w:t>
      </w:r>
      <w:r w:rsidR="007D2286" w:rsidRPr="007D2286">
        <w:rPr>
          <w:rFonts w:ascii="Calibri" w:hAnsi="Calibri" w:cs="Calibri"/>
          <w:color w:val="auto"/>
          <w:sz w:val="22"/>
          <w:szCs w:val="22"/>
        </w:rPr>
        <w:t>9</w:t>
      </w:r>
      <w:r w:rsidRPr="007D2286">
        <w:rPr>
          <w:rFonts w:ascii="Calibri" w:hAnsi="Calibri" w:cs="Calibri"/>
          <w:color w:val="auto"/>
          <w:sz w:val="22"/>
          <w:szCs w:val="22"/>
        </w:rPr>
        <w:t xml:space="preserve">, as summarized in </w:t>
      </w:r>
      <w:r w:rsidRPr="007D2286">
        <w:rPr>
          <w:rFonts w:ascii="Calibri" w:hAnsi="Calibri" w:cs="Calibri"/>
          <w:color w:val="auto"/>
          <w:sz w:val="22"/>
          <w:szCs w:val="22"/>
        </w:rPr>
        <w:fldChar w:fldCharType="begin"/>
      </w:r>
      <w:r w:rsidRPr="007D2286">
        <w:rPr>
          <w:rFonts w:ascii="Calibri" w:hAnsi="Calibri" w:cs="Calibri"/>
          <w:color w:val="auto"/>
          <w:sz w:val="22"/>
          <w:szCs w:val="22"/>
        </w:rPr>
        <w:instrText xml:space="preserve"> REF _Ref526445178 \h </w:instrText>
      </w:r>
      <w:r w:rsidR="00132D4F" w:rsidRPr="007D2286">
        <w:rPr>
          <w:rFonts w:ascii="Calibri" w:hAnsi="Calibri" w:cs="Calibri"/>
          <w:color w:val="auto"/>
          <w:sz w:val="22"/>
          <w:szCs w:val="22"/>
        </w:rPr>
        <w:instrText xml:space="preserve"> \* MERGEFORMAT </w:instrText>
      </w:r>
      <w:r w:rsidRPr="007D2286">
        <w:rPr>
          <w:rFonts w:ascii="Calibri" w:hAnsi="Calibri" w:cs="Calibri"/>
          <w:color w:val="auto"/>
          <w:sz w:val="22"/>
          <w:szCs w:val="22"/>
        </w:rPr>
      </w:r>
      <w:r w:rsidRPr="007D2286">
        <w:rPr>
          <w:rFonts w:ascii="Calibri" w:hAnsi="Calibri" w:cs="Calibri"/>
          <w:color w:val="auto"/>
          <w:sz w:val="22"/>
          <w:szCs w:val="22"/>
        </w:rPr>
        <w:fldChar w:fldCharType="separate"/>
      </w:r>
      <w:r w:rsidRPr="007D2286">
        <w:rPr>
          <w:rFonts w:ascii="Calibri" w:hAnsi="Calibri" w:cs="Calibri"/>
          <w:color w:val="auto"/>
          <w:sz w:val="22"/>
          <w:szCs w:val="22"/>
        </w:rPr>
        <w:t>Figure A1-</w:t>
      </w:r>
      <w:r w:rsidRPr="007D2286">
        <w:rPr>
          <w:rFonts w:ascii="Calibri" w:hAnsi="Calibri" w:cs="Calibri"/>
          <w:noProof/>
          <w:color w:val="auto"/>
          <w:sz w:val="22"/>
          <w:szCs w:val="22"/>
        </w:rPr>
        <w:t>1</w:t>
      </w:r>
      <w:r w:rsidRPr="007D2286">
        <w:rPr>
          <w:rFonts w:ascii="Calibri" w:hAnsi="Calibri" w:cs="Calibri"/>
          <w:color w:val="auto"/>
          <w:sz w:val="22"/>
          <w:szCs w:val="22"/>
        </w:rPr>
        <w:fldChar w:fldCharType="end"/>
      </w:r>
      <w:r w:rsidRPr="007D2286">
        <w:rPr>
          <w:rFonts w:ascii="Calibri" w:hAnsi="Calibri" w:cs="Calibri"/>
          <w:color w:val="auto"/>
          <w:sz w:val="22"/>
          <w:szCs w:val="22"/>
        </w:rPr>
        <w:t>.</w:t>
      </w:r>
      <w:r w:rsidRPr="007D2286">
        <w:rPr>
          <w:rStyle w:val="FootnoteReference"/>
          <w:rFonts w:ascii="Calibri" w:hAnsi="Calibri" w:cs="Calibri"/>
          <w:color w:val="auto"/>
          <w:sz w:val="22"/>
          <w:szCs w:val="22"/>
        </w:rPr>
        <w:footnoteReference w:id="35"/>
      </w:r>
      <w:r w:rsidRPr="007D2286">
        <w:rPr>
          <w:rFonts w:ascii="Calibri" w:hAnsi="Calibri" w:cs="Calibri"/>
          <w:color w:val="auto"/>
          <w:sz w:val="22"/>
          <w:szCs w:val="22"/>
        </w:rPr>
        <w:t xml:space="preserve">  ERCOT staff used these </w:t>
      </w:r>
      <w:r w:rsidR="007D2286" w:rsidRPr="007D2286">
        <w:rPr>
          <w:rFonts w:ascii="Calibri" w:hAnsi="Calibri" w:cs="Calibri"/>
          <w:color w:val="auto"/>
          <w:sz w:val="22"/>
          <w:szCs w:val="22"/>
        </w:rPr>
        <w:t>40</w:t>
      </w:r>
      <w:r w:rsidRPr="007D2286">
        <w:rPr>
          <w:rFonts w:ascii="Calibri" w:hAnsi="Calibri" w:cs="Calibri"/>
          <w:color w:val="auto"/>
          <w:sz w:val="22"/>
          <w:szCs w:val="22"/>
        </w:rPr>
        <w:t xml:space="preserve"> weather years as inputs </w:t>
      </w:r>
      <w:r w:rsidRPr="007D2286" w:rsidDel="00D81761">
        <w:rPr>
          <w:rFonts w:ascii="Calibri" w:hAnsi="Calibri" w:cs="Calibri"/>
          <w:color w:val="auto"/>
          <w:sz w:val="22"/>
          <w:szCs w:val="22"/>
        </w:rPr>
        <w:t xml:space="preserve">into </w:t>
      </w:r>
      <w:r w:rsidRPr="007D2286">
        <w:rPr>
          <w:rFonts w:ascii="Calibri" w:hAnsi="Calibri" w:cs="Calibri"/>
          <w:color w:val="auto"/>
          <w:sz w:val="22"/>
          <w:szCs w:val="22"/>
        </w:rPr>
        <w:t>its 20</w:t>
      </w:r>
      <w:r w:rsidR="007D2286" w:rsidRPr="007D2286">
        <w:rPr>
          <w:rFonts w:ascii="Calibri" w:hAnsi="Calibri" w:cs="Calibri"/>
          <w:color w:val="auto"/>
          <w:sz w:val="22"/>
          <w:szCs w:val="22"/>
        </w:rPr>
        <w:t>20</w:t>
      </w:r>
      <w:r w:rsidRPr="007D2286">
        <w:rPr>
          <w:rFonts w:ascii="Calibri" w:hAnsi="Calibri" w:cs="Calibri"/>
          <w:color w:val="auto"/>
          <w:sz w:val="22"/>
          <w:szCs w:val="22"/>
        </w:rPr>
        <w:t xml:space="preserve"> load forecasting model, which produced the range of hourly load forecasts for 202</w:t>
      </w:r>
      <w:r w:rsidR="007D2286" w:rsidRPr="007D2286">
        <w:rPr>
          <w:rFonts w:ascii="Calibri" w:hAnsi="Calibri" w:cs="Calibri"/>
          <w:color w:val="auto"/>
          <w:sz w:val="22"/>
          <w:szCs w:val="22"/>
        </w:rPr>
        <w:t>4</w:t>
      </w:r>
      <w:r w:rsidRPr="007D2286">
        <w:rPr>
          <w:rFonts w:ascii="Calibri" w:hAnsi="Calibri" w:cs="Calibri"/>
          <w:color w:val="auto"/>
          <w:sz w:val="22"/>
          <w:szCs w:val="22"/>
        </w:rPr>
        <w:t xml:space="preserve"> we used in the SERVM model for this study.</w:t>
      </w:r>
      <w:r w:rsidRPr="007D2286">
        <w:rPr>
          <w:rStyle w:val="FootnoteReference"/>
          <w:rFonts w:ascii="Calibri" w:hAnsi="Calibri" w:cs="Calibri"/>
          <w:color w:val="auto"/>
          <w:sz w:val="22"/>
          <w:szCs w:val="22"/>
        </w:rPr>
        <w:footnoteReference w:id="36"/>
      </w:r>
      <w:r w:rsidRPr="007D2286" w:rsidDel="00D81761">
        <w:rPr>
          <w:rFonts w:ascii="Calibri" w:hAnsi="Calibri" w:cs="Calibri"/>
          <w:color w:val="auto"/>
          <w:sz w:val="22"/>
          <w:szCs w:val="22"/>
        </w:rPr>
        <w:t xml:space="preserve"> </w:t>
      </w:r>
    </w:p>
    <w:p w14:paraId="3E616140" w14:textId="39621A56" w:rsidR="004B58AD" w:rsidRPr="007D2286" w:rsidRDefault="004B58AD" w:rsidP="004B58AD">
      <w:pPr>
        <w:pStyle w:val="BGNormal125"/>
        <w:rPr>
          <w:rFonts w:ascii="Calibri" w:hAnsi="Calibri" w:cs="Calibri"/>
          <w:color w:val="auto"/>
          <w:sz w:val="22"/>
          <w:szCs w:val="22"/>
        </w:rPr>
      </w:pPr>
      <w:r w:rsidRPr="007D2286">
        <w:rPr>
          <w:rFonts w:ascii="Calibri" w:hAnsi="Calibri" w:cs="Calibri"/>
          <w:color w:val="auto"/>
          <w:sz w:val="22"/>
          <w:szCs w:val="22"/>
        </w:rPr>
        <w:t>The left chart shows projected 202</w:t>
      </w:r>
      <w:r w:rsidR="007D2286" w:rsidRPr="007D2286">
        <w:rPr>
          <w:rFonts w:ascii="Calibri" w:hAnsi="Calibri" w:cs="Calibri"/>
          <w:color w:val="auto"/>
          <w:sz w:val="22"/>
          <w:szCs w:val="22"/>
        </w:rPr>
        <w:t>4</w:t>
      </w:r>
      <w:r w:rsidRPr="007D2286">
        <w:rPr>
          <w:rFonts w:ascii="Calibri" w:hAnsi="Calibri" w:cs="Calibri"/>
          <w:color w:val="auto"/>
          <w:sz w:val="22"/>
          <w:szCs w:val="22"/>
        </w:rPr>
        <w:t xml:space="preserve"> peak load for each weather year relative to the weather-normal peak load.  The chart illustrates asymmetry in the distribution of peak loads, with the highest projected peak load (based on 2011 weather) at </w:t>
      </w:r>
      <w:r w:rsidR="007D2286" w:rsidRPr="007D2286">
        <w:rPr>
          <w:rFonts w:ascii="Calibri" w:hAnsi="Calibri" w:cs="Calibri"/>
          <w:color w:val="auto"/>
          <w:sz w:val="22"/>
          <w:szCs w:val="22"/>
        </w:rPr>
        <w:t>3.9%</w:t>
      </w:r>
      <w:r w:rsidRPr="007D2286">
        <w:rPr>
          <w:rFonts w:ascii="Calibri" w:hAnsi="Calibri" w:cs="Calibri"/>
          <w:color w:val="auto"/>
          <w:sz w:val="22"/>
          <w:szCs w:val="22"/>
        </w:rPr>
        <w:t xml:space="preserve"> above the weather-normal peak loads, compared to a peak load in the mildest weather year that is only </w:t>
      </w:r>
      <w:r w:rsidR="007D2286" w:rsidRPr="007D2286">
        <w:rPr>
          <w:rFonts w:ascii="Calibri" w:hAnsi="Calibri" w:cs="Calibri"/>
          <w:color w:val="auto"/>
          <w:sz w:val="22"/>
          <w:szCs w:val="22"/>
        </w:rPr>
        <w:t>5.9</w:t>
      </w:r>
      <w:r w:rsidRPr="007D2286">
        <w:rPr>
          <w:rFonts w:ascii="Calibri" w:hAnsi="Calibri" w:cs="Calibri"/>
          <w:color w:val="auto"/>
          <w:sz w:val="22"/>
          <w:szCs w:val="22"/>
        </w:rPr>
        <w:t>% below weather-normal peak load.</w:t>
      </w:r>
    </w:p>
    <w:p w14:paraId="6C44A6B8" w14:textId="41BC5350" w:rsidR="00342297" w:rsidRDefault="004B58AD" w:rsidP="008B0478">
      <w:pPr>
        <w:pStyle w:val="BGNormal125"/>
        <w:spacing w:after="240"/>
        <w:rPr>
          <w:rFonts w:ascii="Calibri" w:hAnsi="Calibri" w:cs="Calibri"/>
          <w:color w:val="auto"/>
          <w:sz w:val="22"/>
          <w:szCs w:val="22"/>
        </w:rPr>
      </w:pPr>
      <w:r w:rsidRPr="007D2286">
        <w:rPr>
          <w:rFonts w:ascii="Calibri" w:hAnsi="Calibri" w:cs="Calibri"/>
          <w:color w:val="auto"/>
          <w:sz w:val="22"/>
          <w:szCs w:val="22"/>
        </w:rPr>
        <w:t xml:space="preserve">The right chart in </w:t>
      </w:r>
      <w:r w:rsidRPr="007D2286">
        <w:rPr>
          <w:rFonts w:ascii="Calibri" w:hAnsi="Calibri" w:cs="Calibri"/>
          <w:color w:val="auto"/>
          <w:sz w:val="22"/>
          <w:szCs w:val="22"/>
        </w:rPr>
        <w:fldChar w:fldCharType="begin"/>
      </w:r>
      <w:r w:rsidRPr="007D2286">
        <w:rPr>
          <w:rFonts w:ascii="Calibri" w:hAnsi="Calibri" w:cs="Calibri"/>
          <w:color w:val="auto"/>
          <w:sz w:val="22"/>
          <w:szCs w:val="22"/>
        </w:rPr>
        <w:instrText xml:space="preserve"> REF _Ref526445178 \h </w:instrText>
      </w:r>
      <w:r w:rsidR="00132D4F" w:rsidRPr="007D2286">
        <w:rPr>
          <w:rFonts w:ascii="Calibri" w:hAnsi="Calibri" w:cs="Calibri"/>
          <w:color w:val="auto"/>
          <w:sz w:val="22"/>
          <w:szCs w:val="22"/>
        </w:rPr>
        <w:instrText xml:space="preserve"> \* MERGEFORMAT </w:instrText>
      </w:r>
      <w:r w:rsidRPr="007D2286">
        <w:rPr>
          <w:rFonts w:ascii="Calibri" w:hAnsi="Calibri" w:cs="Calibri"/>
          <w:color w:val="auto"/>
          <w:sz w:val="22"/>
          <w:szCs w:val="22"/>
        </w:rPr>
      </w:r>
      <w:r w:rsidRPr="007D2286">
        <w:rPr>
          <w:rFonts w:ascii="Calibri" w:hAnsi="Calibri" w:cs="Calibri"/>
          <w:color w:val="auto"/>
          <w:sz w:val="22"/>
          <w:szCs w:val="22"/>
        </w:rPr>
        <w:fldChar w:fldCharType="separate"/>
      </w:r>
      <w:r w:rsidRPr="007D2286">
        <w:rPr>
          <w:rFonts w:ascii="Calibri" w:hAnsi="Calibri" w:cs="Calibri"/>
          <w:color w:val="auto"/>
          <w:sz w:val="22"/>
          <w:szCs w:val="22"/>
        </w:rPr>
        <w:t>Figure A1-</w:t>
      </w:r>
      <w:r w:rsidRPr="007D2286">
        <w:rPr>
          <w:rFonts w:ascii="Calibri" w:hAnsi="Calibri" w:cs="Calibri"/>
          <w:noProof/>
          <w:color w:val="auto"/>
          <w:sz w:val="22"/>
          <w:szCs w:val="22"/>
        </w:rPr>
        <w:t>1</w:t>
      </w:r>
      <w:r w:rsidRPr="007D2286">
        <w:rPr>
          <w:rFonts w:ascii="Calibri" w:hAnsi="Calibri" w:cs="Calibri"/>
          <w:color w:val="auto"/>
          <w:sz w:val="22"/>
          <w:szCs w:val="22"/>
        </w:rPr>
        <w:fldChar w:fldCharType="end"/>
      </w:r>
      <w:r w:rsidRPr="007D2286">
        <w:rPr>
          <w:rFonts w:ascii="Calibri" w:hAnsi="Calibri" w:cs="Calibri"/>
          <w:color w:val="auto"/>
          <w:sz w:val="22"/>
          <w:szCs w:val="22"/>
        </w:rPr>
        <w:t xml:space="preserve"> shows the 202</w:t>
      </w:r>
      <w:r w:rsidR="007B5828">
        <w:rPr>
          <w:rFonts w:ascii="Calibri" w:hAnsi="Calibri" w:cs="Calibri"/>
          <w:color w:val="auto"/>
          <w:sz w:val="22"/>
          <w:szCs w:val="22"/>
        </w:rPr>
        <w:t>4</w:t>
      </w:r>
      <w:r w:rsidRPr="007D2286">
        <w:rPr>
          <w:rFonts w:ascii="Calibri" w:hAnsi="Calibri" w:cs="Calibri"/>
          <w:color w:val="auto"/>
          <w:sz w:val="22"/>
          <w:szCs w:val="22"/>
        </w:rPr>
        <w:t xml:space="preserve"> load duration curves</w:t>
      </w:r>
      <w:r w:rsidRPr="007D2286" w:rsidDel="0042727B">
        <w:rPr>
          <w:rFonts w:ascii="Calibri" w:hAnsi="Calibri" w:cs="Calibri"/>
          <w:color w:val="auto"/>
          <w:sz w:val="22"/>
          <w:szCs w:val="22"/>
        </w:rPr>
        <w:t xml:space="preserve"> </w:t>
      </w:r>
      <w:r w:rsidRPr="007D2286">
        <w:rPr>
          <w:rFonts w:ascii="Calibri" w:hAnsi="Calibri" w:cs="Calibri"/>
          <w:color w:val="auto"/>
          <w:sz w:val="22"/>
          <w:szCs w:val="22"/>
        </w:rPr>
        <w:t xml:space="preserve">for the 250 highest-load hours in each of the </w:t>
      </w:r>
      <w:r w:rsidR="007D2286" w:rsidRPr="007D2286">
        <w:rPr>
          <w:rFonts w:ascii="Calibri" w:hAnsi="Calibri" w:cs="Calibri"/>
          <w:color w:val="auto"/>
          <w:sz w:val="22"/>
          <w:szCs w:val="22"/>
        </w:rPr>
        <w:t>40</w:t>
      </w:r>
      <w:r w:rsidRPr="007D2286">
        <w:rPr>
          <w:rFonts w:ascii="Calibri" w:hAnsi="Calibri" w:cs="Calibri"/>
          <w:color w:val="auto"/>
          <w:sz w:val="22"/>
          <w:szCs w:val="22"/>
        </w:rPr>
        <w:t xml:space="preserve"> weather years.  The light blue load duration curve is based on the extreme and extended hot summer weather in 2011.  As shown, the entire load duration curve </w:t>
      </w:r>
      <w:r w:rsidRPr="007D2286" w:rsidDel="0042727B">
        <w:rPr>
          <w:rFonts w:ascii="Calibri" w:hAnsi="Calibri" w:cs="Calibri"/>
          <w:color w:val="auto"/>
          <w:sz w:val="22"/>
          <w:szCs w:val="22"/>
        </w:rPr>
        <w:t xml:space="preserve">from </w:t>
      </w:r>
      <w:r w:rsidRPr="007D2286">
        <w:rPr>
          <w:rFonts w:ascii="Calibri" w:hAnsi="Calibri" w:cs="Calibri"/>
          <w:color w:val="auto"/>
          <w:sz w:val="22"/>
          <w:szCs w:val="22"/>
        </w:rPr>
        <w:t xml:space="preserve">2011 weather is far above all other weather years in the top 250 hours.  This extreme heat resulted in a number of emergency events and price spikes during the summer of 2011, which is described by some as a 1-in-100 weather year.  Despite this, our base case assigns equal probability to all </w:t>
      </w:r>
      <w:r w:rsidR="007D2286" w:rsidRPr="007D2286">
        <w:rPr>
          <w:rFonts w:ascii="Calibri" w:hAnsi="Calibri" w:cs="Calibri"/>
          <w:color w:val="auto"/>
          <w:sz w:val="22"/>
          <w:szCs w:val="22"/>
        </w:rPr>
        <w:t>40</w:t>
      </w:r>
      <w:r w:rsidRPr="007D2286">
        <w:rPr>
          <w:rFonts w:ascii="Calibri" w:hAnsi="Calibri" w:cs="Calibri"/>
          <w:color w:val="auto"/>
          <w:sz w:val="22"/>
          <w:szCs w:val="22"/>
        </w:rPr>
        <w:t xml:space="preserve"> weather years because the sample set is large enough to be reasonably representative of weather patterns.  </w:t>
      </w:r>
      <w:r w:rsidRPr="00054BB5">
        <w:rPr>
          <w:rFonts w:ascii="Calibri" w:hAnsi="Calibri" w:cs="Calibri"/>
          <w:color w:val="auto"/>
          <w:sz w:val="22"/>
          <w:szCs w:val="22"/>
        </w:rPr>
        <w:t xml:space="preserve">We also report the MERM and EORM under </w:t>
      </w:r>
      <w:r w:rsidR="00054BB5" w:rsidRPr="00054BB5">
        <w:rPr>
          <w:rFonts w:ascii="Calibri" w:hAnsi="Calibri" w:cs="Calibri"/>
          <w:color w:val="auto"/>
          <w:sz w:val="22"/>
          <w:szCs w:val="22"/>
        </w:rPr>
        <w:t xml:space="preserve">an </w:t>
      </w:r>
      <w:r w:rsidRPr="00054BB5">
        <w:rPr>
          <w:rFonts w:ascii="Calibri" w:hAnsi="Calibri" w:cs="Calibri"/>
          <w:color w:val="auto"/>
          <w:sz w:val="22"/>
          <w:szCs w:val="22"/>
        </w:rPr>
        <w:t>alternative weather weight</w:t>
      </w:r>
      <w:r w:rsidR="00054BB5" w:rsidRPr="00054BB5">
        <w:rPr>
          <w:rFonts w:ascii="Calibri" w:hAnsi="Calibri" w:cs="Calibri"/>
          <w:color w:val="auto"/>
          <w:sz w:val="22"/>
          <w:szCs w:val="22"/>
        </w:rPr>
        <w:t xml:space="preserve"> of equal probability of the last 15 years.</w:t>
      </w:r>
      <w:r w:rsidRPr="00054BB5">
        <w:rPr>
          <w:rFonts w:ascii="Calibri" w:hAnsi="Calibri" w:cs="Calibri"/>
          <w:color w:val="auto"/>
          <w:sz w:val="22"/>
          <w:szCs w:val="22"/>
        </w:rPr>
        <w:t xml:space="preserve"> </w:t>
      </w:r>
    </w:p>
    <w:p w14:paraId="70D50504" w14:textId="436C4C3F" w:rsidR="000F0C8B" w:rsidRDefault="000F0C8B" w:rsidP="008B0478">
      <w:pPr>
        <w:pStyle w:val="BGNormal125"/>
        <w:spacing w:after="240"/>
        <w:rPr>
          <w:rFonts w:ascii="Calibri" w:hAnsi="Calibri" w:cs="Calibri"/>
          <w:color w:val="auto"/>
          <w:sz w:val="22"/>
          <w:szCs w:val="22"/>
        </w:rPr>
      </w:pPr>
    </w:p>
    <w:p w14:paraId="2CB5DF3C" w14:textId="6B7AB8F4" w:rsidR="000F0C8B" w:rsidRDefault="000F0C8B" w:rsidP="008B0478">
      <w:pPr>
        <w:pStyle w:val="BGNormal125"/>
        <w:spacing w:after="240"/>
        <w:rPr>
          <w:rFonts w:ascii="Calibri" w:hAnsi="Calibri" w:cs="Calibri"/>
          <w:color w:val="auto"/>
          <w:sz w:val="22"/>
          <w:szCs w:val="22"/>
        </w:rPr>
      </w:pPr>
    </w:p>
    <w:p w14:paraId="5E1661A6" w14:textId="6A365E3E" w:rsidR="000F0C8B" w:rsidRDefault="000F0C8B" w:rsidP="008B0478">
      <w:pPr>
        <w:pStyle w:val="BGNormal125"/>
        <w:spacing w:after="240"/>
        <w:rPr>
          <w:rFonts w:ascii="Calibri" w:hAnsi="Calibri" w:cs="Calibri"/>
          <w:color w:val="auto"/>
          <w:sz w:val="22"/>
          <w:szCs w:val="22"/>
        </w:rPr>
      </w:pPr>
    </w:p>
    <w:p w14:paraId="42CA5BD2" w14:textId="555556A9" w:rsidR="000F0C8B" w:rsidRDefault="000F0C8B" w:rsidP="008B0478">
      <w:pPr>
        <w:pStyle w:val="BGNormal125"/>
        <w:spacing w:after="240"/>
        <w:rPr>
          <w:rFonts w:ascii="Calibri" w:hAnsi="Calibri" w:cs="Calibri"/>
          <w:color w:val="auto"/>
          <w:sz w:val="22"/>
          <w:szCs w:val="22"/>
        </w:rPr>
      </w:pPr>
    </w:p>
    <w:p w14:paraId="45EA7499" w14:textId="263F5D1F" w:rsidR="000F0C8B" w:rsidRDefault="000F0C8B" w:rsidP="008B0478">
      <w:pPr>
        <w:pStyle w:val="BGNormal125"/>
        <w:spacing w:after="240"/>
        <w:rPr>
          <w:rFonts w:ascii="Calibri" w:hAnsi="Calibri" w:cs="Calibri"/>
          <w:color w:val="auto"/>
          <w:sz w:val="22"/>
          <w:szCs w:val="22"/>
        </w:rPr>
      </w:pPr>
    </w:p>
    <w:p w14:paraId="67E427CE" w14:textId="77777777" w:rsidR="000F0C8B" w:rsidRPr="008B0478" w:rsidRDefault="000F0C8B" w:rsidP="008B0478">
      <w:pPr>
        <w:pStyle w:val="BGNormal125"/>
        <w:spacing w:after="240"/>
        <w:rPr>
          <w:rFonts w:ascii="Calibri" w:hAnsi="Calibri" w:cs="Calibri"/>
          <w:color w:val="auto"/>
          <w:sz w:val="22"/>
          <w:szCs w:val="22"/>
        </w:rPr>
      </w:pPr>
    </w:p>
    <w:p w14:paraId="052958DE" w14:textId="287E501D" w:rsidR="004B58AD" w:rsidRPr="007D2286" w:rsidRDefault="004B58AD" w:rsidP="00132D4F">
      <w:pPr>
        <w:pStyle w:val="Caption"/>
        <w:jc w:val="center"/>
        <w:rPr>
          <w:b/>
          <w:bCs/>
          <w:i w:val="0"/>
          <w:iCs w:val="0"/>
          <w:color w:val="auto"/>
          <w:sz w:val="22"/>
          <w:szCs w:val="22"/>
        </w:rPr>
      </w:pPr>
      <w:bookmarkStart w:id="365" w:name="_Ref526445178"/>
      <w:r w:rsidRPr="007D2286">
        <w:rPr>
          <w:b/>
          <w:bCs/>
          <w:i w:val="0"/>
          <w:iCs w:val="0"/>
          <w:color w:val="auto"/>
          <w:sz w:val="22"/>
          <w:szCs w:val="22"/>
        </w:rPr>
        <w:t>Figure A1-</w:t>
      </w:r>
      <w:r w:rsidRPr="007D2286">
        <w:rPr>
          <w:b/>
          <w:bCs/>
          <w:i w:val="0"/>
          <w:iCs w:val="0"/>
          <w:noProof/>
          <w:color w:val="auto"/>
          <w:sz w:val="22"/>
          <w:szCs w:val="22"/>
        </w:rPr>
        <w:fldChar w:fldCharType="begin"/>
      </w:r>
      <w:r w:rsidRPr="007D2286">
        <w:rPr>
          <w:b/>
          <w:bCs/>
          <w:i w:val="0"/>
          <w:iCs w:val="0"/>
          <w:noProof/>
          <w:color w:val="auto"/>
          <w:sz w:val="22"/>
          <w:szCs w:val="22"/>
        </w:rPr>
        <w:instrText xml:space="preserve"> SEQ Figure_A1- \* ARABIC </w:instrText>
      </w:r>
      <w:r w:rsidRPr="007D2286">
        <w:rPr>
          <w:b/>
          <w:bCs/>
          <w:i w:val="0"/>
          <w:iCs w:val="0"/>
          <w:noProof/>
          <w:color w:val="auto"/>
          <w:sz w:val="22"/>
          <w:szCs w:val="22"/>
        </w:rPr>
        <w:fldChar w:fldCharType="separate"/>
      </w:r>
      <w:r w:rsidR="00CF57C0">
        <w:rPr>
          <w:b/>
          <w:bCs/>
          <w:i w:val="0"/>
          <w:iCs w:val="0"/>
          <w:noProof/>
          <w:color w:val="auto"/>
          <w:sz w:val="22"/>
          <w:szCs w:val="22"/>
        </w:rPr>
        <w:t>1</w:t>
      </w:r>
      <w:r w:rsidRPr="007D2286">
        <w:rPr>
          <w:b/>
          <w:bCs/>
          <w:i w:val="0"/>
          <w:iCs w:val="0"/>
          <w:noProof/>
          <w:color w:val="auto"/>
          <w:sz w:val="22"/>
          <w:szCs w:val="22"/>
        </w:rPr>
        <w:fldChar w:fldCharType="end"/>
      </w:r>
      <w:bookmarkEnd w:id="365"/>
      <w:r w:rsidR="00132D4F" w:rsidRPr="007D2286">
        <w:rPr>
          <w:b/>
          <w:bCs/>
          <w:i w:val="0"/>
          <w:iCs w:val="0"/>
          <w:noProof/>
          <w:color w:val="auto"/>
          <w:sz w:val="22"/>
          <w:szCs w:val="22"/>
        </w:rPr>
        <w:t xml:space="preserve">. </w:t>
      </w:r>
      <w:r w:rsidRPr="007D2286">
        <w:rPr>
          <w:b/>
          <w:bCs/>
          <w:i w:val="0"/>
          <w:iCs w:val="0"/>
          <w:color w:val="auto"/>
          <w:sz w:val="22"/>
          <w:szCs w:val="22"/>
        </w:rPr>
        <w:t>ERCOT Peak Load (Left) and Peak Load Duration Curve (Right) by Weather Year</w:t>
      </w:r>
    </w:p>
    <w:p w14:paraId="1E42F0F3" w14:textId="331BDD6F" w:rsidR="004B58AD" w:rsidRPr="00132D4F" w:rsidRDefault="004B58AD" w:rsidP="004B58AD">
      <w:pPr>
        <w:pStyle w:val="BGInsertGraphic"/>
        <w:keepNext/>
        <w:rPr>
          <w:rFonts w:ascii="Calibri" w:hAnsi="Calibri" w:cs="Calibri"/>
          <w:color w:val="C00000"/>
        </w:rPr>
      </w:pPr>
      <w:r w:rsidRPr="00132D4F">
        <w:rPr>
          <w:rFonts w:ascii="Calibri" w:hAnsi="Calibri" w:cs="Calibri"/>
          <w:noProof/>
          <w:color w:val="C00000"/>
        </w:rPr>
        <w:t xml:space="preserve"> </w:t>
      </w:r>
      <w:r w:rsidRPr="00132D4F">
        <w:rPr>
          <w:rFonts w:ascii="Calibri" w:hAnsi="Calibri" w:cs="Calibri"/>
          <w:color w:val="C00000"/>
        </w:rPr>
        <w:t xml:space="preserve"> </w:t>
      </w:r>
      <w:r w:rsidRPr="00132D4F">
        <w:rPr>
          <w:rFonts w:ascii="Calibri" w:hAnsi="Calibri" w:cs="Calibri"/>
          <w:noProof/>
          <w:color w:val="C00000"/>
        </w:rPr>
        <w:t xml:space="preserve">  </w:t>
      </w:r>
      <w:r w:rsidR="007D2286">
        <w:rPr>
          <w:rFonts w:ascii="Calibri" w:hAnsi="Calibri" w:cs="Calibri"/>
          <w:noProof/>
          <w:color w:val="C00000"/>
        </w:rPr>
        <w:drawing>
          <wp:inline distT="0" distB="0" distL="0" distR="0" wp14:anchorId="2BF61DA3" wp14:editId="2248C4B4">
            <wp:extent cx="2926080" cy="267384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6080" cy="2673840"/>
                    </a:xfrm>
                    <a:prstGeom prst="rect">
                      <a:avLst/>
                    </a:prstGeom>
                    <a:noFill/>
                  </pic:spPr>
                </pic:pic>
              </a:graphicData>
            </a:graphic>
          </wp:inline>
        </w:drawing>
      </w:r>
      <w:r w:rsidR="007D2286">
        <w:rPr>
          <w:rFonts w:ascii="Calibri" w:hAnsi="Calibri" w:cs="Calibri"/>
          <w:noProof/>
          <w:color w:val="C00000"/>
        </w:rPr>
        <w:drawing>
          <wp:inline distT="0" distB="0" distL="0" distR="0" wp14:anchorId="38616132" wp14:editId="5184806D">
            <wp:extent cx="2905125" cy="266334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8239" cy="2666203"/>
                    </a:xfrm>
                    <a:prstGeom prst="rect">
                      <a:avLst/>
                    </a:prstGeom>
                    <a:noFill/>
                  </pic:spPr>
                </pic:pic>
              </a:graphicData>
            </a:graphic>
          </wp:inline>
        </w:drawing>
      </w:r>
    </w:p>
    <w:p w14:paraId="089142CD" w14:textId="187279E3" w:rsidR="004B58AD" w:rsidRPr="007D2286" w:rsidRDefault="004B58AD" w:rsidP="0045754A">
      <w:pPr>
        <w:pStyle w:val="BGNotesFiguresTables"/>
        <w:keepNext/>
        <w:tabs>
          <w:tab w:val="left" w:pos="450"/>
          <w:tab w:val="left" w:pos="9090"/>
        </w:tabs>
        <w:spacing w:before="0"/>
        <w:ind w:left="630" w:right="180" w:hanging="360"/>
        <w:jc w:val="center"/>
        <w:rPr>
          <w:rFonts w:cs="Calibri"/>
          <w:color w:val="auto"/>
        </w:rPr>
      </w:pPr>
      <w:r w:rsidRPr="007D2286">
        <w:rPr>
          <w:rFonts w:cs="Calibri"/>
          <w:i/>
          <w:color w:val="auto"/>
        </w:rPr>
        <w:t>Sources and Notes:</w:t>
      </w:r>
      <w:r w:rsidR="0045754A">
        <w:rPr>
          <w:rFonts w:cs="Calibri"/>
          <w:i/>
          <w:color w:val="auto"/>
        </w:rPr>
        <w:t xml:space="preserve"> </w:t>
      </w:r>
      <w:r w:rsidRPr="007D2286">
        <w:rPr>
          <w:rFonts w:cs="Calibri"/>
          <w:color w:val="auto"/>
        </w:rPr>
        <w:t>ERCOT load shapes provided by ERCOT staff.</w:t>
      </w:r>
    </w:p>
    <w:p w14:paraId="47BC5E75" w14:textId="231204E1" w:rsidR="004B58AD" w:rsidRDefault="004B58AD" w:rsidP="00FA0DFD">
      <w:pPr>
        <w:pStyle w:val="Heading3"/>
        <w:numPr>
          <w:ilvl w:val="0"/>
          <w:numId w:val="18"/>
        </w:numPr>
      </w:pPr>
      <w:bookmarkStart w:id="366" w:name="_Toc526279130"/>
      <w:bookmarkStart w:id="367" w:name="_Toc526437282"/>
      <w:bookmarkStart w:id="368" w:name="_Toc526437469"/>
      <w:bookmarkStart w:id="369" w:name="_Toc526439925"/>
      <w:bookmarkStart w:id="370" w:name="_Toc526440035"/>
      <w:bookmarkStart w:id="371" w:name="_Toc532834312"/>
      <w:bookmarkStart w:id="372" w:name="_Toc57193585"/>
      <w:bookmarkStart w:id="373" w:name="_Toc525079610"/>
      <w:bookmarkStart w:id="374" w:name="_Toc525851037"/>
      <w:bookmarkStart w:id="375" w:name="_Toc525938068"/>
      <w:r>
        <w:t>Non-Weather Demand Forecast Uncertainty and Forward Period</w:t>
      </w:r>
      <w:bookmarkEnd w:id="366"/>
      <w:bookmarkEnd w:id="367"/>
      <w:bookmarkEnd w:id="368"/>
      <w:bookmarkEnd w:id="369"/>
      <w:bookmarkEnd w:id="370"/>
      <w:bookmarkEnd w:id="371"/>
      <w:bookmarkEnd w:id="372"/>
      <w:r>
        <w:t xml:space="preserve"> </w:t>
      </w:r>
      <w:bookmarkEnd w:id="373"/>
      <w:bookmarkEnd w:id="374"/>
      <w:bookmarkEnd w:id="375"/>
    </w:p>
    <w:p w14:paraId="208079E2" w14:textId="77777777" w:rsidR="004B58AD" w:rsidRPr="000B48EC" w:rsidRDefault="004B58AD" w:rsidP="004B58AD">
      <w:pPr>
        <w:pStyle w:val="BGNormal125"/>
        <w:rPr>
          <w:rFonts w:ascii="Calibri" w:hAnsi="Calibri" w:cs="Calibri"/>
          <w:color w:val="auto"/>
          <w:sz w:val="22"/>
          <w:szCs w:val="22"/>
        </w:rPr>
      </w:pPr>
      <w:r w:rsidRPr="000B48EC">
        <w:rPr>
          <w:rFonts w:ascii="Calibri" w:hAnsi="Calibri" w:cs="Calibri"/>
          <w:color w:val="auto"/>
          <w:sz w:val="22"/>
          <w:szCs w:val="22"/>
        </w:rPr>
        <w:t xml:space="preserve">Forward-looking “planning” or “target” reserve margins differ from actually-realized reserve margins because both realized peak load and actual available resources can differ from projections.  One cause of forecast error is simply the weather.  Another is due to uncertainties in population growth, economic growth, efficiency rates, and other factors.  These non-weather drivers of load forecast errors (LFEs) differ from weather-related LFEs because they increase with the forward planning period, while weather uncertainties will generally remain constant and be independent with the forward period.  </w:t>
      </w:r>
    </w:p>
    <w:p w14:paraId="7BD0A299" w14:textId="78F3DC72" w:rsidR="004B58AD" w:rsidRPr="000B48EC" w:rsidRDefault="004B58AD" w:rsidP="004B58AD">
      <w:pPr>
        <w:pStyle w:val="BGNormal125"/>
        <w:rPr>
          <w:rFonts w:ascii="Calibri" w:hAnsi="Calibri" w:cs="Calibri"/>
          <w:color w:val="auto"/>
          <w:sz w:val="22"/>
          <w:szCs w:val="22"/>
        </w:rPr>
      </w:pPr>
      <w:r w:rsidRPr="000B48EC">
        <w:rPr>
          <w:rFonts w:ascii="Calibri" w:hAnsi="Calibri" w:cs="Calibri"/>
          <w:color w:val="auto"/>
          <w:sz w:val="22"/>
          <w:szCs w:val="22"/>
        </w:rPr>
        <w:t xml:space="preserve">As shown in the left chart of </w:t>
      </w:r>
      <w:r w:rsidRPr="000B48EC">
        <w:rPr>
          <w:rFonts w:ascii="Calibri" w:hAnsi="Calibri" w:cs="Calibri"/>
          <w:color w:val="auto"/>
          <w:sz w:val="22"/>
          <w:szCs w:val="22"/>
        </w:rPr>
        <w:fldChar w:fldCharType="begin"/>
      </w:r>
      <w:r w:rsidRPr="000B48EC">
        <w:rPr>
          <w:rFonts w:ascii="Calibri" w:hAnsi="Calibri" w:cs="Calibri"/>
          <w:color w:val="auto"/>
          <w:sz w:val="22"/>
          <w:szCs w:val="22"/>
        </w:rPr>
        <w:instrText xml:space="preserve"> REF _Ref377112556 \h </w:instrText>
      </w:r>
      <w:r w:rsidR="00132D4F" w:rsidRPr="000B48EC">
        <w:rPr>
          <w:rFonts w:ascii="Calibri" w:hAnsi="Calibri" w:cs="Calibri"/>
          <w:color w:val="auto"/>
          <w:sz w:val="22"/>
          <w:szCs w:val="22"/>
        </w:rPr>
        <w:instrText xml:space="preserve"> \* MERGEFORMAT </w:instrText>
      </w:r>
      <w:r w:rsidRPr="000B48EC">
        <w:rPr>
          <w:rFonts w:ascii="Calibri" w:hAnsi="Calibri" w:cs="Calibri"/>
          <w:color w:val="auto"/>
          <w:sz w:val="22"/>
          <w:szCs w:val="22"/>
        </w:rPr>
      </w:r>
      <w:r w:rsidRPr="000B48EC">
        <w:rPr>
          <w:rFonts w:ascii="Calibri" w:hAnsi="Calibri" w:cs="Calibri"/>
          <w:color w:val="auto"/>
          <w:sz w:val="22"/>
          <w:szCs w:val="22"/>
        </w:rPr>
        <w:fldChar w:fldCharType="separate"/>
      </w:r>
      <w:r w:rsidR="000B48EC" w:rsidRPr="000B48EC">
        <w:rPr>
          <w:rFonts w:ascii="Calibri" w:hAnsi="Calibri" w:cs="Calibri"/>
          <w:color w:val="auto"/>
          <w:sz w:val="22"/>
          <w:szCs w:val="22"/>
        </w:rPr>
        <w:t>Figure A1-2</w:t>
      </w:r>
      <w:r w:rsidRPr="000B48EC">
        <w:rPr>
          <w:rFonts w:ascii="Calibri" w:hAnsi="Calibri" w:cs="Calibri"/>
          <w:color w:val="auto"/>
          <w:sz w:val="22"/>
          <w:szCs w:val="22"/>
        </w:rPr>
        <w:fldChar w:fldCharType="end"/>
      </w:r>
      <w:r w:rsidRPr="000B48EC">
        <w:rPr>
          <w:rFonts w:ascii="Calibri" w:hAnsi="Calibri" w:cs="Calibri"/>
          <w:color w:val="auto"/>
          <w:sz w:val="22"/>
          <w:szCs w:val="22"/>
        </w:rPr>
        <w:t>, we assume that non-weather LFE is normally distributed with a standard deviation of 0.</w:t>
      </w:r>
      <w:r w:rsidR="000B48EC" w:rsidRPr="000B48EC">
        <w:rPr>
          <w:rFonts w:ascii="Calibri" w:hAnsi="Calibri" w:cs="Calibri"/>
          <w:color w:val="auto"/>
          <w:sz w:val="22"/>
          <w:szCs w:val="22"/>
        </w:rPr>
        <w:t>43</w:t>
      </w:r>
      <w:r w:rsidRPr="000B48EC">
        <w:rPr>
          <w:rFonts w:ascii="Calibri" w:hAnsi="Calibri" w:cs="Calibri"/>
          <w:color w:val="auto"/>
          <w:sz w:val="22"/>
          <w:szCs w:val="22"/>
        </w:rPr>
        <w:t>% on a 1-year forward basis, increasing by 0.6</w:t>
      </w:r>
      <w:r w:rsidR="000B48EC" w:rsidRPr="000B48EC">
        <w:rPr>
          <w:rFonts w:ascii="Calibri" w:hAnsi="Calibri" w:cs="Calibri"/>
          <w:color w:val="auto"/>
          <w:sz w:val="22"/>
          <w:szCs w:val="22"/>
        </w:rPr>
        <w:t>6</w:t>
      </w:r>
      <w:r w:rsidRPr="000B48EC">
        <w:rPr>
          <w:rFonts w:ascii="Calibri" w:hAnsi="Calibri" w:cs="Calibri"/>
          <w:color w:val="auto"/>
          <w:sz w:val="22"/>
          <w:szCs w:val="22"/>
        </w:rPr>
        <w:t>% with each additional forward year.</w:t>
      </w:r>
      <w:r w:rsidRPr="000B48EC">
        <w:rPr>
          <w:rStyle w:val="FootnoteReference"/>
          <w:rFonts w:ascii="Calibri" w:hAnsi="Calibri" w:cs="Calibri"/>
          <w:color w:val="auto"/>
          <w:sz w:val="22"/>
          <w:szCs w:val="22"/>
        </w:rPr>
        <w:footnoteReference w:id="37"/>
      </w:r>
      <w:r w:rsidRPr="000B48EC">
        <w:rPr>
          <w:rFonts w:ascii="Calibri" w:hAnsi="Calibri" w:cs="Calibri"/>
          <w:color w:val="auto"/>
          <w:sz w:val="22"/>
          <w:szCs w:val="22"/>
        </w:rPr>
        <w:t xml:space="preserve">  The distribution includes no bias or asymmetry in non-weather LFEs, unlike the weather-driven LFE in ERCOT, which has more upside than downside uncertainty.</w:t>
      </w:r>
    </w:p>
    <w:p w14:paraId="0DFABD13" w14:textId="3D57C9CA" w:rsidR="004B58AD" w:rsidRPr="000B48EC" w:rsidRDefault="004B58AD" w:rsidP="008B0478">
      <w:pPr>
        <w:pStyle w:val="BGNormal125"/>
        <w:spacing w:after="240"/>
        <w:rPr>
          <w:rFonts w:ascii="Calibri" w:hAnsi="Calibri" w:cs="Calibri"/>
          <w:color w:val="C00000"/>
          <w:sz w:val="22"/>
          <w:szCs w:val="22"/>
        </w:rPr>
      </w:pPr>
      <w:r w:rsidRPr="000B48EC">
        <w:rPr>
          <w:rFonts w:ascii="Calibri" w:hAnsi="Calibri" w:cs="Calibri"/>
          <w:color w:val="auto"/>
          <w:sz w:val="22"/>
          <w:szCs w:val="22"/>
        </w:rPr>
        <w:t xml:space="preserve">For our purposes, the relevant forward period for characterizing non-weather LFEs is the period at which investment decisions must be finalized.  We assume investment decisions must be finalized </w:t>
      </w:r>
      <w:r w:rsidR="000B48EC" w:rsidRPr="000B48EC">
        <w:rPr>
          <w:rFonts w:ascii="Calibri" w:hAnsi="Calibri" w:cs="Calibri"/>
          <w:color w:val="auto"/>
          <w:sz w:val="22"/>
          <w:szCs w:val="22"/>
        </w:rPr>
        <w:t>four</w:t>
      </w:r>
      <w:r w:rsidRPr="000B48EC">
        <w:rPr>
          <w:rFonts w:ascii="Calibri" w:hAnsi="Calibri" w:cs="Calibri"/>
          <w:color w:val="auto"/>
          <w:sz w:val="22"/>
          <w:szCs w:val="22"/>
        </w:rPr>
        <w:t xml:space="preserve"> years prior to delivery, consistent with the approximate construction lead time for new generation resources.  This means that available supply and the expected planning reserve margin are “locked in” at </w:t>
      </w:r>
      <w:r w:rsidR="000B48EC" w:rsidRPr="000B48EC">
        <w:rPr>
          <w:rFonts w:ascii="Calibri" w:hAnsi="Calibri" w:cs="Calibri"/>
          <w:color w:val="auto"/>
          <w:sz w:val="22"/>
          <w:szCs w:val="22"/>
        </w:rPr>
        <w:t xml:space="preserve">four </w:t>
      </w:r>
      <w:r w:rsidRPr="000B48EC">
        <w:rPr>
          <w:rFonts w:ascii="Calibri" w:hAnsi="Calibri" w:cs="Calibri"/>
          <w:color w:val="auto"/>
          <w:sz w:val="22"/>
          <w:szCs w:val="22"/>
        </w:rPr>
        <w:t>years</w:t>
      </w:r>
      <w:r w:rsidR="000B48EC" w:rsidRPr="000B48EC">
        <w:rPr>
          <w:rFonts w:ascii="Calibri" w:hAnsi="Calibri" w:cs="Calibri"/>
          <w:color w:val="auto"/>
          <w:sz w:val="22"/>
          <w:szCs w:val="22"/>
        </w:rPr>
        <w:t xml:space="preserve"> </w:t>
      </w:r>
      <w:r w:rsidRPr="000B48EC">
        <w:rPr>
          <w:rFonts w:ascii="Calibri" w:hAnsi="Calibri" w:cs="Calibri"/>
          <w:color w:val="auto"/>
          <w:sz w:val="22"/>
          <w:szCs w:val="22"/>
        </w:rPr>
        <w:t xml:space="preserve">forward, and the realized reserve margin may differ substantially as both weather and non-weather uncertainties are resolved as the delivery year approaches.  The right-hand chart of </w:t>
      </w:r>
      <w:r w:rsidRPr="000B48EC">
        <w:rPr>
          <w:rFonts w:ascii="Calibri" w:hAnsi="Calibri" w:cs="Calibri"/>
          <w:color w:val="auto"/>
          <w:sz w:val="22"/>
          <w:szCs w:val="22"/>
        </w:rPr>
        <w:fldChar w:fldCharType="begin"/>
      </w:r>
      <w:r w:rsidRPr="000B48EC">
        <w:rPr>
          <w:rFonts w:ascii="Calibri" w:hAnsi="Calibri" w:cs="Calibri"/>
          <w:color w:val="auto"/>
          <w:sz w:val="22"/>
          <w:szCs w:val="22"/>
        </w:rPr>
        <w:instrText xml:space="preserve"> REF _Ref377112556 \h </w:instrText>
      </w:r>
      <w:r w:rsidR="00132D4F" w:rsidRPr="000B48EC">
        <w:rPr>
          <w:rFonts w:ascii="Calibri" w:hAnsi="Calibri" w:cs="Calibri"/>
          <w:color w:val="auto"/>
          <w:sz w:val="22"/>
          <w:szCs w:val="22"/>
        </w:rPr>
        <w:instrText xml:space="preserve"> \* MERGEFORMAT </w:instrText>
      </w:r>
      <w:r w:rsidRPr="000B48EC">
        <w:rPr>
          <w:rFonts w:ascii="Calibri" w:hAnsi="Calibri" w:cs="Calibri"/>
          <w:color w:val="auto"/>
          <w:sz w:val="22"/>
          <w:szCs w:val="22"/>
        </w:rPr>
      </w:r>
      <w:r w:rsidRPr="000B48EC">
        <w:rPr>
          <w:rFonts w:ascii="Calibri" w:hAnsi="Calibri" w:cs="Calibri"/>
          <w:color w:val="auto"/>
          <w:sz w:val="22"/>
          <w:szCs w:val="22"/>
        </w:rPr>
        <w:fldChar w:fldCharType="separate"/>
      </w:r>
      <w:r w:rsidRPr="000B48EC">
        <w:rPr>
          <w:rFonts w:ascii="Calibri" w:hAnsi="Calibri" w:cs="Calibri"/>
          <w:color w:val="auto"/>
          <w:sz w:val="22"/>
          <w:szCs w:val="22"/>
        </w:rPr>
        <w:t>Figure A1-</w:t>
      </w:r>
      <w:r w:rsidRPr="000B48EC">
        <w:rPr>
          <w:rFonts w:ascii="Calibri" w:hAnsi="Calibri" w:cs="Calibri"/>
          <w:noProof/>
          <w:color w:val="auto"/>
          <w:sz w:val="22"/>
          <w:szCs w:val="22"/>
        </w:rPr>
        <w:t>2</w:t>
      </w:r>
      <w:r w:rsidRPr="000B48EC">
        <w:rPr>
          <w:rFonts w:ascii="Calibri" w:hAnsi="Calibri" w:cs="Calibri"/>
          <w:color w:val="auto"/>
          <w:sz w:val="22"/>
          <w:szCs w:val="22"/>
        </w:rPr>
        <w:fldChar w:fldCharType="end"/>
      </w:r>
      <w:r w:rsidRPr="000B48EC">
        <w:rPr>
          <w:rFonts w:ascii="Calibri" w:hAnsi="Calibri" w:cs="Calibri"/>
          <w:color w:val="auto"/>
          <w:sz w:val="22"/>
          <w:szCs w:val="22"/>
        </w:rPr>
        <w:t xml:space="preserve"> shows the five discrete levels of LFE we model, equal to 0%, +/−2%, and +/−4% above and below the forecast.  The largest errors are the least likely, consistent with a normal distribution. </w:t>
      </w:r>
      <w:r w:rsidRPr="00132D4F">
        <w:rPr>
          <w:rFonts w:ascii="Calibri" w:hAnsi="Calibri" w:cs="Calibri"/>
          <w:color w:val="C00000"/>
          <w:sz w:val="22"/>
          <w:szCs w:val="22"/>
        </w:rPr>
        <w:t xml:space="preserve"> </w:t>
      </w:r>
      <w:r w:rsidRPr="00456C26">
        <w:rPr>
          <w:rFonts w:ascii="Calibri" w:hAnsi="Calibri" w:cs="Calibri"/>
          <w:color w:val="auto"/>
          <w:sz w:val="22"/>
          <w:szCs w:val="22"/>
        </w:rPr>
        <w:t>We also conduct a sensitivity analysis, examining the implications on economically optimal and reliability-based reserve margins if the forward period is varied between zero and four years forward.</w:t>
      </w:r>
    </w:p>
    <w:p w14:paraId="67342E2F" w14:textId="2587EEB0" w:rsidR="004B58AD" w:rsidRPr="0018504F" w:rsidRDefault="004B58AD" w:rsidP="008B0478">
      <w:pPr>
        <w:pStyle w:val="Caption"/>
        <w:spacing w:after="0"/>
        <w:jc w:val="center"/>
        <w:rPr>
          <w:b/>
          <w:bCs/>
          <w:i w:val="0"/>
          <w:iCs w:val="0"/>
          <w:color w:val="auto"/>
          <w:sz w:val="22"/>
          <w:szCs w:val="22"/>
        </w:rPr>
      </w:pPr>
      <w:bookmarkStart w:id="376" w:name="_Ref377112556"/>
      <w:r w:rsidRPr="0018504F">
        <w:rPr>
          <w:b/>
          <w:bCs/>
          <w:i w:val="0"/>
          <w:iCs w:val="0"/>
          <w:color w:val="auto"/>
          <w:sz w:val="22"/>
          <w:szCs w:val="22"/>
        </w:rPr>
        <w:t>Figure A1-</w:t>
      </w:r>
      <w:r w:rsidRPr="0018504F">
        <w:rPr>
          <w:b/>
          <w:bCs/>
          <w:i w:val="0"/>
          <w:iCs w:val="0"/>
          <w:noProof/>
          <w:color w:val="auto"/>
          <w:sz w:val="22"/>
          <w:szCs w:val="22"/>
        </w:rPr>
        <w:fldChar w:fldCharType="begin"/>
      </w:r>
      <w:r w:rsidRPr="0018504F">
        <w:rPr>
          <w:b/>
          <w:bCs/>
          <w:i w:val="0"/>
          <w:iCs w:val="0"/>
          <w:noProof/>
          <w:color w:val="auto"/>
          <w:sz w:val="22"/>
          <w:szCs w:val="22"/>
        </w:rPr>
        <w:instrText xml:space="preserve"> SEQ Figure_A1- \* ARABIC </w:instrText>
      </w:r>
      <w:r w:rsidRPr="0018504F">
        <w:rPr>
          <w:b/>
          <w:bCs/>
          <w:i w:val="0"/>
          <w:iCs w:val="0"/>
          <w:noProof/>
          <w:color w:val="auto"/>
          <w:sz w:val="22"/>
          <w:szCs w:val="22"/>
        </w:rPr>
        <w:fldChar w:fldCharType="separate"/>
      </w:r>
      <w:r w:rsidRPr="0018504F">
        <w:rPr>
          <w:b/>
          <w:bCs/>
          <w:i w:val="0"/>
          <w:iCs w:val="0"/>
          <w:noProof/>
          <w:color w:val="auto"/>
          <w:sz w:val="22"/>
          <w:szCs w:val="22"/>
        </w:rPr>
        <w:t>2</w:t>
      </w:r>
      <w:r w:rsidRPr="0018504F">
        <w:rPr>
          <w:b/>
          <w:bCs/>
          <w:i w:val="0"/>
          <w:iCs w:val="0"/>
          <w:noProof/>
          <w:color w:val="auto"/>
          <w:sz w:val="22"/>
          <w:szCs w:val="22"/>
        </w:rPr>
        <w:fldChar w:fldCharType="end"/>
      </w:r>
      <w:bookmarkEnd w:id="376"/>
      <w:r w:rsidR="00132D4F" w:rsidRPr="0018504F">
        <w:rPr>
          <w:b/>
          <w:bCs/>
          <w:i w:val="0"/>
          <w:iCs w:val="0"/>
          <w:noProof/>
          <w:color w:val="auto"/>
          <w:sz w:val="22"/>
          <w:szCs w:val="22"/>
        </w:rPr>
        <w:t xml:space="preserve">. </w:t>
      </w:r>
      <w:r w:rsidRPr="0018504F">
        <w:rPr>
          <w:b/>
          <w:bCs/>
          <w:i w:val="0"/>
          <w:iCs w:val="0"/>
          <w:color w:val="auto"/>
          <w:sz w:val="22"/>
          <w:szCs w:val="22"/>
        </w:rPr>
        <w:t>Non-Weather Load Forecast Error</w:t>
      </w:r>
    </w:p>
    <w:p w14:paraId="57DCA853" w14:textId="066C2AC8" w:rsidR="004B58AD" w:rsidRPr="00B96D7A" w:rsidRDefault="0018504F" w:rsidP="008B0478">
      <w:pPr>
        <w:pStyle w:val="BGInsertGraphic"/>
        <w:spacing w:before="0" w:after="240"/>
        <w:jc w:val="left"/>
      </w:pPr>
      <w:r>
        <w:rPr>
          <w:noProof/>
        </w:rPr>
        <w:drawing>
          <wp:inline distT="0" distB="0" distL="0" distR="0" wp14:anchorId="764BC611" wp14:editId="3CBFE9D8">
            <wp:extent cx="6093460" cy="2643836"/>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7650" cy="2680365"/>
                    </a:xfrm>
                    <a:prstGeom prst="rect">
                      <a:avLst/>
                    </a:prstGeom>
                    <a:noFill/>
                  </pic:spPr>
                </pic:pic>
              </a:graphicData>
            </a:graphic>
          </wp:inline>
        </w:drawing>
      </w:r>
    </w:p>
    <w:p w14:paraId="47325D88" w14:textId="353DBAAE" w:rsidR="004B58AD" w:rsidRPr="003063EC" w:rsidRDefault="004B58AD" w:rsidP="00FA0DFD">
      <w:pPr>
        <w:pStyle w:val="Heading3"/>
        <w:numPr>
          <w:ilvl w:val="0"/>
          <w:numId w:val="18"/>
        </w:numPr>
      </w:pPr>
      <w:bookmarkStart w:id="377" w:name="_Toc532834313"/>
      <w:bookmarkStart w:id="378" w:name="_Toc57193586"/>
      <w:r>
        <w:t>External Region Demand</w:t>
      </w:r>
      <w:bookmarkEnd w:id="377"/>
      <w:bookmarkEnd w:id="378"/>
    </w:p>
    <w:p w14:paraId="348DAB98" w14:textId="4DE9ECB7" w:rsidR="00B92913" w:rsidRDefault="004B58AD" w:rsidP="008B0478">
      <w:pPr>
        <w:pStyle w:val="BGNormal125"/>
        <w:spacing w:after="240"/>
        <w:rPr>
          <w:rFonts w:ascii="Calibri" w:hAnsi="Calibri" w:cs="Calibri"/>
          <w:color w:val="auto"/>
          <w:sz w:val="22"/>
          <w:szCs w:val="22"/>
        </w:rPr>
      </w:pPr>
      <w:bookmarkStart w:id="379" w:name="_Ref522192954"/>
      <w:bookmarkStart w:id="380" w:name="_Ref522192965"/>
      <w:bookmarkStart w:id="381" w:name="_Ref522194402"/>
      <w:bookmarkStart w:id="382" w:name="_Ref522195395"/>
      <w:bookmarkStart w:id="383" w:name="_Ref522224032"/>
      <w:bookmarkStart w:id="384" w:name="_Ref522569169"/>
      <w:bookmarkStart w:id="385" w:name="_Toc525079611"/>
      <w:bookmarkStart w:id="386" w:name="_Toc525851038"/>
      <w:bookmarkStart w:id="387" w:name="_Toc525938069"/>
      <w:bookmarkStart w:id="388" w:name="_Toc526279131"/>
      <w:bookmarkStart w:id="389" w:name="_Toc526437283"/>
      <w:bookmarkStart w:id="390" w:name="_Toc526437470"/>
      <w:bookmarkStart w:id="391" w:name="_Toc526439926"/>
      <w:bookmarkStart w:id="392" w:name="_Toc526440036"/>
      <w:r w:rsidRPr="0018504F">
        <w:rPr>
          <w:rFonts w:ascii="Calibri" w:hAnsi="Calibri" w:cs="Calibri"/>
          <w:color w:val="auto"/>
          <w:sz w:val="22"/>
          <w:szCs w:val="22"/>
        </w:rPr>
        <w:t xml:space="preserve">We independently developed external regions’ peak load and load shapes based on publicly-available peak load projections, historical hourly weather profiles, and historical hourly load data.  </w:t>
      </w:r>
      <w:r w:rsidRPr="0018504F">
        <w:rPr>
          <w:rFonts w:ascii="Calibri" w:hAnsi="Calibri" w:cs="Calibri"/>
          <w:color w:val="auto"/>
          <w:sz w:val="22"/>
          <w:szCs w:val="22"/>
        </w:rPr>
        <w:fldChar w:fldCharType="begin"/>
      </w:r>
      <w:r w:rsidRPr="0018504F">
        <w:rPr>
          <w:rFonts w:ascii="Calibri" w:hAnsi="Calibri" w:cs="Calibri"/>
          <w:color w:val="auto"/>
          <w:sz w:val="22"/>
          <w:szCs w:val="22"/>
        </w:rPr>
        <w:instrText xml:space="preserve"> REF _Ref526956848 \h </w:instrText>
      </w:r>
      <w:r w:rsidR="00132D4F" w:rsidRPr="0018504F">
        <w:rPr>
          <w:rFonts w:ascii="Calibri" w:hAnsi="Calibri" w:cs="Calibri"/>
          <w:color w:val="auto"/>
          <w:sz w:val="22"/>
          <w:szCs w:val="22"/>
        </w:rPr>
        <w:instrText xml:space="preserve"> \* MERGEFORMAT </w:instrText>
      </w:r>
      <w:r w:rsidRPr="0018504F">
        <w:rPr>
          <w:rFonts w:ascii="Calibri" w:hAnsi="Calibri" w:cs="Calibri"/>
          <w:color w:val="auto"/>
          <w:sz w:val="22"/>
          <w:szCs w:val="22"/>
        </w:rPr>
      </w:r>
      <w:r w:rsidRPr="0018504F">
        <w:rPr>
          <w:rFonts w:ascii="Calibri" w:hAnsi="Calibri" w:cs="Calibri"/>
          <w:color w:val="auto"/>
          <w:sz w:val="22"/>
          <w:szCs w:val="22"/>
        </w:rPr>
        <w:fldChar w:fldCharType="separate"/>
      </w:r>
      <w:r w:rsidRPr="0018504F">
        <w:rPr>
          <w:rFonts w:ascii="Calibri" w:hAnsi="Calibri" w:cs="Calibri"/>
          <w:color w:val="auto"/>
          <w:sz w:val="22"/>
          <w:szCs w:val="22"/>
        </w:rPr>
        <w:t>Table A1-</w:t>
      </w:r>
      <w:r w:rsidRPr="0018504F">
        <w:rPr>
          <w:rFonts w:ascii="Calibri" w:hAnsi="Calibri" w:cs="Calibri"/>
          <w:noProof/>
          <w:color w:val="auto"/>
          <w:sz w:val="22"/>
          <w:szCs w:val="22"/>
        </w:rPr>
        <w:t>1</w:t>
      </w:r>
      <w:r w:rsidRPr="0018504F">
        <w:rPr>
          <w:rFonts w:ascii="Calibri" w:hAnsi="Calibri" w:cs="Calibri"/>
          <w:color w:val="auto"/>
          <w:sz w:val="22"/>
          <w:szCs w:val="22"/>
        </w:rPr>
        <w:fldChar w:fldCharType="end"/>
      </w:r>
      <w:r w:rsidRPr="0018504F">
        <w:rPr>
          <w:rFonts w:ascii="Calibri" w:hAnsi="Calibri" w:cs="Calibri"/>
          <w:color w:val="auto"/>
          <w:sz w:val="22"/>
          <w:szCs w:val="22"/>
        </w:rPr>
        <w:t xml:space="preserve"> summarizes the peak load for the ERCOT system and the load diversity relative to the interconnected neighboring regions.  Consistent with the peak load reporting conventions used in ERCOT’s CDR report, these peak loads are reported: (a) net of anticipated load reductions from price-responsive demand (PRD) and load resources (LRs); and (b) prior to any potential reductions from transmission and distribution service provider (TDSP) load management or energy efficiency (EE) programs.</w:t>
      </w:r>
      <w:r w:rsidRPr="0018504F">
        <w:rPr>
          <w:rStyle w:val="FootnoteReference"/>
          <w:rFonts w:ascii="Calibri" w:hAnsi="Calibri" w:cs="Calibri"/>
          <w:color w:val="auto"/>
          <w:sz w:val="22"/>
          <w:szCs w:val="22"/>
        </w:rPr>
        <w:footnoteReference w:id="38"/>
      </w:r>
    </w:p>
    <w:p w14:paraId="222B09E4" w14:textId="2985FBAF" w:rsidR="000F0C8B" w:rsidRDefault="000F0C8B" w:rsidP="008B0478">
      <w:pPr>
        <w:pStyle w:val="BGNormal125"/>
        <w:spacing w:after="240"/>
        <w:rPr>
          <w:rFonts w:ascii="Calibri" w:hAnsi="Calibri" w:cs="Calibri"/>
          <w:color w:val="auto"/>
          <w:sz w:val="22"/>
          <w:szCs w:val="22"/>
        </w:rPr>
      </w:pPr>
    </w:p>
    <w:p w14:paraId="141529EA" w14:textId="555DE55D" w:rsidR="000F0C8B" w:rsidRDefault="000F0C8B" w:rsidP="008B0478">
      <w:pPr>
        <w:pStyle w:val="BGNormal125"/>
        <w:spacing w:after="240"/>
        <w:rPr>
          <w:rFonts w:ascii="Calibri" w:hAnsi="Calibri" w:cs="Calibri"/>
          <w:color w:val="auto"/>
          <w:sz w:val="22"/>
          <w:szCs w:val="22"/>
        </w:rPr>
      </w:pPr>
    </w:p>
    <w:p w14:paraId="0E351394" w14:textId="5D27743F" w:rsidR="000F0C8B" w:rsidRDefault="000F0C8B" w:rsidP="008B0478">
      <w:pPr>
        <w:pStyle w:val="BGNormal125"/>
        <w:spacing w:after="240"/>
        <w:rPr>
          <w:rFonts w:ascii="Calibri" w:hAnsi="Calibri" w:cs="Calibri"/>
          <w:color w:val="auto"/>
          <w:sz w:val="22"/>
          <w:szCs w:val="22"/>
        </w:rPr>
      </w:pPr>
    </w:p>
    <w:p w14:paraId="4DA37133" w14:textId="71040BEC" w:rsidR="000F0C8B" w:rsidRDefault="000F0C8B" w:rsidP="008B0478">
      <w:pPr>
        <w:pStyle w:val="BGNormal125"/>
        <w:spacing w:after="240"/>
        <w:rPr>
          <w:rFonts w:ascii="Calibri" w:hAnsi="Calibri" w:cs="Calibri"/>
          <w:color w:val="auto"/>
          <w:sz w:val="22"/>
          <w:szCs w:val="22"/>
        </w:rPr>
      </w:pPr>
    </w:p>
    <w:p w14:paraId="434A4DBA" w14:textId="77777777" w:rsidR="000F0C8B" w:rsidRPr="0018504F" w:rsidRDefault="000F0C8B" w:rsidP="008B0478">
      <w:pPr>
        <w:pStyle w:val="BGNormal125"/>
        <w:spacing w:after="240"/>
        <w:rPr>
          <w:rFonts w:ascii="Calibri" w:hAnsi="Calibri" w:cs="Calibri"/>
          <w:color w:val="auto"/>
          <w:sz w:val="22"/>
          <w:szCs w:val="22"/>
        </w:rPr>
      </w:pPr>
    </w:p>
    <w:p w14:paraId="5BBD2677" w14:textId="1DFF7904" w:rsidR="004B58AD" w:rsidRPr="0018504F" w:rsidRDefault="004B58AD" w:rsidP="00132D4F">
      <w:pPr>
        <w:pStyle w:val="Caption"/>
        <w:jc w:val="center"/>
        <w:rPr>
          <w:rFonts w:cs="Calibri"/>
          <w:b/>
          <w:bCs/>
          <w:i w:val="0"/>
          <w:iCs w:val="0"/>
          <w:color w:val="auto"/>
          <w:sz w:val="22"/>
          <w:szCs w:val="22"/>
        </w:rPr>
      </w:pPr>
      <w:bookmarkStart w:id="393" w:name="_Ref526956848"/>
      <w:bookmarkStart w:id="394" w:name="_Ref526956843"/>
      <w:r w:rsidRPr="0018504F">
        <w:rPr>
          <w:rFonts w:cs="Calibri"/>
          <w:b/>
          <w:bCs/>
          <w:i w:val="0"/>
          <w:iCs w:val="0"/>
          <w:color w:val="auto"/>
          <w:sz w:val="22"/>
          <w:szCs w:val="22"/>
        </w:rPr>
        <w:t>Table A1-</w:t>
      </w:r>
      <w:r w:rsidRPr="0018504F">
        <w:rPr>
          <w:rFonts w:cs="Calibri"/>
          <w:b/>
          <w:bCs/>
          <w:i w:val="0"/>
          <w:iCs w:val="0"/>
          <w:noProof/>
          <w:color w:val="auto"/>
          <w:sz w:val="22"/>
          <w:szCs w:val="22"/>
        </w:rPr>
        <w:fldChar w:fldCharType="begin"/>
      </w:r>
      <w:r w:rsidRPr="0018504F">
        <w:rPr>
          <w:rFonts w:cs="Calibri"/>
          <w:b/>
          <w:bCs/>
          <w:i w:val="0"/>
          <w:iCs w:val="0"/>
          <w:noProof/>
          <w:color w:val="auto"/>
          <w:sz w:val="22"/>
          <w:szCs w:val="22"/>
        </w:rPr>
        <w:instrText xml:space="preserve"> SEQ Table_A1- \* ARABIC </w:instrText>
      </w:r>
      <w:r w:rsidRPr="0018504F">
        <w:rPr>
          <w:rFonts w:cs="Calibri"/>
          <w:b/>
          <w:bCs/>
          <w:i w:val="0"/>
          <w:iCs w:val="0"/>
          <w:noProof/>
          <w:color w:val="auto"/>
          <w:sz w:val="22"/>
          <w:szCs w:val="22"/>
        </w:rPr>
        <w:fldChar w:fldCharType="separate"/>
      </w:r>
      <w:r w:rsidRPr="0018504F">
        <w:rPr>
          <w:rFonts w:cs="Calibri"/>
          <w:b/>
          <w:bCs/>
          <w:i w:val="0"/>
          <w:iCs w:val="0"/>
          <w:noProof/>
          <w:color w:val="auto"/>
          <w:sz w:val="22"/>
          <w:szCs w:val="22"/>
        </w:rPr>
        <w:t>1</w:t>
      </w:r>
      <w:r w:rsidRPr="0018504F">
        <w:rPr>
          <w:rFonts w:cs="Calibri"/>
          <w:b/>
          <w:bCs/>
          <w:i w:val="0"/>
          <w:iCs w:val="0"/>
          <w:noProof/>
          <w:color w:val="auto"/>
          <w:sz w:val="22"/>
          <w:szCs w:val="22"/>
        </w:rPr>
        <w:fldChar w:fldCharType="end"/>
      </w:r>
      <w:bookmarkEnd w:id="393"/>
      <w:r w:rsidR="00132D4F" w:rsidRPr="0018504F">
        <w:rPr>
          <w:rFonts w:cs="Calibri"/>
          <w:b/>
          <w:bCs/>
          <w:i w:val="0"/>
          <w:iCs w:val="0"/>
          <w:noProof/>
          <w:color w:val="auto"/>
          <w:sz w:val="22"/>
          <w:szCs w:val="22"/>
        </w:rPr>
        <w:t xml:space="preserve">. </w:t>
      </w:r>
      <w:r w:rsidRPr="0018504F">
        <w:rPr>
          <w:rFonts w:cs="Calibri"/>
          <w:b/>
          <w:bCs/>
          <w:i w:val="0"/>
          <w:iCs w:val="0"/>
          <w:color w:val="auto"/>
          <w:sz w:val="22"/>
          <w:szCs w:val="22"/>
        </w:rPr>
        <w:t>Peak Loads and Diversity Used in Reserve Margin Accounting</w:t>
      </w:r>
      <w:bookmarkEnd w:id="394"/>
    </w:p>
    <w:p w14:paraId="027984DE" w14:textId="63C4BFE1" w:rsidR="004B58AD" w:rsidRPr="00D13EAC" w:rsidRDefault="004B58AD" w:rsidP="004B58AD">
      <w:pPr>
        <w:pStyle w:val="BGInsertGraphic"/>
      </w:pPr>
      <w:r w:rsidRPr="005D2268">
        <w:t xml:space="preserve"> </w:t>
      </w:r>
      <w:r w:rsidR="00341A2F">
        <w:rPr>
          <w:noProof/>
        </w:rPr>
        <w:drawing>
          <wp:inline distT="0" distB="0" distL="0" distR="0" wp14:anchorId="471AFB8F" wp14:editId="566494AE">
            <wp:extent cx="5375082" cy="304905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0988" cy="3052406"/>
                    </a:xfrm>
                    <a:prstGeom prst="rect">
                      <a:avLst/>
                    </a:prstGeom>
                    <a:noFill/>
                  </pic:spPr>
                </pic:pic>
              </a:graphicData>
            </a:graphic>
          </wp:inline>
        </w:drawing>
      </w:r>
    </w:p>
    <w:p w14:paraId="0AEADFC4" w14:textId="77777777" w:rsidR="004B58AD" w:rsidRPr="00DA1CDE" w:rsidRDefault="004B58AD" w:rsidP="004B58AD">
      <w:pPr>
        <w:pStyle w:val="BGNotesFiguresTables"/>
        <w:keepNext/>
        <w:tabs>
          <w:tab w:val="left" w:pos="450"/>
          <w:tab w:val="left" w:pos="900"/>
          <w:tab w:val="left" w:pos="1080"/>
          <w:tab w:val="left" w:pos="1260"/>
          <w:tab w:val="left" w:pos="9090"/>
        </w:tabs>
        <w:spacing w:before="0"/>
        <w:ind w:left="648" w:right="288" w:hanging="360"/>
        <w:jc w:val="left"/>
        <w:rPr>
          <w:i/>
          <w:color w:val="auto"/>
        </w:rPr>
      </w:pPr>
      <w:r w:rsidRPr="00DA1CDE">
        <w:rPr>
          <w:i/>
          <w:color w:val="auto"/>
        </w:rPr>
        <w:t>Sources and Notes:</w:t>
      </w:r>
    </w:p>
    <w:p w14:paraId="6F970EA3" w14:textId="77777777" w:rsidR="004B58AD" w:rsidRPr="00DA1CDE" w:rsidRDefault="004B58AD" w:rsidP="00AB139A">
      <w:pPr>
        <w:pStyle w:val="BGNotesFiguresTables"/>
        <w:spacing w:before="0"/>
        <w:ind w:left="432" w:right="432"/>
        <w:rPr>
          <w:color w:val="auto"/>
        </w:rPr>
      </w:pPr>
      <w:r w:rsidRPr="00DA1CDE">
        <w:rPr>
          <w:color w:val="auto"/>
        </w:rPr>
        <w:t>Non-Coincident Peak represents each individual region’s peak load.</w:t>
      </w:r>
    </w:p>
    <w:p w14:paraId="11196909" w14:textId="77777777" w:rsidR="004B58AD" w:rsidRPr="00DA1CDE" w:rsidRDefault="004B58AD" w:rsidP="00AB139A">
      <w:pPr>
        <w:pStyle w:val="BGNotesFiguresTables"/>
        <w:spacing w:before="0"/>
        <w:ind w:left="432" w:right="432"/>
        <w:rPr>
          <w:color w:val="auto"/>
        </w:rPr>
      </w:pPr>
      <w:r w:rsidRPr="00DA1CDE">
        <w:rPr>
          <w:color w:val="auto"/>
        </w:rPr>
        <w:t>Coincident Peak represents the load in each region at the maximum total model area peak.</w:t>
      </w:r>
    </w:p>
    <w:p w14:paraId="16DF4322" w14:textId="77777777" w:rsidR="004B58AD" w:rsidRPr="00DA1CDE" w:rsidRDefault="004B58AD" w:rsidP="00AB139A">
      <w:pPr>
        <w:pStyle w:val="BGNotesFiguresTables"/>
        <w:spacing w:before="0"/>
        <w:ind w:left="432" w:right="432"/>
        <w:rPr>
          <w:color w:val="auto"/>
        </w:rPr>
      </w:pPr>
      <w:r w:rsidRPr="00DA1CDE">
        <w:rPr>
          <w:color w:val="auto"/>
        </w:rPr>
        <w:t>At ERCOT Peak represents the load in each region at the time of the ERCOT system peak.</w:t>
      </w:r>
    </w:p>
    <w:p w14:paraId="0E1F200F" w14:textId="6F22EDF4" w:rsidR="004B58AD" w:rsidRPr="00DA1CDE" w:rsidRDefault="004B58AD" w:rsidP="00AB139A">
      <w:pPr>
        <w:pStyle w:val="BGNotesFiguresTables"/>
        <w:spacing w:before="0"/>
        <w:ind w:left="432" w:right="432"/>
        <w:rPr>
          <w:color w:val="auto"/>
        </w:rPr>
      </w:pPr>
      <w:r w:rsidRPr="00DA1CDE">
        <w:rPr>
          <w:color w:val="auto"/>
        </w:rPr>
        <w:t xml:space="preserve">SPP 50/50 peak load forecast is from the NERC </w:t>
      </w:r>
      <w:r w:rsidRPr="00DA1CDE">
        <w:rPr>
          <w:i/>
          <w:color w:val="auto"/>
        </w:rPr>
        <w:t>201</w:t>
      </w:r>
      <w:r w:rsidR="002224CE" w:rsidRPr="00DA1CDE">
        <w:rPr>
          <w:i/>
          <w:color w:val="auto"/>
        </w:rPr>
        <w:t>9</w:t>
      </w:r>
      <w:r w:rsidRPr="00DA1CDE">
        <w:rPr>
          <w:i/>
          <w:color w:val="auto"/>
        </w:rPr>
        <w:t xml:space="preserve"> Long-Term Reliability Assessmen</w:t>
      </w:r>
      <w:r w:rsidRPr="00DA1CDE">
        <w:rPr>
          <w:color w:val="auto"/>
        </w:rPr>
        <w:t>t.</w:t>
      </w:r>
      <w:r w:rsidR="00E20E07">
        <w:rPr>
          <w:rStyle w:val="FootnoteReference"/>
          <w:color w:val="auto"/>
        </w:rPr>
        <w:footnoteReference w:id="39"/>
      </w:r>
    </w:p>
    <w:p w14:paraId="5432494C" w14:textId="2832C17A" w:rsidR="00E20E07" w:rsidRDefault="004B58AD" w:rsidP="00AB139A">
      <w:pPr>
        <w:pStyle w:val="BGNotesFiguresTables"/>
        <w:spacing w:before="0"/>
        <w:ind w:left="432" w:right="432"/>
        <w:rPr>
          <w:color w:val="auto"/>
        </w:rPr>
      </w:pPr>
      <w:r w:rsidRPr="00DA1CDE">
        <w:rPr>
          <w:color w:val="auto"/>
        </w:rPr>
        <w:t xml:space="preserve">Entergy’s 50/50 peak load forecast is from the MISO </w:t>
      </w:r>
      <w:r w:rsidRPr="00DA1CDE">
        <w:rPr>
          <w:i/>
          <w:color w:val="auto"/>
        </w:rPr>
        <w:t>Planning Year 20</w:t>
      </w:r>
      <w:r w:rsidR="00DA1CDE" w:rsidRPr="00DA1CDE">
        <w:rPr>
          <w:i/>
          <w:color w:val="auto"/>
        </w:rPr>
        <w:t>20</w:t>
      </w:r>
      <w:r w:rsidRPr="00DA1CDE">
        <w:rPr>
          <w:i/>
          <w:color w:val="auto"/>
        </w:rPr>
        <w:t>-20</w:t>
      </w:r>
      <w:r w:rsidR="00DA1CDE" w:rsidRPr="00DA1CDE">
        <w:rPr>
          <w:i/>
          <w:color w:val="auto"/>
        </w:rPr>
        <w:t>21</w:t>
      </w:r>
      <w:r w:rsidRPr="00DA1CDE">
        <w:rPr>
          <w:i/>
          <w:color w:val="auto"/>
        </w:rPr>
        <w:t xml:space="preserve"> Loss of Load Expectation Study Report</w:t>
      </w:r>
      <w:r w:rsidRPr="00DA1CDE">
        <w:rPr>
          <w:color w:val="auto"/>
        </w:rPr>
        <w:t xml:space="preserve">. </w:t>
      </w:r>
      <w:r w:rsidR="00E20E07">
        <w:rPr>
          <w:rStyle w:val="FootnoteReference"/>
          <w:color w:val="auto"/>
        </w:rPr>
        <w:footnoteReference w:id="40"/>
      </w:r>
    </w:p>
    <w:p w14:paraId="5B1D9579" w14:textId="18B8114C" w:rsidR="004B58AD" w:rsidRPr="00DA1CDE" w:rsidRDefault="004B58AD" w:rsidP="00AB139A">
      <w:pPr>
        <w:pStyle w:val="BGNotesFiguresTables"/>
        <w:spacing w:before="0"/>
        <w:ind w:left="432" w:right="432"/>
        <w:rPr>
          <w:color w:val="auto"/>
        </w:rPr>
      </w:pPr>
      <w:r w:rsidRPr="00DA1CDE">
        <w:rPr>
          <w:color w:val="auto"/>
        </w:rPr>
        <w:t xml:space="preserve">Load shapes in SPP and Entergy are based on our independently-developed statistical relationship between hourly weather and load estimated over five years of load data </w:t>
      </w:r>
      <w:r w:rsidR="00E20E07">
        <w:rPr>
          <w:color w:val="auto"/>
        </w:rPr>
        <w:t>and 40 years of weather data.</w:t>
      </w:r>
      <w:r w:rsidR="00E20E07">
        <w:rPr>
          <w:rStyle w:val="FootnoteReference"/>
          <w:color w:val="auto"/>
        </w:rPr>
        <w:footnoteReference w:id="41"/>
      </w:r>
    </w:p>
    <w:p w14:paraId="18FC1B60" w14:textId="05AB2ADF" w:rsidR="004B58AD" w:rsidRPr="00456C26" w:rsidRDefault="004B58AD" w:rsidP="00AB139A">
      <w:pPr>
        <w:pStyle w:val="BGNotesFiguresTables"/>
        <w:spacing w:before="0"/>
        <w:ind w:left="450"/>
        <w:rPr>
          <w:color w:val="auto"/>
        </w:rPr>
      </w:pPr>
      <w:r w:rsidRPr="00456C26">
        <w:rPr>
          <w:color w:val="auto"/>
        </w:rPr>
        <w:t xml:space="preserve">Mexico’s peak load and load shape were unavailable.  The peak is assumed at a 15% reserve margin above the currently-installed generation fleet). Load shapes in Mexico are assumed identical to those in ERCOT. </w:t>
      </w:r>
    </w:p>
    <w:p w14:paraId="1AB2F23E" w14:textId="7B88F31F" w:rsidR="004B58AD" w:rsidRDefault="004B58AD" w:rsidP="004B58AD">
      <w:pPr>
        <w:pStyle w:val="BGNormal125"/>
        <w:rPr>
          <w:rFonts w:ascii="Calibri" w:hAnsi="Calibri" w:cs="Calibri"/>
          <w:color w:val="auto"/>
          <w:sz w:val="22"/>
          <w:szCs w:val="22"/>
        </w:rPr>
      </w:pPr>
      <w:r w:rsidRPr="00DA1CDE">
        <w:rPr>
          <w:rFonts w:ascii="Calibri" w:hAnsi="Calibri" w:cs="Calibri"/>
          <w:color w:val="auto"/>
          <w:sz w:val="22"/>
          <w:szCs w:val="22"/>
        </w:rPr>
        <w:t xml:space="preserve">As shown in the table above, there is a substantial amount of load diversity between ERCOT and the neighboring systems, indicating that ERCOT may have access to substantial import quantities during shortages to </w:t>
      </w:r>
      <w:r w:rsidRPr="00456C26">
        <w:rPr>
          <w:rFonts w:ascii="Calibri" w:hAnsi="Calibri" w:cs="Calibri"/>
          <w:color w:val="auto"/>
          <w:sz w:val="22"/>
          <w:szCs w:val="22"/>
        </w:rPr>
        <w:t xml:space="preserve">the extent that sufficient intertie capability exists.  For example, at the time of ERCOT’s peak load, SPP load is likely to be at only </w:t>
      </w:r>
      <w:r w:rsidR="00456C26" w:rsidRPr="00456C26">
        <w:rPr>
          <w:rFonts w:ascii="Calibri" w:hAnsi="Calibri" w:cs="Calibri"/>
          <w:color w:val="auto"/>
          <w:sz w:val="22"/>
          <w:szCs w:val="22"/>
        </w:rPr>
        <w:t>90</w:t>
      </w:r>
      <w:r w:rsidRPr="00456C26">
        <w:rPr>
          <w:rFonts w:ascii="Calibri" w:hAnsi="Calibri" w:cs="Calibri"/>
          <w:color w:val="auto"/>
          <w:sz w:val="22"/>
          <w:szCs w:val="22"/>
        </w:rPr>
        <w:t xml:space="preserve">% of its own non-coincident peak load. This load diversity results in having more than </w:t>
      </w:r>
      <w:r w:rsidR="00DA1CDE" w:rsidRPr="00456C26">
        <w:rPr>
          <w:rFonts w:ascii="Calibri" w:hAnsi="Calibri" w:cs="Calibri"/>
          <w:color w:val="auto"/>
          <w:sz w:val="22"/>
          <w:szCs w:val="22"/>
        </w:rPr>
        <w:t>1</w:t>
      </w:r>
      <w:r w:rsidR="00456C26" w:rsidRPr="00456C26">
        <w:rPr>
          <w:rFonts w:ascii="Calibri" w:hAnsi="Calibri" w:cs="Calibri"/>
          <w:color w:val="auto"/>
          <w:sz w:val="22"/>
          <w:szCs w:val="22"/>
        </w:rPr>
        <w:t>1</w:t>
      </w:r>
      <w:r w:rsidRPr="00456C26">
        <w:rPr>
          <w:rFonts w:ascii="Calibri" w:hAnsi="Calibri" w:cs="Calibri"/>
          <w:color w:val="auto"/>
          <w:sz w:val="22"/>
          <w:szCs w:val="22"/>
        </w:rPr>
        <w:t>,</w:t>
      </w:r>
      <w:r w:rsidR="00456C26" w:rsidRPr="00456C26">
        <w:rPr>
          <w:rFonts w:ascii="Calibri" w:hAnsi="Calibri" w:cs="Calibri"/>
          <w:color w:val="auto"/>
          <w:sz w:val="22"/>
          <w:szCs w:val="22"/>
        </w:rPr>
        <w:t>5</w:t>
      </w:r>
      <w:r w:rsidRPr="00456C26">
        <w:rPr>
          <w:rFonts w:ascii="Calibri" w:hAnsi="Calibri" w:cs="Calibri"/>
          <w:color w:val="auto"/>
          <w:sz w:val="22"/>
          <w:szCs w:val="22"/>
        </w:rPr>
        <w:t xml:space="preserve">00 MW of excess generation available for export in hours where ERCOT is shedding firm load.  </w:t>
      </w:r>
      <w:r w:rsidRPr="00DA1CDE">
        <w:rPr>
          <w:rFonts w:ascii="Calibri" w:hAnsi="Calibri" w:cs="Calibri"/>
          <w:color w:val="auto"/>
          <w:sz w:val="22"/>
          <w:szCs w:val="22"/>
        </w:rPr>
        <w:t>However, most of these excess supplies will not be imported because ERCOT is relatively isolated from neighboring systems with only 8</w:t>
      </w:r>
      <w:r w:rsidR="00DA1CDE">
        <w:rPr>
          <w:rFonts w:ascii="Calibri" w:hAnsi="Calibri" w:cs="Calibri"/>
          <w:color w:val="auto"/>
          <w:sz w:val="22"/>
          <w:szCs w:val="22"/>
        </w:rPr>
        <w:t>2</w:t>
      </w:r>
      <w:r w:rsidRPr="00DA1CDE">
        <w:rPr>
          <w:rFonts w:ascii="Calibri" w:hAnsi="Calibri" w:cs="Calibri"/>
          <w:color w:val="auto"/>
          <w:sz w:val="22"/>
          <w:szCs w:val="22"/>
        </w:rPr>
        <w:t>0 MW of intertie capability with SPP</w:t>
      </w:r>
      <w:r w:rsidR="00F03118">
        <w:rPr>
          <w:rFonts w:ascii="Calibri" w:hAnsi="Calibri" w:cs="Calibri"/>
          <w:color w:val="auto"/>
          <w:sz w:val="22"/>
          <w:szCs w:val="22"/>
        </w:rPr>
        <w:t xml:space="preserve"> and 400 MW with Mexico</w:t>
      </w:r>
      <w:r w:rsidRPr="00DA1CDE">
        <w:rPr>
          <w:rFonts w:ascii="Calibri" w:hAnsi="Calibri" w:cs="Calibri"/>
          <w:color w:val="auto"/>
          <w:sz w:val="22"/>
          <w:szCs w:val="22"/>
        </w:rPr>
        <w:t>.</w:t>
      </w:r>
    </w:p>
    <w:p w14:paraId="4FE3F6BB" w14:textId="77777777" w:rsidR="000F0C8B" w:rsidRPr="00DA1CDE" w:rsidRDefault="000F0C8B" w:rsidP="004B58AD">
      <w:pPr>
        <w:pStyle w:val="BGNormal125"/>
        <w:rPr>
          <w:rFonts w:ascii="Calibri" w:hAnsi="Calibri" w:cs="Calibri"/>
          <w:color w:val="auto"/>
          <w:sz w:val="22"/>
          <w:szCs w:val="22"/>
        </w:rPr>
      </w:pPr>
    </w:p>
    <w:p w14:paraId="5E03E91F" w14:textId="4E2756BE" w:rsidR="004B58AD" w:rsidRDefault="004B58AD" w:rsidP="00FA0DFD">
      <w:pPr>
        <w:pStyle w:val="Heading2"/>
        <w:numPr>
          <w:ilvl w:val="0"/>
          <w:numId w:val="17"/>
        </w:numPr>
      </w:pPr>
      <w:bookmarkStart w:id="395" w:name="_Ref526871101"/>
      <w:bookmarkStart w:id="396" w:name="_Toc532834314"/>
      <w:bookmarkStart w:id="397" w:name="_Toc57193587"/>
      <w:r>
        <w:t>Generation Resources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5"/>
      <w:bookmarkEnd w:id="396"/>
      <w:bookmarkEnd w:id="397"/>
    </w:p>
    <w:p w14:paraId="571337BB" w14:textId="6AE1F947" w:rsidR="004B58AD" w:rsidRPr="00DA1CDE" w:rsidRDefault="004B58AD" w:rsidP="002A2715">
      <w:pPr>
        <w:pStyle w:val="BGNormal125"/>
        <w:spacing w:after="240"/>
        <w:rPr>
          <w:rFonts w:ascii="Calibri" w:hAnsi="Calibri" w:cs="Calibri"/>
          <w:color w:val="auto"/>
          <w:sz w:val="22"/>
          <w:szCs w:val="22"/>
        </w:rPr>
      </w:pPr>
      <w:r w:rsidRPr="00DA1CDE">
        <w:rPr>
          <w:rFonts w:ascii="Calibri" w:hAnsi="Calibri" w:cs="Calibri"/>
          <w:color w:val="auto"/>
          <w:sz w:val="22"/>
          <w:szCs w:val="22"/>
        </w:rPr>
        <w:t>We model the economic, availability, ancillary service capability, and dispatch characteristics of all generation units in the ERCOT fleet, using unit ratings and online status consistent with ERCOT’s May 20</w:t>
      </w:r>
      <w:r w:rsidR="00DA1CDE" w:rsidRPr="00DA1CDE">
        <w:rPr>
          <w:rFonts w:ascii="Calibri" w:hAnsi="Calibri" w:cs="Calibri"/>
          <w:color w:val="auto"/>
          <w:sz w:val="22"/>
          <w:szCs w:val="22"/>
        </w:rPr>
        <w:t>20</w:t>
      </w:r>
      <w:r w:rsidRPr="00DA1CDE">
        <w:rPr>
          <w:rFonts w:ascii="Calibri" w:hAnsi="Calibri" w:cs="Calibri"/>
          <w:color w:val="auto"/>
          <w:sz w:val="22"/>
          <w:szCs w:val="22"/>
        </w:rPr>
        <w:t xml:space="preserve"> CDR report.  In this section we describe our approach for modeling conventional generation, private use networks (PUNs), and intermittent wind and solar.  We also describe the assumed cost and technical specifications of the </w:t>
      </w:r>
      <w:r w:rsidR="000D61E5">
        <w:rPr>
          <w:rFonts w:ascii="Calibri" w:hAnsi="Calibri" w:cs="Calibri"/>
          <w:color w:val="auto"/>
          <w:sz w:val="22"/>
          <w:szCs w:val="22"/>
        </w:rPr>
        <w:t>CT</w:t>
      </w:r>
      <w:r w:rsidRPr="00DA1CDE">
        <w:rPr>
          <w:rFonts w:ascii="Calibri" w:hAnsi="Calibri" w:cs="Calibri"/>
          <w:color w:val="auto"/>
          <w:sz w:val="22"/>
          <w:szCs w:val="22"/>
        </w:rPr>
        <w:t xml:space="preserve"> reference </w:t>
      </w:r>
      <w:r w:rsidR="000D61E5" w:rsidRPr="00DA1CDE">
        <w:rPr>
          <w:rFonts w:ascii="Calibri" w:hAnsi="Calibri" w:cs="Calibri"/>
          <w:color w:val="auto"/>
          <w:sz w:val="22"/>
          <w:szCs w:val="22"/>
        </w:rPr>
        <w:t>technolog</w:t>
      </w:r>
      <w:r w:rsidR="000D61E5">
        <w:rPr>
          <w:rFonts w:ascii="Calibri" w:hAnsi="Calibri" w:cs="Calibri"/>
          <w:color w:val="auto"/>
          <w:sz w:val="22"/>
          <w:szCs w:val="22"/>
        </w:rPr>
        <w:t>y</w:t>
      </w:r>
      <w:r w:rsidRPr="00DA1CDE">
        <w:rPr>
          <w:rFonts w:ascii="Calibri" w:hAnsi="Calibri" w:cs="Calibri"/>
          <w:color w:val="auto"/>
          <w:sz w:val="22"/>
          <w:szCs w:val="22"/>
        </w:rPr>
        <w:t>.</w:t>
      </w:r>
    </w:p>
    <w:p w14:paraId="174DE93D" w14:textId="3FF12654" w:rsidR="004B58AD" w:rsidRPr="00845A55" w:rsidRDefault="004B58AD" w:rsidP="00FA0DFD">
      <w:pPr>
        <w:pStyle w:val="Heading3"/>
        <w:numPr>
          <w:ilvl w:val="0"/>
          <w:numId w:val="19"/>
        </w:numPr>
      </w:pPr>
      <w:bookmarkStart w:id="398" w:name="_Ref523322112"/>
      <w:bookmarkStart w:id="399" w:name="_Toc525079612"/>
      <w:bookmarkStart w:id="400" w:name="_Toc525851039"/>
      <w:bookmarkStart w:id="401" w:name="_Toc525938070"/>
      <w:bookmarkStart w:id="402" w:name="_Toc526279132"/>
      <w:bookmarkStart w:id="403" w:name="_Toc526437284"/>
      <w:bookmarkStart w:id="404" w:name="_Toc526437471"/>
      <w:bookmarkStart w:id="405" w:name="_Ref526438119"/>
      <w:bookmarkStart w:id="406" w:name="_Toc526439927"/>
      <w:bookmarkStart w:id="407" w:name="_Toc526440037"/>
      <w:bookmarkStart w:id="408" w:name="_Toc532834315"/>
      <w:bookmarkStart w:id="409" w:name="_Toc57193588"/>
      <w:r>
        <w:t>M</w:t>
      </w:r>
      <w:r w:rsidRPr="00845A55">
        <w:t>arginal Resource Technology</w:t>
      </w:r>
      <w:bookmarkEnd w:id="398"/>
      <w:bookmarkEnd w:id="399"/>
      <w:bookmarkEnd w:id="400"/>
      <w:bookmarkEnd w:id="401"/>
      <w:bookmarkEnd w:id="402"/>
      <w:bookmarkEnd w:id="403"/>
      <w:bookmarkEnd w:id="404"/>
      <w:bookmarkEnd w:id="405"/>
      <w:bookmarkEnd w:id="406"/>
      <w:bookmarkEnd w:id="407"/>
      <w:bookmarkEnd w:id="408"/>
      <w:bookmarkEnd w:id="409"/>
    </w:p>
    <w:p w14:paraId="22F976A5" w14:textId="2EFBE953" w:rsidR="004B58AD" w:rsidRPr="003249F9" w:rsidRDefault="004B58AD" w:rsidP="004B58AD">
      <w:pPr>
        <w:pStyle w:val="BGNormal125"/>
        <w:rPr>
          <w:rFonts w:ascii="Calibri" w:hAnsi="Calibri" w:cs="Calibri"/>
          <w:color w:val="auto"/>
          <w:sz w:val="22"/>
          <w:szCs w:val="22"/>
        </w:rPr>
      </w:pPr>
      <w:r w:rsidRPr="003249F9">
        <w:rPr>
          <w:rFonts w:ascii="Calibri" w:hAnsi="Calibri" w:cs="Calibri"/>
          <w:color w:val="auto"/>
          <w:sz w:val="22"/>
          <w:szCs w:val="22"/>
        </w:rPr>
        <w:t xml:space="preserve">The quantity of installed generating capacity must vary to simulate ERCOT’s system costs, market prices, and reliability across different reserve margins.  We add gas </w:t>
      </w:r>
      <w:r w:rsidR="000D61E5">
        <w:rPr>
          <w:rFonts w:ascii="Calibri" w:hAnsi="Calibri" w:cs="Calibri"/>
          <w:color w:val="auto"/>
          <w:sz w:val="22"/>
          <w:szCs w:val="22"/>
        </w:rPr>
        <w:t>CT</w:t>
      </w:r>
      <w:r w:rsidRPr="003249F9">
        <w:rPr>
          <w:rFonts w:ascii="Calibri" w:hAnsi="Calibri" w:cs="Calibri"/>
          <w:color w:val="auto"/>
          <w:sz w:val="22"/>
          <w:szCs w:val="22"/>
        </w:rPr>
        <w:t xml:space="preserve"> plants in our base</w:t>
      </w:r>
      <w:r w:rsidRPr="003249F9" w:rsidDel="00484A5A">
        <w:rPr>
          <w:rFonts w:ascii="Calibri" w:hAnsi="Calibri" w:cs="Calibri"/>
          <w:color w:val="auto"/>
          <w:sz w:val="22"/>
          <w:szCs w:val="22"/>
        </w:rPr>
        <w:t xml:space="preserve"> </w:t>
      </w:r>
      <w:r w:rsidRPr="003249F9">
        <w:rPr>
          <w:rFonts w:ascii="Calibri" w:hAnsi="Calibri" w:cs="Calibri"/>
          <w:color w:val="auto"/>
          <w:sz w:val="22"/>
          <w:szCs w:val="22"/>
        </w:rPr>
        <w:t>case</w:t>
      </w:r>
      <w:r w:rsidR="003249F9" w:rsidRPr="003249F9">
        <w:rPr>
          <w:rFonts w:ascii="Calibri" w:hAnsi="Calibri" w:cs="Calibri"/>
          <w:color w:val="auto"/>
          <w:sz w:val="22"/>
          <w:szCs w:val="22"/>
        </w:rPr>
        <w:t xml:space="preserve">, </w:t>
      </w:r>
      <w:r w:rsidRPr="003249F9">
        <w:rPr>
          <w:rFonts w:ascii="Calibri" w:hAnsi="Calibri" w:cs="Calibri"/>
          <w:color w:val="auto"/>
          <w:sz w:val="22"/>
          <w:szCs w:val="22"/>
        </w:rPr>
        <w:t xml:space="preserve">roughly reflecting the types of </w:t>
      </w:r>
      <w:r w:rsidR="00F03118">
        <w:rPr>
          <w:rFonts w:ascii="Calibri" w:hAnsi="Calibri" w:cs="Calibri"/>
          <w:color w:val="auto"/>
          <w:sz w:val="22"/>
          <w:szCs w:val="22"/>
        </w:rPr>
        <w:t xml:space="preserve">capacity </w:t>
      </w:r>
      <w:r w:rsidRPr="003249F9">
        <w:rPr>
          <w:rFonts w:ascii="Calibri" w:hAnsi="Calibri" w:cs="Calibri"/>
          <w:color w:val="auto"/>
          <w:sz w:val="22"/>
          <w:szCs w:val="22"/>
        </w:rPr>
        <w:t xml:space="preserve">resources that have been added or proposed for the ERCOT market.  Our technology choices for the gas CT plants </w:t>
      </w:r>
      <w:r w:rsidR="00342297">
        <w:rPr>
          <w:rFonts w:ascii="Calibri" w:hAnsi="Calibri" w:cs="Calibri"/>
          <w:color w:val="auto"/>
          <w:sz w:val="22"/>
          <w:szCs w:val="22"/>
        </w:rPr>
        <w:t xml:space="preserve">is </w:t>
      </w:r>
      <w:r w:rsidRPr="003249F9">
        <w:rPr>
          <w:rFonts w:ascii="Calibri" w:hAnsi="Calibri" w:cs="Calibri"/>
          <w:color w:val="auto"/>
          <w:sz w:val="22"/>
          <w:szCs w:val="22"/>
        </w:rPr>
        <w:t xml:space="preserve">consistent with </w:t>
      </w:r>
      <w:r w:rsidR="00342297">
        <w:rPr>
          <w:rFonts w:ascii="Calibri" w:hAnsi="Calibri" w:cs="Calibri"/>
          <w:color w:val="auto"/>
          <w:sz w:val="22"/>
          <w:szCs w:val="22"/>
        </w:rPr>
        <w:t>assumptions from the 2018 study</w:t>
      </w:r>
      <w:r w:rsidRPr="003249F9">
        <w:rPr>
          <w:rFonts w:ascii="Calibri" w:hAnsi="Calibri" w:cs="Calibri"/>
          <w:color w:val="auto"/>
          <w:sz w:val="22"/>
          <w:szCs w:val="22"/>
        </w:rPr>
        <w:t>.</w:t>
      </w:r>
      <w:r w:rsidR="00342297" w:rsidRPr="003249F9" w:rsidDel="00342297">
        <w:rPr>
          <w:rStyle w:val="FootnoteReference"/>
          <w:rFonts w:ascii="Calibri" w:hAnsi="Calibri" w:cs="Calibri"/>
          <w:color w:val="C00000"/>
          <w:sz w:val="22"/>
          <w:szCs w:val="22"/>
        </w:rPr>
        <w:t xml:space="preserve"> </w:t>
      </w:r>
    </w:p>
    <w:p w14:paraId="5749553B" w14:textId="345C785E" w:rsidR="004B58AD" w:rsidRPr="00132D4F" w:rsidRDefault="004B58AD" w:rsidP="004B58AD">
      <w:pPr>
        <w:pStyle w:val="BGNormal125"/>
        <w:rPr>
          <w:rFonts w:ascii="Calibri" w:hAnsi="Calibri" w:cs="Calibri"/>
          <w:color w:val="C00000"/>
          <w:sz w:val="22"/>
          <w:szCs w:val="22"/>
        </w:rPr>
      </w:pPr>
      <w:r w:rsidRPr="003249F9">
        <w:rPr>
          <w:rFonts w:ascii="Calibri" w:hAnsi="Calibri" w:cs="Calibri"/>
          <w:color w:val="auto"/>
          <w:sz w:val="22"/>
          <w:szCs w:val="22"/>
        </w:rPr>
        <w:t xml:space="preserve">The costs and performance characteristics of the reference CT are summarized in </w:t>
      </w:r>
      <w:r w:rsidRPr="003249F9">
        <w:rPr>
          <w:rFonts w:ascii="Calibri" w:hAnsi="Calibri" w:cs="Calibri"/>
          <w:color w:val="auto"/>
          <w:sz w:val="22"/>
          <w:szCs w:val="22"/>
        </w:rPr>
        <w:fldChar w:fldCharType="begin"/>
      </w:r>
      <w:r w:rsidRPr="003249F9">
        <w:rPr>
          <w:rFonts w:ascii="Calibri" w:hAnsi="Calibri" w:cs="Calibri"/>
          <w:color w:val="auto"/>
          <w:sz w:val="22"/>
          <w:szCs w:val="22"/>
        </w:rPr>
        <w:instrText xml:space="preserve"> REF _Ref523139119 \h </w:instrText>
      </w:r>
      <w:r w:rsidR="00132D4F" w:rsidRPr="003249F9">
        <w:rPr>
          <w:rFonts w:ascii="Calibri" w:hAnsi="Calibri" w:cs="Calibri"/>
          <w:color w:val="auto"/>
          <w:sz w:val="22"/>
          <w:szCs w:val="22"/>
        </w:rPr>
        <w:instrText xml:space="preserve"> \* MERGEFORMAT </w:instrText>
      </w:r>
      <w:r w:rsidRPr="003249F9">
        <w:rPr>
          <w:rFonts w:ascii="Calibri" w:hAnsi="Calibri" w:cs="Calibri"/>
          <w:color w:val="auto"/>
          <w:sz w:val="22"/>
          <w:szCs w:val="22"/>
        </w:rPr>
      </w:r>
      <w:r w:rsidRPr="003249F9">
        <w:rPr>
          <w:rFonts w:ascii="Calibri" w:hAnsi="Calibri" w:cs="Calibri"/>
          <w:color w:val="auto"/>
          <w:sz w:val="22"/>
          <w:szCs w:val="22"/>
        </w:rPr>
        <w:fldChar w:fldCharType="separate"/>
      </w:r>
      <w:r w:rsidRPr="003249F9">
        <w:rPr>
          <w:rFonts w:ascii="Calibri" w:hAnsi="Calibri" w:cs="Calibri"/>
          <w:color w:val="auto"/>
          <w:sz w:val="22"/>
          <w:szCs w:val="22"/>
        </w:rPr>
        <w:t>Table A1-</w:t>
      </w:r>
      <w:r w:rsidRPr="003249F9">
        <w:rPr>
          <w:rFonts w:ascii="Calibri" w:hAnsi="Calibri" w:cs="Calibri"/>
          <w:noProof/>
          <w:color w:val="auto"/>
          <w:sz w:val="22"/>
          <w:szCs w:val="22"/>
        </w:rPr>
        <w:t>2</w:t>
      </w:r>
      <w:r w:rsidRPr="003249F9">
        <w:rPr>
          <w:rFonts w:ascii="Calibri" w:hAnsi="Calibri" w:cs="Calibri"/>
          <w:color w:val="auto"/>
          <w:sz w:val="22"/>
          <w:szCs w:val="22"/>
        </w:rPr>
        <w:fldChar w:fldCharType="end"/>
      </w:r>
      <w:r w:rsidRPr="003249F9">
        <w:rPr>
          <w:rFonts w:ascii="Calibri" w:hAnsi="Calibri" w:cs="Calibri"/>
          <w:color w:val="auto"/>
          <w:sz w:val="22"/>
          <w:szCs w:val="22"/>
        </w:rPr>
        <w:t xml:space="preserve"> and </w:t>
      </w:r>
      <w:r w:rsidRPr="003249F9">
        <w:rPr>
          <w:rFonts w:ascii="Calibri" w:hAnsi="Calibri" w:cs="Calibri"/>
          <w:color w:val="auto"/>
          <w:sz w:val="22"/>
          <w:szCs w:val="22"/>
        </w:rPr>
        <w:fldChar w:fldCharType="begin"/>
      </w:r>
      <w:r w:rsidRPr="003249F9">
        <w:rPr>
          <w:rFonts w:ascii="Calibri" w:hAnsi="Calibri" w:cs="Calibri"/>
          <w:color w:val="auto"/>
          <w:sz w:val="22"/>
          <w:szCs w:val="22"/>
        </w:rPr>
        <w:instrText xml:space="preserve"> REF _Ref523139130 \h </w:instrText>
      </w:r>
      <w:r w:rsidR="00132D4F" w:rsidRPr="003249F9">
        <w:rPr>
          <w:rFonts w:ascii="Calibri" w:hAnsi="Calibri" w:cs="Calibri"/>
          <w:color w:val="auto"/>
          <w:sz w:val="22"/>
          <w:szCs w:val="22"/>
        </w:rPr>
        <w:instrText xml:space="preserve"> \* MERGEFORMAT </w:instrText>
      </w:r>
      <w:r w:rsidRPr="003249F9">
        <w:rPr>
          <w:rFonts w:ascii="Calibri" w:hAnsi="Calibri" w:cs="Calibri"/>
          <w:color w:val="auto"/>
          <w:sz w:val="22"/>
          <w:szCs w:val="22"/>
        </w:rPr>
      </w:r>
      <w:r w:rsidRPr="003249F9">
        <w:rPr>
          <w:rFonts w:ascii="Calibri" w:hAnsi="Calibri" w:cs="Calibri"/>
          <w:color w:val="auto"/>
          <w:sz w:val="22"/>
          <w:szCs w:val="22"/>
        </w:rPr>
        <w:fldChar w:fldCharType="separate"/>
      </w:r>
      <w:r w:rsidRPr="003249F9">
        <w:rPr>
          <w:rFonts w:ascii="Calibri" w:hAnsi="Calibri" w:cs="Calibri"/>
          <w:color w:val="auto"/>
          <w:sz w:val="22"/>
          <w:szCs w:val="22"/>
        </w:rPr>
        <w:t>Table A1-</w:t>
      </w:r>
      <w:r w:rsidRPr="003249F9">
        <w:rPr>
          <w:rFonts w:ascii="Calibri" w:hAnsi="Calibri" w:cs="Calibri"/>
          <w:noProof/>
          <w:color w:val="auto"/>
          <w:sz w:val="22"/>
          <w:szCs w:val="22"/>
        </w:rPr>
        <w:t>3</w:t>
      </w:r>
      <w:r w:rsidRPr="003249F9">
        <w:rPr>
          <w:rFonts w:ascii="Calibri" w:hAnsi="Calibri" w:cs="Calibri"/>
          <w:color w:val="auto"/>
          <w:sz w:val="22"/>
          <w:szCs w:val="22"/>
        </w:rPr>
        <w:fldChar w:fldCharType="end"/>
      </w:r>
      <w:r w:rsidRPr="003249F9">
        <w:rPr>
          <w:rFonts w:ascii="Calibri" w:hAnsi="Calibri" w:cs="Calibri"/>
          <w:color w:val="auto"/>
          <w:sz w:val="22"/>
          <w:szCs w:val="22"/>
        </w:rPr>
        <w:t xml:space="preserve"> respectively.  These characteristics are based on GE 7HA technology for </w:t>
      </w:r>
      <w:r w:rsidR="000D61E5">
        <w:rPr>
          <w:rFonts w:ascii="Calibri" w:hAnsi="Calibri" w:cs="Calibri"/>
          <w:color w:val="auto"/>
          <w:sz w:val="22"/>
          <w:szCs w:val="22"/>
        </w:rPr>
        <w:t>the</w:t>
      </w:r>
      <w:r w:rsidR="003249F9" w:rsidRPr="003249F9">
        <w:rPr>
          <w:rFonts w:ascii="Calibri" w:hAnsi="Calibri" w:cs="Calibri"/>
          <w:color w:val="auto"/>
          <w:sz w:val="22"/>
          <w:szCs w:val="22"/>
        </w:rPr>
        <w:t xml:space="preserve"> </w:t>
      </w:r>
      <w:r w:rsidRPr="003249F9">
        <w:rPr>
          <w:rFonts w:ascii="Calibri" w:hAnsi="Calibri" w:cs="Calibri"/>
          <w:color w:val="auto"/>
          <w:sz w:val="22"/>
          <w:szCs w:val="22"/>
        </w:rPr>
        <w:t xml:space="preserve">CT plants, which is </w:t>
      </w:r>
      <w:r w:rsidR="003249F9" w:rsidRPr="003249F9">
        <w:rPr>
          <w:rFonts w:ascii="Calibri" w:hAnsi="Calibri" w:cs="Calibri"/>
          <w:color w:val="auto"/>
          <w:sz w:val="22"/>
          <w:szCs w:val="22"/>
        </w:rPr>
        <w:t xml:space="preserve">the same as </w:t>
      </w:r>
      <w:r w:rsidRPr="003249F9">
        <w:rPr>
          <w:rFonts w:ascii="Calibri" w:hAnsi="Calibri" w:cs="Calibri"/>
          <w:color w:val="auto"/>
          <w:sz w:val="22"/>
          <w:szCs w:val="22"/>
        </w:rPr>
        <w:t xml:space="preserve">the </w:t>
      </w:r>
      <w:r w:rsidR="003249F9" w:rsidRPr="003249F9">
        <w:rPr>
          <w:rFonts w:ascii="Calibri" w:hAnsi="Calibri" w:cs="Calibri"/>
          <w:color w:val="auto"/>
          <w:sz w:val="22"/>
          <w:szCs w:val="22"/>
        </w:rPr>
        <w:t xml:space="preserve">CT </w:t>
      </w:r>
      <w:r w:rsidRPr="003249F9">
        <w:rPr>
          <w:rFonts w:ascii="Calibri" w:hAnsi="Calibri" w:cs="Calibri"/>
          <w:color w:val="auto"/>
          <w:sz w:val="22"/>
          <w:szCs w:val="22"/>
        </w:rPr>
        <w:t xml:space="preserve">reference </w:t>
      </w:r>
      <w:r w:rsidR="003249F9" w:rsidRPr="003249F9">
        <w:rPr>
          <w:rFonts w:ascii="Calibri" w:hAnsi="Calibri" w:cs="Calibri"/>
          <w:color w:val="auto"/>
          <w:sz w:val="22"/>
          <w:szCs w:val="22"/>
        </w:rPr>
        <w:t>t</w:t>
      </w:r>
      <w:r w:rsidRPr="003249F9">
        <w:rPr>
          <w:rFonts w:ascii="Calibri" w:hAnsi="Calibri" w:cs="Calibri"/>
          <w:color w:val="auto"/>
          <w:sz w:val="22"/>
          <w:szCs w:val="22"/>
        </w:rPr>
        <w:t>echnology from EORM 201</w:t>
      </w:r>
      <w:r w:rsidR="003249F9" w:rsidRPr="003249F9">
        <w:rPr>
          <w:rFonts w:ascii="Calibri" w:hAnsi="Calibri" w:cs="Calibri"/>
          <w:color w:val="auto"/>
          <w:sz w:val="22"/>
          <w:szCs w:val="22"/>
        </w:rPr>
        <w:t>8</w:t>
      </w:r>
      <w:r w:rsidRPr="003249F9">
        <w:rPr>
          <w:rFonts w:ascii="Calibri" w:hAnsi="Calibri" w:cs="Calibri"/>
          <w:color w:val="auto"/>
          <w:sz w:val="22"/>
          <w:szCs w:val="22"/>
        </w:rPr>
        <w:t>.</w:t>
      </w:r>
      <w:r w:rsidRPr="003249F9">
        <w:rPr>
          <w:rStyle w:val="FootnoteReference"/>
          <w:rFonts w:ascii="Calibri" w:hAnsi="Calibri" w:cs="Calibri"/>
          <w:color w:val="auto"/>
          <w:sz w:val="22"/>
          <w:szCs w:val="22"/>
        </w:rPr>
        <w:footnoteReference w:id="42"/>
      </w:r>
      <w:r w:rsidRPr="003249F9">
        <w:rPr>
          <w:rFonts w:ascii="Calibri" w:hAnsi="Calibri" w:cs="Calibri"/>
          <w:color w:val="auto"/>
          <w:sz w:val="22"/>
          <w:szCs w:val="22"/>
        </w:rPr>
        <w:t xml:space="preserve">  We use</w:t>
      </w:r>
      <w:r w:rsidRPr="003249F9" w:rsidDel="00484A5A">
        <w:rPr>
          <w:rFonts w:ascii="Calibri" w:hAnsi="Calibri" w:cs="Calibri"/>
          <w:color w:val="auto"/>
          <w:sz w:val="22"/>
          <w:szCs w:val="22"/>
        </w:rPr>
        <w:t xml:space="preserve"> </w:t>
      </w:r>
      <w:r w:rsidRPr="003249F9">
        <w:rPr>
          <w:rFonts w:ascii="Calibri" w:hAnsi="Calibri" w:cs="Calibri"/>
          <w:color w:val="auto"/>
          <w:sz w:val="22"/>
          <w:szCs w:val="22"/>
        </w:rPr>
        <w:t xml:space="preserve">updated cost of new entry (CONE) assumptions consistent with this technology, as well as an updated after-tax weighted-average cost of capital (ATWACC) for a merchant developer based on current financial market conditions.  </w:t>
      </w:r>
      <w:r w:rsidRPr="00132D4F">
        <w:rPr>
          <w:rFonts w:ascii="Calibri" w:hAnsi="Calibri" w:cs="Calibri"/>
          <w:color w:val="C00000"/>
          <w:sz w:val="22"/>
          <w:szCs w:val="22"/>
        </w:rPr>
        <w:t>T</w:t>
      </w:r>
      <w:r w:rsidRPr="003249F9">
        <w:rPr>
          <w:rFonts w:ascii="Calibri" w:hAnsi="Calibri" w:cs="Calibri"/>
          <w:color w:val="auto"/>
          <w:sz w:val="22"/>
          <w:szCs w:val="22"/>
        </w:rPr>
        <w:t>hese updates result in an estimated CONE of $</w:t>
      </w:r>
      <w:r w:rsidR="00342297">
        <w:rPr>
          <w:rFonts w:ascii="Calibri" w:hAnsi="Calibri" w:cs="Calibri"/>
          <w:color w:val="auto"/>
          <w:sz w:val="22"/>
          <w:szCs w:val="22"/>
        </w:rPr>
        <w:t>93</w:t>
      </w:r>
      <w:r w:rsidRPr="003249F9">
        <w:rPr>
          <w:rFonts w:ascii="Calibri" w:hAnsi="Calibri" w:cs="Calibri"/>
          <w:color w:val="auto"/>
          <w:sz w:val="22"/>
          <w:szCs w:val="22"/>
        </w:rPr>
        <w:t>,</w:t>
      </w:r>
      <w:r w:rsidR="00342297">
        <w:rPr>
          <w:rFonts w:ascii="Calibri" w:hAnsi="Calibri" w:cs="Calibri"/>
          <w:color w:val="auto"/>
          <w:sz w:val="22"/>
          <w:szCs w:val="22"/>
        </w:rPr>
        <w:t>5</w:t>
      </w:r>
      <w:r w:rsidR="00342297" w:rsidRPr="003249F9">
        <w:rPr>
          <w:rFonts w:ascii="Calibri" w:hAnsi="Calibri" w:cs="Calibri"/>
          <w:color w:val="auto"/>
          <w:sz w:val="22"/>
          <w:szCs w:val="22"/>
        </w:rPr>
        <w:t>00</w:t>
      </w:r>
      <w:r w:rsidRPr="003249F9">
        <w:rPr>
          <w:rFonts w:ascii="Calibri" w:hAnsi="Calibri" w:cs="Calibri"/>
          <w:color w:val="auto"/>
          <w:sz w:val="22"/>
          <w:szCs w:val="22"/>
        </w:rPr>
        <w:t xml:space="preserve">/MW-year </w:t>
      </w:r>
      <w:r w:rsidRPr="003249F9" w:rsidDel="00276929">
        <w:rPr>
          <w:rFonts w:ascii="Calibri" w:hAnsi="Calibri" w:cs="Calibri"/>
          <w:color w:val="auto"/>
          <w:sz w:val="22"/>
          <w:szCs w:val="22"/>
        </w:rPr>
        <w:t xml:space="preserve">for the gas </w:t>
      </w:r>
      <w:r w:rsidRPr="003249F9">
        <w:rPr>
          <w:rFonts w:ascii="Calibri" w:hAnsi="Calibri" w:cs="Calibri"/>
          <w:color w:val="auto"/>
          <w:sz w:val="22"/>
          <w:szCs w:val="22"/>
        </w:rPr>
        <w:t xml:space="preserve">CT, which is </w:t>
      </w:r>
      <w:r w:rsidR="003249F9" w:rsidRPr="003249F9">
        <w:rPr>
          <w:rFonts w:ascii="Calibri" w:hAnsi="Calibri" w:cs="Calibri"/>
          <w:color w:val="auto"/>
          <w:sz w:val="22"/>
          <w:szCs w:val="22"/>
        </w:rPr>
        <w:t>5</w:t>
      </w:r>
      <w:r w:rsidR="00342592">
        <w:rPr>
          <w:rFonts w:ascii="Calibri" w:hAnsi="Calibri" w:cs="Calibri"/>
          <w:color w:val="auto"/>
          <w:sz w:val="22"/>
          <w:szCs w:val="22"/>
        </w:rPr>
        <w:t>.</w:t>
      </w:r>
      <w:r w:rsidR="003249F9" w:rsidRPr="003249F9">
        <w:rPr>
          <w:rFonts w:ascii="Calibri" w:hAnsi="Calibri" w:cs="Calibri"/>
          <w:color w:val="auto"/>
          <w:sz w:val="22"/>
          <w:szCs w:val="22"/>
        </w:rPr>
        <w:t xml:space="preserve">65% higher </w:t>
      </w:r>
      <w:r w:rsidRPr="003249F9">
        <w:rPr>
          <w:rFonts w:ascii="Calibri" w:hAnsi="Calibri" w:cs="Calibri"/>
          <w:color w:val="auto"/>
          <w:sz w:val="22"/>
          <w:szCs w:val="22"/>
        </w:rPr>
        <w:t>than in EORM 201</w:t>
      </w:r>
      <w:r w:rsidR="003249F9" w:rsidRPr="003249F9">
        <w:rPr>
          <w:rFonts w:ascii="Calibri" w:hAnsi="Calibri" w:cs="Calibri"/>
          <w:color w:val="auto"/>
          <w:sz w:val="22"/>
          <w:szCs w:val="22"/>
        </w:rPr>
        <w:t>8</w:t>
      </w:r>
      <w:r w:rsidRPr="003249F9">
        <w:rPr>
          <w:rFonts w:ascii="Calibri" w:hAnsi="Calibri" w:cs="Calibri"/>
          <w:color w:val="auto"/>
          <w:sz w:val="22"/>
          <w:szCs w:val="22"/>
        </w:rPr>
        <w:t>,</w:t>
      </w:r>
      <w:r w:rsidRPr="00132D4F">
        <w:rPr>
          <w:rFonts w:ascii="Calibri" w:hAnsi="Calibri" w:cs="Calibri"/>
          <w:color w:val="C00000"/>
          <w:sz w:val="22"/>
          <w:szCs w:val="22"/>
        </w:rPr>
        <w:t xml:space="preserve"> </w:t>
      </w:r>
      <w:r w:rsidRPr="00AB139A">
        <w:rPr>
          <w:rFonts w:ascii="Calibri" w:hAnsi="Calibri" w:cs="Calibri"/>
          <w:color w:val="auto"/>
          <w:sz w:val="22"/>
          <w:szCs w:val="22"/>
        </w:rPr>
        <w:t xml:space="preserve">as shown in </w:t>
      </w:r>
      <w:r w:rsidRPr="00AB139A">
        <w:rPr>
          <w:rFonts w:ascii="Calibri" w:hAnsi="Calibri" w:cs="Calibri"/>
          <w:color w:val="auto"/>
          <w:sz w:val="22"/>
          <w:szCs w:val="22"/>
        </w:rPr>
        <w:fldChar w:fldCharType="begin"/>
      </w:r>
      <w:r w:rsidRPr="00AB139A">
        <w:rPr>
          <w:rFonts w:ascii="Calibri" w:hAnsi="Calibri" w:cs="Calibri"/>
          <w:color w:val="auto"/>
          <w:sz w:val="22"/>
          <w:szCs w:val="22"/>
        </w:rPr>
        <w:instrText xml:space="preserve"> REF _Ref523139119 \h </w:instrText>
      </w:r>
      <w:r w:rsidR="00132D4F" w:rsidRPr="00AB139A">
        <w:rPr>
          <w:rFonts w:ascii="Calibri" w:hAnsi="Calibri" w:cs="Calibri"/>
          <w:color w:val="auto"/>
          <w:sz w:val="22"/>
          <w:szCs w:val="22"/>
        </w:rPr>
        <w:instrText xml:space="preserve"> \* MERGEFORMAT </w:instrText>
      </w:r>
      <w:r w:rsidRPr="00AB139A">
        <w:rPr>
          <w:rFonts w:ascii="Calibri" w:hAnsi="Calibri" w:cs="Calibri"/>
          <w:color w:val="auto"/>
          <w:sz w:val="22"/>
          <w:szCs w:val="22"/>
        </w:rPr>
      </w:r>
      <w:r w:rsidRPr="00AB139A">
        <w:rPr>
          <w:rFonts w:ascii="Calibri" w:hAnsi="Calibri" w:cs="Calibri"/>
          <w:color w:val="auto"/>
          <w:sz w:val="22"/>
          <w:szCs w:val="22"/>
        </w:rPr>
        <w:fldChar w:fldCharType="separate"/>
      </w:r>
      <w:r w:rsidRPr="00AB139A">
        <w:rPr>
          <w:rFonts w:ascii="Calibri" w:hAnsi="Calibri" w:cs="Calibri"/>
          <w:color w:val="auto"/>
          <w:sz w:val="22"/>
          <w:szCs w:val="22"/>
        </w:rPr>
        <w:t>Table A1-</w:t>
      </w:r>
      <w:r w:rsidRPr="00AB139A">
        <w:rPr>
          <w:rFonts w:ascii="Calibri" w:hAnsi="Calibri" w:cs="Calibri"/>
          <w:noProof/>
          <w:color w:val="auto"/>
          <w:sz w:val="22"/>
          <w:szCs w:val="22"/>
        </w:rPr>
        <w:t>2</w:t>
      </w:r>
      <w:r w:rsidRPr="00AB139A">
        <w:rPr>
          <w:rFonts w:ascii="Calibri" w:hAnsi="Calibri" w:cs="Calibri"/>
          <w:color w:val="auto"/>
          <w:sz w:val="22"/>
          <w:szCs w:val="22"/>
        </w:rPr>
        <w:fldChar w:fldCharType="end"/>
      </w:r>
      <w:r w:rsidRPr="00132D4F">
        <w:rPr>
          <w:rFonts w:ascii="Calibri" w:hAnsi="Calibri" w:cs="Calibri"/>
          <w:color w:val="C00000"/>
          <w:sz w:val="22"/>
          <w:szCs w:val="22"/>
        </w:rPr>
        <w:t>.</w:t>
      </w:r>
    </w:p>
    <w:p w14:paraId="3357A89A" w14:textId="23D17B5C" w:rsidR="004B58AD" w:rsidRPr="00AB139A" w:rsidRDefault="004B58AD" w:rsidP="008B0478">
      <w:pPr>
        <w:pStyle w:val="Caption"/>
        <w:jc w:val="center"/>
        <w:rPr>
          <w:rFonts w:cs="Calibri"/>
          <w:b/>
          <w:bCs/>
          <w:i w:val="0"/>
          <w:iCs w:val="0"/>
          <w:color w:val="auto"/>
          <w:sz w:val="22"/>
          <w:szCs w:val="22"/>
        </w:rPr>
      </w:pPr>
      <w:bookmarkStart w:id="410" w:name="_Ref523139119"/>
      <w:r w:rsidRPr="00AB139A">
        <w:rPr>
          <w:rFonts w:cs="Calibri"/>
          <w:b/>
          <w:bCs/>
          <w:i w:val="0"/>
          <w:iCs w:val="0"/>
          <w:color w:val="auto"/>
          <w:sz w:val="22"/>
          <w:szCs w:val="22"/>
        </w:rPr>
        <w:t>Table A1-</w:t>
      </w:r>
      <w:r w:rsidRPr="00AB139A">
        <w:rPr>
          <w:rFonts w:cs="Calibri"/>
          <w:b/>
          <w:bCs/>
          <w:i w:val="0"/>
          <w:iCs w:val="0"/>
          <w:noProof/>
          <w:color w:val="auto"/>
          <w:sz w:val="22"/>
          <w:szCs w:val="22"/>
        </w:rPr>
        <w:fldChar w:fldCharType="begin"/>
      </w:r>
      <w:r w:rsidRPr="00AB139A">
        <w:rPr>
          <w:rFonts w:cs="Calibri"/>
          <w:b/>
          <w:bCs/>
          <w:i w:val="0"/>
          <w:iCs w:val="0"/>
          <w:noProof/>
          <w:color w:val="auto"/>
          <w:sz w:val="22"/>
          <w:szCs w:val="22"/>
        </w:rPr>
        <w:instrText xml:space="preserve"> SEQ Table_A1- \* ARABIC </w:instrText>
      </w:r>
      <w:r w:rsidRPr="00AB139A">
        <w:rPr>
          <w:rFonts w:cs="Calibri"/>
          <w:b/>
          <w:bCs/>
          <w:i w:val="0"/>
          <w:iCs w:val="0"/>
          <w:noProof/>
          <w:color w:val="auto"/>
          <w:sz w:val="22"/>
          <w:szCs w:val="22"/>
        </w:rPr>
        <w:fldChar w:fldCharType="separate"/>
      </w:r>
      <w:r w:rsidRPr="00AB139A">
        <w:rPr>
          <w:rFonts w:cs="Calibri"/>
          <w:b/>
          <w:bCs/>
          <w:i w:val="0"/>
          <w:iCs w:val="0"/>
          <w:noProof/>
          <w:color w:val="auto"/>
          <w:sz w:val="22"/>
          <w:szCs w:val="22"/>
        </w:rPr>
        <w:t>2</w:t>
      </w:r>
      <w:r w:rsidRPr="00AB139A">
        <w:rPr>
          <w:rFonts w:cs="Calibri"/>
          <w:b/>
          <w:bCs/>
          <w:i w:val="0"/>
          <w:iCs w:val="0"/>
          <w:noProof/>
          <w:color w:val="auto"/>
          <w:sz w:val="22"/>
          <w:szCs w:val="22"/>
        </w:rPr>
        <w:fldChar w:fldCharType="end"/>
      </w:r>
      <w:bookmarkEnd w:id="410"/>
      <w:r w:rsidR="00132D4F" w:rsidRPr="00AB139A">
        <w:rPr>
          <w:rFonts w:cs="Calibri"/>
          <w:b/>
          <w:bCs/>
          <w:i w:val="0"/>
          <w:iCs w:val="0"/>
          <w:noProof/>
          <w:color w:val="auto"/>
          <w:sz w:val="22"/>
          <w:szCs w:val="22"/>
        </w:rPr>
        <w:t xml:space="preserve">. </w:t>
      </w:r>
      <w:r w:rsidRPr="00AB139A">
        <w:rPr>
          <w:rFonts w:cs="Calibri"/>
          <w:b/>
          <w:bCs/>
          <w:i w:val="0"/>
          <w:iCs w:val="0"/>
          <w:color w:val="auto"/>
          <w:sz w:val="22"/>
          <w:szCs w:val="22"/>
        </w:rPr>
        <w:t>Cost of New Entry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1170"/>
        <w:gridCol w:w="1350"/>
        <w:gridCol w:w="1620"/>
      </w:tblGrid>
      <w:tr w:rsidR="008A3881" w:rsidRPr="008A3881" w14:paraId="23773612" w14:textId="77777777" w:rsidTr="008A3881">
        <w:tc>
          <w:tcPr>
            <w:tcW w:w="4405" w:type="dxa"/>
          </w:tcPr>
          <w:p w14:paraId="066AF202" w14:textId="77777777" w:rsidR="008A3881" w:rsidRPr="008A3881" w:rsidRDefault="008A3881" w:rsidP="004B58AD">
            <w:pPr>
              <w:pStyle w:val="BGInsertGraphic"/>
              <w:keepNext/>
              <w:spacing w:before="0"/>
              <w:rPr>
                <w:rFonts w:ascii="Calibri" w:hAnsi="Calibri"/>
                <w:sz w:val="20"/>
                <w:szCs w:val="20"/>
              </w:rPr>
            </w:pPr>
          </w:p>
        </w:tc>
        <w:tc>
          <w:tcPr>
            <w:tcW w:w="1170" w:type="dxa"/>
            <w:vMerge w:val="restart"/>
          </w:tcPr>
          <w:p w14:paraId="4FD2E688" w14:textId="7AB9719D" w:rsidR="008A3881" w:rsidRPr="008A3881" w:rsidRDefault="008A3881" w:rsidP="004B58AD">
            <w:pPr>
              <w:pStyle w:val="BGInsertGraphic"/>
              <w:keepNext/>
              <w:spacing w:before="0"/>
              <w:rPr>
                <w:rFonts w:ascii="Calibri" w:hAnsi="Calibri"/>
                <w:b/>
                <w:bCs/>
                <w:sz w:val="20"/>
                <w:szCs w:val="20"/>
              </w:rPr>
            </w:pPr>
            <w:r w:rsidRPr="008A3881">
              <w:rPr>
                <w:rFonts w:ascii="Calibri" w:hAnsi="Calibri"/>
                <w:b/>
                <w:bCs/>
                <w:sz w:val="20"/>
                <w:szCs w:val="20"/>
              </w:rPr>
              <w:t>ATWACC</w:t>
            </w:r>
          </w:p>
        </w:tc>
        <w:tc>
          <w:tcPr>
            <w:tcW w:w="2970" w:type="dxa"/>
            <w:gridSpan w:val="2"/>
            <w:tcBorders>
              <w:top w:val="single" w:sz="4" w:space="0" w:color="auto"/>
              <w:bottom w:val="single" w:sz="4" w:space="0" w:color="auto"/>
            </w:tcBorders>
          </w:tcPr>
          <w:p w14:paraId="5EA88F0F" w14:textId="367633FE" w:rsidR="008A3881" w:rsidRPr="008A3881" w:rsidRDefault="008A3881" w:rsidP="004B58AD">
            <w:pPr>
              <w:pStyle w:val="BGInsertGraphic"/>
              <w:keepNext/>
              <w:spacing w:before="0"/>
              <w:rPr>
                <w:rFonts w:ascii="Calibri" w:hAnsi="Calibri"/>
                <w:b/>
                <w:bCs/>
                <w:sz w:val="20"/>
                <w:szCs w:val="20"/>
              </w:rPr>
            </w:pPr>
            <w:r w:rsidRPr="008A3881">
              <w:rPr>
                <w:rFonts w:ascii="Calibri" w:hAnsi="Calibri"/>
                <w:b/>
                <w:bCs/>
                <w:sz w:val="20"/>
                <w:szCs w:val="20"/>
              </w:rPr>
              <w:t>CONE</w:t>
            </w:r>
          </w:p>
        </w:tc>
      </w:tr>
      <w:tr w:rsidR="008A3881" w:rsidRPr="008A3881" w14:paraId="0880ACDE" w14:textId="77777777" w:rsidTr="008A3881">
        <w:tc>
          <w:tcPr>
            <w:tcW w:w="4405" w:type="dxa"/>
            <w:tcBorders>
              <w:bottom w:val="nil"/>
            </w:tcBorders>
          </w:tcPr>
          <w:p w14:paraId="2F6228BB" w14:textId="77777777" w:rsidR="008A3881" w:rsidRPr="008A3881" w:rsidRDefault="008A3881" w:rsidP="008A3881">
            <w:pPr>
              <w:pStyle w:val="BGInsertGraphic"/>
              <w:keepNext/>
              <w:spacing w:before="0"/>
              <w:rPr>
                <w:rFonts w:ascii="Calibri" w:hAnsi="Calibri"/>
                <w:sz w:val="20"/>
                <w:szCs w:val="20"/>
              </w:rPr>
            </w:pPr>
          </w:p>
        </w:tc>
        <w:tc>
          <w:tcPr>
            <w:tcW w:w="1170" w:type="dxa"/>
            <w:vMerge/>
            <w:tcBorders>
              <w:bottom w:val="nil"/>
            </w:tcBorders>
          </w:tcPr>
          <w:p w14:paraId="63C15FC1" w14:textId="12DFCE77" w:rsidR="008A3881" w:rsidRPr="008A3881" w:rsidRDefault="008A3881" w:rsidP="008A3881">
            <w:pPr>
              <w:pStyle w:val="BGInsertGraphic"/>
              <w:keepNext/>
              <w:spacing w:before="0"/>
              <w:rPr>
                <w:rFonts w:ascii="Calibri" w:hAnsi="Calibri"/>
                <w:b/>
                <w:bCs/>
                <w:sz w:val="20"/>
                <w:szCs w:val="20"/>
              </w:rPr>
            </w:pPr>
          </w:p>
        </w:tc>
        <w:tc>
          <w:tcPr>
            <w:tcW w:w="1350" w:type="dxa"/>
            <w:tcBorders>
              <w:top w:val="single" w:sz="4" w:space="0" w:color="auto"/>
              <w:bottom w:val="nil"/>
            </w:tcBorders>
          </w:tcPr>
          <w:p w14:paraId="0C835671" w14:textId="294F79AB" w:rsidR="008A3881" w:rsidRPr="008A3881" w:rsidRDefault="008A3881" w:rsidP="008A3881">
            <w:pPr>
              <w:pStyle w:val="BGInsertGraphic"/>
              <w:keepNext/>
              <w:spacing w:before="0"/>
              <w:rPr>
                <w:rFonts w:ascii="Calibri" w:hAnsi="Calibri"/>
                <w:b/>
                <w:bCs/>
                <w:sz w:val="20"/>
                <w:szCs w:val="20"/>
              </w:rPr>
            </w:pPr>
            <w:r w:rsidRPr="008A3881">
              <w:rPr>
                <w:rFonts w:ascii="Calibri" w:hAnsi="Calibri"/>
                <w:b/>
                <w:bCs/>
                <w:sz w:val="20"/>
                <w:szCs w:val="20"/>
              </w:rPr>
              <w:t>Simple Cycle</w:t>
            </w:r>
          </w:p>
        </w:tc>
        <w:tc>
          <w:tcPr>
            <w:tcW w:w="1620" w:type="dxa"/>
            <w:tcBorders>
              <w:top w:val="single" w:sz="4" w:space="0" w:color="auto"/>
              <w:bottom w:val="nil"/>
            </w:tcBorders>
          </w:tcPr>
          <w:p w14:paraId="2597F309" w14:textId="7F84F881" w:rsidR="008A3881" w:rsidRPr="008A3881" w:rsidRDefault="008A3881" w:rsidP="008A3881">
            <w:pPr>
              <w:pStyle w:val="BGInsertGraphic"/>
              <w:keepNext/>
              <w:spacing w:before="0"/>
              <w:rPr>
                <w:rFonts w:ascii="Calibri" w:hAnsi="Calibri"/>
                <w:b/>
                <w:bCs/>
                <w:sz w:val="20"/>
                <w:szCs w:val="20"/>
              </w:rPr>
            </w:pPr>
            <w:r w:rsidRPr="008A3881">
              <w:rPr>
                <w:rFonts w:ascii="Calibri" w:hAnsi="Calibri"/>
                <w:b/>
                <w:bCs/>
                <w:sz w:val="20"/>
                <w:szCs w:val="20"/>
              </w:rPr>
              <w:t>Combined Cycle</w:t>
            </w:r>
          </w:p>
        </w:tc>
      </w:tr>
      <w:tr w:rsidR="008A3881" w:rsidRPr="008A3881" w14:paraId="21919964" w14:textId="77777777" w:rsidTr="008A3881">
        <w:tc>
          <w:tcPr>
            <w:tcW w:w="4405" w:type="dxa"/>
            <w:tcBorders>
              <w:top w:val="nil"/>
              <w:bottom w:val="single" w:sz="4" w:space="0" w:color="auto"/>
            </w:tcBorders>
          </w:tcPr>
          <w:p w14:paraId="4B747852" w14:textId="77777777" w:rsidR="008A3881" w:rsidRPr="008A3881" w:rsidRDefault="008A3881" w:rsidP="008A3881">
            <w:pPr>
              <w:pStyle w:val="BGInsertGraphic"/>
              <w:keepNext/>
              <w:spacing w:before="0"/>
              <w:rPr>
                <w:rFonts w:ascii="Calibri" w:hAnsi="Calibri"/>
                <w:sz w:val="20"/>
                <w:szCs w:val="20"/>
              </w:rPr>
            </w:pPr>
          </w:p>
        </w:tc>
        <w:tc>
          <w:tcPr>
            <w:tcW w:w="1170" w:type="dxa"/>
            <w:tcBorders>
              <w:top w:val="nil"/>
              <w:bottom w:val="single" w:sz="4" w:space="0" w:color="auto"/>
            </w:tcBorders>
          </w:tcPr>
          <w:p w14:paraId="4E38BA0E" w14:textId="2F0053FE"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w:t>
            </w:r>
            <w:proofErr w:type="spellStart"/>
            <w:r w:rsidRPr="008A3881">
              <w:rPr>
                <w:rFonts w:ascii="Calibri" w:hAnsi="Calibri"/>
                <w:sz w:val="20"/>
                <w:szCs w:val="20"/>
              </w:rPr>
              <w:t>yr</w:t>
            </w:r>
            <w:proofErr w:type="spellEnd"/>
            <w:r w:rsidRPr="008A3881">
              <w:rPr>
                <w:rFonts w:ascii="Calibri" w:hAnsi="Calibri"/>
                <w:sz w:val="20"/>
                <w:szCs w:val="20"/>
              </w:rPr>
              <w:t>)</w:t>
            </w:r>
          </w:p>
        </w:tc>
        <w:tc>
          <w:tcPr>
            <w:tcW w:w="1350" w:type="dxa"/>
            <w:tcBorders>
              <w:top w:val="nil"/>
              <w:bottom w:val="single" w:sz="4" w:space="0" w:color="auto"/>
            </w:tcBorders>
          </w:tcPr>
          <w:p w14:paraId="714683E0" w14:textId="6650982D"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($/MW-</w:t>
            </w:r>
            <w:proofErr w:type="spellStart"/>
            <w:r w:rsidRPr="008A3881">
              <w:rPr>
                <w:rFonts w:ascii="Calibri" w:hAnsi="Calibri"/>
                <w:sz w:val="20"/>
                <w:szCs w:val="20"/>
              </w:rPr>
              <w:t>yr</w:t>
            </w:r>
            <w:proofErr w:type="spellEnd"/>
            <w:r w:rsidRPr="008A3881">
              <w:rPr>
                <w:rFonts w:ascii="Calibri" w:hAnsi="Calibri"/>
                <w:sz w:val="20"/>
                <w:szCs w:val="20"/>
              </w:rPr>
              <w:t>)</w:t>
            </w:r>
          </w:p>
        </w:tc>
        <w:tc>
          <w:tcPr>
            <w:tcW w:w="1620" w:type="dxa"/>
            <w:tcBorders>
              <w:top w:val="nil"/>
              <w:bottom w:val="single" w:sz="4" w:space="0" w:color="auto"/>
            </w:tcBorders>
          </w:tcPr>
          <w:p w14:paraId="393E0B95" w14:textId="5E6FFC97"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($/MW-</w:t>
            </w:r>
            <w:proofErr w:type="spellStart"/>
            <w:r w:rsidRPr="008A3881">
              <w:rPr>
                <w:rFonts w:ascii="Calibri" w:hAnsi="Calibri"/>
                <w:sz w:val="20"/>
                <w:szCs w:val="20"/>
              </w:rPr>
              <w:t>yr</w:t>
            </w:r>
            <w:proofErr w:type="spellEnd"/>
            <w:r w:rsidRPr="008A3881">
              <w:rPr>
                <w:rFonts w:ascii="Calibri" w:hAnsi="Calibri"/>
                <w:sz w:val="20"/>
                <w:szCs w:val="20"/>
              </w:rPr>
              <w:t>)</w:t>
            </w:r>
          </w:p>
        </w:tc>
      </w:tr>
      <w:tr w:rsidR="008A3881" w:rsidRPr="008A3881" w14:paraId="1363C5BF" w14:textId="77777777" w:rsidTr="008A3881">
        <w:tc>
          <w:tcPr>
            <w:tcW w:w="8545" w:type="dxa"/>
            <w:gridSpan w:val="4"/>
            <w:tcBorders>
              <w:top w:val="single" w:sz="4" w:space="0" w:color="auto"/>
            </w:tcBorders>
          </w:tcPr>
          <w:p w14:paraId="3862C2ED" w14:textId="154504D2" w:rsidR="008A3881" w:rsidRPr="008A3881" w:rsidRDefault="008A3881" w:rsidP="008A3881">
            <w:pPr>
              <w:pStyle w:val="BGInsertGraphic"/>
              <w:keepNext/>
              <w:spacing w:before="0"/>
              <w:jc w:val="left"/>
              <w:rPr>
                <w:rFonts w:ascii="Calibri" w:hAnsi="Calibri"/>
                <w:b/>
                <w:bCs/>
                <w:sz w:val="20"/>
                <w:szCs w:val="20"/>
              </w:rPr>
            </w:pPr>
            <w:r w:rsidRPr="008A3881">
              <w:rPr>
                <w:rFonts w:ascii="Calibri" w:hAnsi="Calibri"/>
                <w:b/>
                <w:bCs/>
                <w:sz w:val="20"/>
                <w:szCs w:val="20"/>
              </w:rPr>
              <w:t>From 2018 Study (2022 Online Date)</w:t>
            </w:r>
          </w:p>
        </w:tc>
      </w:tr>
      <w:tr w:rsidR="008A3881" w:rsidRPr="008A3881" w14:paraId="48850489" w14:textId="77777777" w:rsidTr="008A3881">
        <w:tc>
          <w:tcPr>
            <w:tcW w:w="4405" w:type="dxa"/>
            <w:shd w:val="clear" w:color="auto" w:fill="D9D9D9" w:themeFill="background1" w:themeFillShade="D9"/>
          </w:tcPr>
          <w:p w14:paraId="75A5E8F4" w14:textId="4C2BB526"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Low: Base Minus 10%</w:t>
            </w:r>
          </w:p>
        </w:tc>
        <w:tc>
          <w:tcPr>
            <w:tcW w:w="1170" w:type="dxa"/>
            <w:shd w:val="clear" w:color="auto" w:fill="D9D9D9" w:themeFill="background1" w:themeFillShade="D9"/>
          </w:tcPr>
          <w:p w14:paraId="78E6DE29" w14:textId="17699D67"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n/a</w:t>
            </w:r>
          </w:p>
        </w:tc>
        <w:tc>
          <w:tcPr>
            <w:tcW w:w="1350" w:type="dxa"/>
            <w:shd w:val="clear" w:color="auto" w:fill="D9D9D9" w:themeFill="background1" w:themeFillShade="D9"/>
          </w:tcPr>
          <w:p w14:paraId="4BE5BF1C" w14:textId="2AB983B3"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$79,700</w:t>
            </w:r>
          </w:p>
        </w:tc>
        <w:tc>
          <w:tcPr>
            <w:tcW w:w="1620" w:type="dxa"/>
            <w:shd w:val="clear" w:color="auto" w:fill="D9D9D9" w:themeFill="background1" w:themeFillShade="D9"/>
          </w:tcPr>
          <w:p w14:paraId="47E16485" w14:textId="6898B39F"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$85,100</w:t>
            </w:r>
          </w:p>
        </w:tc>
      </w:tr>
      <w:tr w:rsidR="008A3881" w:rsidRPr="008A3881" w14:paraId="4CA57748" w14:textId="77777777" w:rsidTr="008A3881">
        <w:tc>
          <w:tcPr>
            <w:tcW w:w="4405" w:type="dxa"/>
            <w:shd w:val="clear" w:color="auto" w:fill="D9D9D9" w:themeFill="background1" w:themeFillShade="D9"/>
          </w:tcPr>
          <w:p w14:paraId="36F846B5" w14:textId="1F0C9BCF"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Base: Merchant ATWACC</w:t>
            </w:r>
          </w:p>
        </w:tc>
        <w:tc>
          <w:tcPr>
            <w:tcW w:w="1170" w:type="dxa"/>
            <w:shd w:val="clear" w:color="auto" w:fill="D9D9D9" w:themeFill="background1" w:themeFillShade="D9"/>
          </w:tcPr>
          <w:p w14:paraId="6DBD5DED" w14:textId="6E3CB12C"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7.80%</w:t>
            </w:r>
          </w:p>
        </w:tc>
        <w:tc>
          <w:tcPr>
            <w:tcW w:w="1350" w:type="dxa"/>
            <w:shd w:val="clear" w:color="auto" w:fill="D9D9D9" w:themeFill="background1" w:themeFillShade="D9"/>
          </w:tcPr>
          <w:p w14:paraId="14C93494" w14:textId="4DBA4AF1"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$88,500</w:t>
            </w:r>
          </w:p>
        </w:tc>
        <w:tc>
          <w:tcPr>
            <w:tcW w:w="1620" w:type="dxa"/>
            <w:shd w:val="clear" w:color="auto" w:fill="D9D9D9" w:themeFill="background1" w:themeFillShade="D9"/>
          </w:tcPr>
          <w:p w14:paraId="05F2BF67" w14:textId="415D133D"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$94,500</w:t>
            </w:r>
          </w:p>
        </w:tc>
      </w:tr>
      <w:tr w:rsidR="008A3881" w:rsidRPr="008A3881" w14:paraId="0E3D2911" w14:textId="77777777" w:rsidTr="008A3881">
        <w:tc>
          <w:tcPr>
            <w:tcW w:w="4405" w:type="dxa"/>
            <w:shd w:val="clear" w:color="auto" w:fill="D9D9D9" w:themeFill="background1" w:themeFillShade="D9"/>
          </w:tcPr>
          <w:p w14:paraId="6520978C" w14:textId="4512F630"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High: Base Plus 25%</w:t>
            </w:r>
          </w:p>
        </w:tc>
        <w:tc>
          <w:tcPr>
            <w:tcW w:w="1170" w:type="dxa"/>
            <w:shd w:val="clear" w:color="auto" w:fill="D9D9D9" w:themeFill="background1" w:themeFillShade="D9"/>
          </w:tcPr>
          <w:p w14:paraId="2E62C9ED" w14:textId="457AB536"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n/a</w:t>
            </w:r>
          </w:p>
        </w:tc>
        <w:tc>
          <w:tcPr>
            <w:tcW w:w="1350" w:type="dxa"/>
            <w:shd w:val="clear" w:color="auto" w:fill="D9D9D9" w:themeFill="background1" w:themeFillShade="D9"/>
          </w:tcPr>
          <w:p w14:paraId="1EE94A70" w14:textId="4C299A93"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$110,600</w:t>
            </w:r>
          </w:p>
        </w:tc>
        <w:tc>
          <w:tcPr>
            <w:tcW w:w="1620" w:type="dxa"/>
            <w:shd w:val="clear" w:color="auto" w:fill="D9D9D9" w:themeFill="background1" w:themeFillShade="D9"/>
          </w:tcPr>
          <w:p w14:paraId="76D96D25" w14:textId="4989F5FD"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$118,100</w:t>
            </w:r>
          </w:p>
        </w:tc>
      </w:tr>
      <w:tr w:rsidR="008A3881" w:rsidRPr="008A3881" w14:paraId="0C80F0AC" w14:textId="77777777" w:rsidTr="008A3881">
        <w:tc>
          <w:tcPr>
            <w:tcW w:w="8545" w:type="dxa"/>
            <w:gridSpan w:val="4"/>
          </w:tcPr>
          <w:p w14:paraId="655517DA" w14:textId="2B345F55" w:rsidR="008A3881" w:rsidRPr="008A3881" w:rsidRDefault="008A3881" w:rsidP="008A3881">
            <w:pPr>
              <w:pStyle w:val="BGInsertGraphic"/>
              <w:keepNext/>
              <w:spacing w:before="0"/>
              <w:jc w:val="left"/>
              <w:rPr>
                <w:rFonts w:ascii="Calibri" w:hAnsi="Calibri"/>
                <w:b/>
                <w:bCs/>
                <w:sz w:val="20"/>
                <w:szCs w:val="20"/>
              </w:rPr>
            </w:pPr>
            <w:r w:rsidRPr="008A3881">
              <w:rPr>
                <w:rFonts w:ascii="Calibri" w:hAnsi="Calibri"/>
                <w:b/>
                <w:bCs/>
                <w:sz w:val="20"/>
                <w:szCs w:val="20"/>
              </w:rPr>
              <w:t>Updated Estimate (2024 Online Date)</w:t>
            </w:r>
          </w:p>
        </w:tc>
      </w:tr>
      <w:tr w:rsidR="008A3881" w:rsidRPr="008A3881" w14:paraId="7D15CC80" w14:textId="77777777" w:rsidTr="00CC3C91">
        <w:tc>
          <w:tcPr>
            <w:tcW w:w="4405" w:type="dxa"/>
            <w:shd w:val="clear" w:color="auto" w:fill="D9D9D9" w:themeFill="background1" w:themeFillShade="D9"/>
          </w:tcPr>
          <w:p w14:paraId="6CFDFE90" w14:textId="0A145A49" w:rsidR="008A3881" w:rsidRPr="008A3881" w:rsidRDefault="008A3881" w:rsidP="008A3881">
            <w:pPr>
              <w:pStyle w:val="BGInsertGraphic"/>
              <w:keepNext/>
              <w:spacing w:before="0"/>
              <w:rPr>
                <w:rFonts w:ascii="Calibri" w:hAnsi="Calibri"/>
                <w:sz w:val="20"/>
                <w:szCs w:val="20"/>
              </w:rPr>
            </w:pPr>
            <w:r w:rsidRPr="00CC3C91">
              <w:rPr>
                <w:rFonts w:ascii="Calibri" w:hAnsi="Calibri"/>
                <w:sz w:val="20"/>
                <w:szCs w:val="20"/>
              </w:rPr>
              <w:t xml:space="preserve">Low: </w:t>
            </w:r>
            <w:r w:rsidRPr="00CC3C91">
              <w:rPr>
                <w:rFonts w:ascii="Calibri" w:hAnsi="Calibri"/>
                <w:sz w:val="20"/>
                <w:szCs w:val="20"/>
                <w:shd w:val="clear" w:color="auto" w:fill="D9D9D9" w:themeFill="background1" w:themeFillShade="D9"/>
              </w:rPr>
              <w:t xml:space="preserve">Base Minus </w:t>
            </w:r>
            <w:r w:rsidR="00CC3C91" w:rsidRPr="00CC3C91">
              <w:rPr>
                <w:rFonts w:ascii="Calibri" w:hAnsi="Calibri"/>
                <w:sz w:val="20"/>
                <w:szCs w:val="20"/>
                <w:shd w:val="clear" w:color="auto" w:fill="D9D9D9" w:themeFill="background1" w:themeFillShade="D9"/>
              </w:rPr>
              <w:t>25</w:t>
            </w:r>
            <w:r w:rsidRPr="00CC3C91">
              <w:rPr>
                <w:rFonts w:ascii="Calibri" w:hAnsi="Calibri"/>
                <w:sz w:val="20"/>
                <w:szCs w:val="20"/>
                <w:shd w:val="clear" w:color="auto" w:fill="D9D9D9" w:themeFill="background1" w:themeFillShade="D9"/>
              </w:rPr>
              <w:t>%</w:t>
            </w:r>
          </w:p>
        </w:tc>
        <w:tc>
          <w:tcPr>
            <w:tcW w:w="1170" w:type="dxa"/>
            <w:shd w:val="clear" w:color="auto" w:fill="D9D9D9" w:themeFill="background1" w:themeFillShade="D9"/>
          </w:tcPr>
          <w:p w14:paraId="671BDB69" w14:textId="4F14AC54"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n/a</w:t>
            </w:r>
          </w:p>
        </w:tc>
        <w:tc>
          <w:tcPr>
            <w:tcW w:w="1350" w:type="dxa"/>
            <w:shd w:val="clear" w:color="auto" w:fill="D9D9D9" w:themeFill="background1" w:themeFillShade="D9"/>
          </w:tcPr>
          <w:p w14:paraId="32BD4A26" w14:textId="1CD3CA8D" w:rsidR="008A3881" w:rsidRPr="008A3881" w:rsidRDefault="00CC3C91" w:rsidP="008A3881">
            <w:pPr>
              <w:pStyle w:val="BGInsertGraphic"/>
              <w:keepNext/>
              <w:spacing w:before="0"/>
              <w:rPr>
                <w:rFonts w:ascii="Calibri" w:hAnsi="Calibri"/>
                <w:sz w:val="20"/>
                <w:szCs w:val="20"/>
              </w:rPr>
            </w:pPr>
            <w:r>
              <w:rPr>
                <w:rFonts w:ascii="Calibri" w:hAnsi="Calibri"/>
                <w:sz w:val="20"/>
                <w:szCs w:val="20"/>
              </w:rPr>
              <w:t>$7</w:t>
            </w:r>
            <w:r w:rsidR="00652601">
              <w:rPr>
                <w:rFonts w:ascii="Calibri" w:hAnsi="Calibri"/>
                <w:sz w:val="20"/>
                <w:szCs w:val="20"/>
              </w:rPr>
              <w:t>0</w:t>
            </w:r>
            <w:r>
              <w:rPr>
                <w:rFonts w:ascii="Calibri" w:hAnsi="Calibri"/>
                <w:sz w:val="20"/>
                <w:szCs w:val="20"/>
              </w:rPr>
              <w:t>,</w:t>
            </w:r>
            <w:r w:rsidR="00652601">
              <w:rPr>
                <w:rFonts w:ascii="Calibri" w:hAnsi="Calibri"/>
                <w:sz w:val="20"/>
                <w:szCs w:val="20"/>
              </w:rPr>
              <w:t>1</w:t>
            </w:r>
            <w:r>
              <w:rPr>
                <w:rFonts w:ascii="Calibri" w:hAnsi="Calibri"/>
                <w:sz w:val="20"/>
                <w:szCs w:val="20"/>
              </w:rPr>
              <w:t>00</w:t>
            </w:r>
          </w:p>
        </w:tc>
        <w:tc>
          <w:tcPr>
            <w:tcW w:w="1620" w:type="dxa"/>
            <w:shd w:val="clear" w:color="auto" w:fill="302F35" w:themeFill="text1"/>
          </w:tcPr>
          <w:p w14:paraId="22D26913" w14:textId="77777777" w:rsidR="008A3881" w:rsidRPr="008A3881" w:rsidRDefault="008A3881" w:rsidP="008A3881">
            <w:pPr>
              <w:pStyle w:val="BGInsertGraphic"/>
              <w:keepNext/>
              <w:spacing w:before="0"/>
              <w:rPr>
                <w:rFonts w:ascii="Calibri" w:hAnsi="Calibri"/>
                <w:sz w:val="20"/>
                <w:szCs w:val="20"/>
              </w:rPr>
            </w:pPr>
          </w:p>
        </w:tc>
      </w:tr>
      <w:tr w:rsidR="008A3881" w:rsidRPr="008A3881" w14:paraId="18C1C425" w14:textId="77777777" w:rsidTr="00AB139A">
        <w:tc>
          <w:tcPr>
            <w:tcW w:w="4405" w:type="dxa"/>
            <w:shd w:val="clear" w:color="auto" w:fill="D9D9D9" w:themeFill="background1" w:themeFillShade="D9"/>
          </w:tcPr>
          <w:p w14:paraId="2A3D03F0" w14:textId="0C64ECE1"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Base: Merchant ATWACC</w:t>
            </w:r>
          </w:p>
        </w:tc>
        <w:tc>
          <w:tcPr>
            <w:tcW w:w="1170" w:type="dxa"/>
            <w:shd w:val="clear" w:color="auto" w:fill="D9D9D9" w:themeFill="background1" w:themeFillShade="D9"/>
          </w:tcPr>
          <w:p w14:paraId="01CCE2A3" w14:textId="2017D437" w:rsidR="008A3881" w:rsidRPr="00342297" w:rsidRDefault="00342297" w:rsidP="008A3881">
            <w:pPr>
              <w:pStyle w:val="BGInsertGraphic"/>
              <w:keepNext/>
              <w:spacing w:before="0"/>
              <w:rPr>
                <w:rFonts w:ascii="Calibri" w:hAnsi="Calibri"/>
                <w:sz w:val="20"/>
                <w:szCs w:val="20"/>
              </w:rPr>
            </w:pPr>
            <w:r w:rsidRPr="00342297">
              <w:rPr>
                <w:rFonts w:ascii="Calibri" w:hAnsi="Calibri"/>
                <w:sz w:val="20"/>
                <w:szCs w:val="20"/>
              </w:rPr>
              <w:t>7.80%</w:t>
            </w:r>
          </w:p>
        </w:tc>
        <w:tc>
          <w:tcPr>
            <w:tcW w:w="1350" w:type="dxa"/>
            <w:shd w:val="clear" w:color="auto" w:fill="D9D9D9" w:themeFill="background1" w:themeFillShade="D9"/>
          </w:tcPr>
          <w:p w14:paraId="2C1F2F87" w14:textId="458E2071" w:rsidR="008A3881" w:rsidRPr="008A3881" w:rsidRDefault="00524731" w:rsidP="008A3881">
            <w:pPr>
              <w:pStyle w:val="BGInsertGraphic"/>
              <w:keepNext/>
              <w:spacing w:before="0"/>
              <w:rPr>
                <w:rFonts w:ascii="Calibri" w:hAnsi="Calibri"/>
                <w:sz w:val="20"/>
                <w:szCs w:val="20"/>
              </w:rPr>
            </w:pPr>
            <w:r>
              <w:rPr>
                <w:rFonts w:ascii="Calibri" w:hAnsi="Calibri"/>
                <w:sz w:val="20"/>
                <w:szCs w:val="20"/>
              </w:rPr>
              <w:t>$93,500</w:t>
            </w:r>
          </w:p>
        </w:tc>
        <w:tc>
          <w:tcPr>
            <w:tcW w:w="1620" w:type="dxa"/>
            <w:shd w:val="clear" w:color="auto" w:fill="302F35" w:themeFill="text1"/>
          </w:tcPr>
          <w:p w14:paraId="436F1D3F" w14:textId="77777777" w:rsidR="008A3881" w:rsidRPr="008A3881" w:rsidRDefault="008A3881" w:rsidP="008A3881">
            <w:pPr>
              <w:pStyle w:val="BGInsertGraphic"/>
              <w:keepNext/>
              <w:spacing w:before="0"/>
              <w:rPr>
                <w:rFonts w:ascii="Calibri" w:hAnsi="Calibri"/>
                <w:sz w:val="20"/>
                <w:szCs w:val="20"/>
              </w:rPr>
            </w:pPr>
          </w:p>
        </w:tc>
      </w:tr>
      <w:tr w:rsidR="008A3881" w:rsidRPr="008A3881" w14:paraId="74A76D80" w14:textId="77777777" w:rsidTr="00CC3C91">
        <w:tc>
          <w:tcPr>
            <w:tcW w:w="4405" w:type="dxa"/>
            <w:shd w:val="clear" w:color="auto" w:fill="D9D9D9" w:themeFill="background1" w:themeFillShade="D9"/>
          </w:tcPr>
          <w:p w14:paraId="6F9F33A8" w14:textId="16E03647" w:rsidR="008A3881" w:rsidRPr="008A3881" w:rsidRDefault="008A3881" w:rsidP="008A3881">
            <w:pPr>
              <w:pStyle w:val="BGInsertGraphic"/>
              <w:keepNext/>
              <w:spacing w:before="0"/>
              <w:rPr>
                <w:rFonts w:ascii="Calibri" w:hAnsi="Calibri"/>
                <w:sz w:val="20"/>
                <w:szCs w:val="20"/>
              </w:rPr>
            </w:pPr>
            <w:r w:rsidRPr="008A3881">
              <w:rPr>
                <w:rFonts w:ascii="Calibri" w:hAnsi="Calibri"/>
                <w:sz w:val="20"/>
                <w:szCs w:val="20"/>
              </w:rPr>
              <w:t>High: Base Plus 25%</w:t>
            </w:r>
          </w:p>
        </w:tc>
        <w:tc>
          <w:tcPr>
            <w:tcW w:w="1170" w:type="dxa"/>
            <w:shd w:val="clear" w:color="auto" w:fill="D9D9D9" w:themeFill="background1" w:themeFillShade="D9"/>
          </w:tcPr>
          <w:p w14:paraId="498DB548" w14:textId="47DC1D40" w:rsidR="008A3881" w:rsidRPr="008A3881" w:rsidRDefault="008A3881" w:rsidP="008A3881">
            <w:pPr>
              <w:pStyle w:val="BGInsertGraphic"/>
              <w:keepNext/>
              <w:spacing w:before="0"/>
              <w:rPr>
                <w:rFonts w:ascii="Calibri" w:hAnsi="Calibri"/>
                <w:sz w:val="20"/>
                <w:szCs w:val="20"/>
              </w:rPr>
            </w:pPr>
            <w:r>
              <w:rPr>
                <w:rFonts w:ascii="Calibri" w:hAnsi="Calibri"/>
                <w:sz w:val="20"/>
                <w:szCs w:val="20"/>
              </w:rPr>
              <w:t>n/a</w:t>
            </w:r>
          </w:p>
        </w:tc>
        <w:tc>
          <w:tcPr>
            <w:tcW w:w="1350" w:type="dxa"/>
            <w:shd w:val="clear" w:color="auto" w:fill="D9D9D9" w:themeFill="background1" w:themeFillShade="D9"/>
          </w:tcPr>
          <w:p w14:paraId="5C7071BB" w14:textId="6329C819" w:rsidR="008A3881" w:rsidRPr="008A3881" w:rsidRDefault="00CC3C91" w:rsidP="008A3881">
            <w:pPr>
              <w:pStyle w:val="BGInsertGraphic"/>
              <w:keepNext/>
              <w:spacing w:before="0"/>
              <w:rPr>
                <w:rFonts w:ascii="Calibri" w:hAnsi="Calibri"/>
                <w:sz w:val="20"/>
                <w:szCs w:val="20"/>
              </w:rPr>
            </w:pPr>
            <w:r>
              <w:rPr>
                <w:rFonts w:ascii="Calibri" w:hAnsi="Calibri"/>
                <w:sz w:val="20"/>
                <w:szCs w:val="20"/>
              </w:rPr>
              <w:t>$116,</w:t>
            </w:r>
            <w:r w:rsidR="00652601">
              <w:rPr>
                <w:rFonts w:ascii="Calibri" w:hAnsi="Calibri"/>
                <w:sz w:val="20"/>
                <w:szCs w:val="20"/>
              </w:rPr>
              <w:t>9</w:t>
            </w:r>
            <w:r>
              <w:rPr>
                <w:rFonts w:ascii="Calibri" w:hAnsi="Calibri"/>
                <w:sz w:val="20"/>
                <w:szCs w:val="20"/>
              </w:rPr>
              <w:t>0</w:t>
            </w:r>
          </w:p>
        </w:tc>
        <w:tc>
          <w:tcPr>
            <w:tcW w:w="1620" w:type="dxa"/>
            <w:shd w:val="clear" w:color="auto" w:fill="302F35" w:themeFill="text1"/>
          </w:tcPr>
          <w:p w14:paraId="60C80652" w14:textId="77777777" w:rsidR="008A3881" w:rsidRPr="008A3881" w:rsidRDefault="008A3881" w:rsidP="008A3881">
            <w:pPr>
              <w:pStyle w:val="BGInsertGraphic"/>
              <w:keepNext/>
              <w:spacing w:before="0"/>
              <w:rPr>
                <w:rFonts w:ascii="Calibri" w:hAnsi="Calibri"/>
                <w:sz w:val="20"/>
                <w:szCs w:val="20"/>
              </w:rPr>
            </w:pPr>
          </w:p>
        </w:tc>
      </w:tr>
    </w:tbl>
    <w:p w14:paraId="44EBF290" w14:textId="76527155" w:rsidR="004B58AD" w:rsidRDefault="004B58AD" w:rsidP="004B58AD">
      <w:pPr>
        <w:pStyle w:val="BGInsertGraphic"/>
        <w:keepNext/>
        <w:spacing w:before="0"/>
      </w:pPr>
    </w:p>
    <w:p w14:paraId="2AC55741" w14:textId="77777777" w:rsidR="004B58AD" w:rsidRPr="00AB139A" w:rsidRDefault="004B58AD" w:rsidP="004B58AD">
      <w:pPr>
        <w:pStyle w:val="BGNotesFiguresTables"/>
        <w:keepNext/>
        <w:tabs>
          <w:tab w:val="left" w:pos="450"/>
          <w:tab w:val="left" w:pos="900"/>
          <w:tab w:val="left" w:pos="1080"/>
          <w:tab w:val="left" w:pos="1260"/>
          <w:tab w:val="left" w:pos="9090"/>
        </w:tabs>
        <w:spacing w:before="0"/>
        <w:ind w:left="792" w:right="432" w:hanging="360"/>
        <w:jc w:val="left"/>
        <w:rPr>
          <w:rFonts w:cs="Calibri"/>
          <w:color w:val="auto"/>
        </w:rPr>
      </w:pPr>
      <w:r w:rsidRPr="00AB139A">
        <w:rPr>
          <w:rFonts w:cs="Calibri"/>
          <w:i/>
          <w:color w:val="auto"/>
        </w:rPr>
        <w:t>Sources and Notes:</w:t>
      </w:r>
    </w:p>
    <w:p w14:paraId="6FB12364" w14:textId="053D4E7B" w:rsidR="004B58AD" w:rsidRPr="00AB139A" w:rsidRDefault="004B58AD" w:rsidP="004B58AD">
      <w:pPr>
        <w:pStyle w:val="sourcesandnotes"/>
        <w:tabs>
          <w:tab w:val="left" w:pos="900"/>
          <w:tab w:val="left" w:pos="1080"/>
          <w:tab w:val="left" w:pos="1260"/>
          <w:tab w:val="left" w:pos="8820"/>
        </w:tabs>
        <w:ind w:left="792" w:right="432"/>
        <w:rPr>
          <w:rFonts w:ascii="Calibri" w:hAnsi="Calibri" w:cs="Calibri"/>
          <w:color w:val="auto"/>
        </w:rPr>
      </w:pPr>
      <w:r w:rsidRPr="00AB139A">
        <w:rPr>
          <w:rFonts w:ascii="Calibri" w:hAnsi="Calibri" w:cs="Calibri"/>
          <w:color w:val="auto"/>
        </w:rPr>
        <w:t>201</w:t>
      </w:r>
      <w:r w:rsidR="00342297" w:rsidRPr="00AB139A">
        <w:rPr>
          <w:rFonts w:ascii="Calibri" w:hAnsi="Calibri" w:cs="Calibri"/>
          <w:color w:val="auto"/>
        </w:rPr>
        <w:t>8</w:t>
      </w:r>
      <w:r w:rsidRPr="00AB139A">
        <w:rPr>
          <w:rFonts w:ascii="Calibri" w:hAnsi="Calibri" w:cs="Calibri"/>
          <w:color w:val="auto"/>
        </w:rPr>
        <w:t xml:space="preserve"> </w:t>
      </w:r>
      <w:r w:rsidR="00E20E07">
        <w:rPr>
          <w:rFonts w:ascii="Calibri" w:hAnsi="Calibri" w:cs="Calibri"/>
          <w:color w:val="auto"/>
        </w:rPr>
        <w:t>s</w:t>
      </w:r>
      <w:r w:rsidRPr="00AB139A">
        <w:rPr>
          <w:rFonts w:ascii="Calibri" w:hAnsi="Calibri" w:cs="Calibri"/>
          <w:color w:val="auto"/>
        </w:rPr>
        <w:t xml:space="preserve">tudy numbers and current numbers are adapted from CONE studies for PJM, with adjustments applied as relevant for ERCOT; </w:t>
      </w:r>
      <w:r w:rsidRPr="00AB139A" w:rsidDel="00FD4D9D">
        <w:rPr>
          <w:rFonts w:ascii="Calibri" w:hAnsi="Calibri" w:cs="Calibri"/>
          <w:color w:val="auto"/>
        </w:rPr>
        <w:t xml:space="preserve">see </w:t>
      </w:r>
      <w:r w:rsidRPr="00AB139A">
        <w:rPr>
          <w:rFonts w:ascii="Calibri" w:hAnsi="Calibri" w:cs="Calibri"/>
          <w:color w:val="auto"/>
        </w:rPr>
        <w:t xml:space="preserve">Spees, </w:t>
      </w:r>
      <w:r w:rsidRPr="00AB139A">
        <w:rPr>
          <w:rFonts w:ascii="Calibri" w:hAnsi="Calibri" w:cs="Calibri"/>
          <w:i/>
          <w:color w:val="auto"/>
        </w:rPr>
        <w:t xml:space="preserve">et al. </w:t>
      </w:r>
      <w:r w:rsidRPr="00AB139A">
        <w:rPr>
          <w:rFonts w:ascii="Calibri" w:hAnsi="Calibri" w:cs="Calibri"/>
          <w:color w:val="auto"/>
        </w:rPr>
        <w:t xml:space="preserve">(2011) and Newell, </w:t>
      </w:r>
      <w:r w:rsidRPr="00AB139A">
        <w:rPr>
          <w:rFonts w:ascii="Calibri" w:hAnsi="Calibri" w:cs="Calibri"/>
          <w:i/>
          <w:color w:val="auto"/>
        </w:rPr>
        <w:t xml:space="preserve">et al. </w:t>
      </w:r>
      <w:r w:rsidRPr="00AB139A">
        <w:rPr>
          <w:rFonts w:ascii="Calibri" w:hAnsi="Calibri" w:cs="Calibri"/>
          <w:color w:val="auto"/>
        </w:rPr>
        <w:t>(2018</w:t>
      </w:r>
      <w:r w:rsidR="009621B8">
        <w:rPr>
          <w:rFonts w:ascii="Calibri" w:hAnsi="Calibri" w:cs="Calibri"/>
          <w:color w:val="auto"/>
        </w:rPr>
        <w:t>a</w:t>
      </w:r>
      <w:r w:rsidRPr="00AB139A">
        <w:rPr>
          <w:rFonts w:ascii="Calibri" w:hAnsi="Calibri" w:cs="Calibri"/>
          <w:color w:val="auto"/>
        </w:rPr>
        <w:t xml:space="preserve">), respectively. CONE values determined with adjustments to technology characteristics within an area that most closely resemble ERCOT, as outlined in </w:t>
      </w:r>
      <w:r w:rsidRPr="00AB139A">
        <w:rPr>
          <w:rFonts w:ascii="Calibri" w:hAnsi="Calibri" w:cs="Calibri"/>
          <w:color w:val="auto"/>
        </w:rPr>
        <w:fldChar w:fldCharType="begin"/>
      </w:r>
      <w:r w:rsidRPr="00AB139A">
        <w:rPr>
          <w:rFonts w:ascii="Calibri" w:hAnsi="Calibri" w:cs="Calibri"/>
          <w:color w:val="auto"/>
        </w:rPr>
        <w:instrText xml:space="preserve"> REF _Ref523139130 \h </w:instrText>
      </w:r>
      <w:r w:rsidR="00132D4F" w:rsidRPr="00AB139A">
        <w:rPr>
          <w:rFonts w:ascii="Calibri" w:hAnsi="Calibri" w:cs="Calibri"/>
          <w:color w:val="auto"/>
        </w:rPr>
        <w:instrText xml:space="preserve"> \* MERGEFORMAT </w:instrText>
      </w:r>
      <w:r w:rsidRPr="00AB139A">
        <w:rPr>
          <w:rFonts w:ascii="Calibri" w:hAnsi="Calibri" w:cs="Calibri"/>
          <w:color w:val="auto"/>
        </w:rPr>
      </w:r>
      <w:r w:rsidRPr="00AB139A">
        <w:rPr>
          <w:rFonts w:ascii="Calibri" w:hAnsi="Calibri" w:cs="Calibri"/>
          <w:color w:val="auto"/>
        </w:rPr>
        <w:fldChar w:fldCharType="separate"/>
      </w:r>
      <w:r w:rsidRPr="00AB139A">
        <w:rPr>
          <w:rFonts w:ascii="Calibri" w:hAnsi="Calibri" w:cs="Calibri"/>
          <w:color w:val="auto"/>
        </w:rPr>
        <w:t>Table A1-</w:t>
      </w:r>
      <w:r w:rsidRPr="00AB139A">
        <w:rPr>
          <w:rFonts w:ascii="Calibri" w:hAnsi="Calibri" w:cs="Calibri"/>
          <w:noProof/>
          <w:color w:val="auto"/>
        </w:rPr>
        <w:t>3</w:t>
      </w:r>
      <w:r w:rsidRPr="00AB139A">
        <w:rPr>
          <w:rFonts w:ascii="Calibri" w:hAnsi="Calibri" w:cs="Calibri"/>
          <w:color w:val="auto"/>
        </w:rPr>
        <w:fldChar w:fldCharType="end"/>
      </w:r>
      <w:r w:rsidRPr="00AB139A">
        <w:rPr>
          <w:rFonts w:ascii="Calibri" w:hAnsi="Calibri" w:cs="Calibri"/>
          <w:color w:val="auto"/>
        </w:rPr>
        <w:t>. The updated CONE estimate was developed based on the values in the 2018 PJM CONE report before adjustments were made to the assumed discount rate and exemption from paying sales taxes.  .</w:t>
      </w:r>
    </w:p>
    <w:p w14:paraId="79A797CE" w14:textId="77777777" w:rsidR="004B58AD" w:rsidRDefault="004B58AD" w:rsidP="004B58AD">
      <w:pPr>
        <w:pStyle w:val="sourcesandnotes"/>
        <w:tabs>
          <w:tab w:val="left" w:pos="900"/>
          <w:tab w:val="left" w:pos="1080"/>
          <w:tab w:val="left" w:pos="1260"/>
          <w:tab w:val="left" w:pos="8820"/>
        </w:tabs>
        <w:ind w:left="792" w:right="432"/>
      </w:pPr>
    </w:p>
    <w:p w14:paraId="2D77AA01" w14:textId="77777777" w:rsidR="004B58AD" w:rsidRDefault="004B58AD" w:rsidP="004B58AD">
      <w:pPr>
        <w:rPr>
          <w:rFonts w:asciiTheme="minorHAnsi" w:hAnsiTheme="minorHAnsi" w:cstheme="minorHAnsi"/>
          <w:sz w:val="16"/>
        </w:rPr>
      </w:pPr>
      <w:r>
        <w:br w:type="page"/>
      </w:r>
    </w:p>
    <w:p w14:paraId="62C1BF0E" w14:textId="5AAC8230" w:rsidR="004B58AD" w:rsidRPr="00945B1F" w:rsidRDefault="004B58AD" w:rsidP="008B0478">
      <w:pPr>
        <w:pStyle w:val="Caption"/>
        <w:jc w:val="center"/>
        <w:rPr>
          <w:b/>
          <w:bCs/>
          <w:i w:val="0"/>
          <w:iCs w:val="0"/>
          <w:color w:val="auto"/>
          <w:sz w:val="22"/>
          <w:szCs w:val="22"/>
        </w:rPr>
      </w:pPr>
      <w:bookmarkStart w:id="411" w:name="_Ref523139130"/>
      <w:r w:rsidRPr="00945B1F">
        <w:rPr>
          <w:b/>
          <w:bCs/>
          <w:i w:val="0"/>
          <w:iCs w:val="0"/>
          <w:color w:val="auto"/>
          <w:sz w:val="22"/>
          <w:szCs w:val="22"/>
        </w:rPr>
        <w:t>Table A1-</w:t>
      </w:r>
      <w:r w:rsidRPr="00945B1F">
        <w:rPr>
          <w:b/>
          <w:bCs/>
          <w:i w:val="0"/>
          <w:iCs w:val="0"/>
          <w:noProof/>
          <w:color w:val="auto"/>
          <w:sz w:val="22"/>
          <w:szCs w:val="22"/>
        </w:rPr>
        <w:fldChar w:fldCharType="begin"/>
      </w:r>
      <w:r w:rsidRPr="00945B1F">
        <w:rPr>
          <w:b/>
          <w:bCs/>
          <w:i w:val="0"/>
          <w:iCs w:val="0"/>
          <w:noProof/>
          <w:color w:val="auto"/>
          <w:sz w:val="22"/>
          <w:szCs w:val="22"/>
        </w:rPr>
        <w:instrText xml:space="preserve"> SEQ Table_A1- \* ARABIC </w:instrText>
      </w:r>
      <w:r w:rsidRPr="00945B1F">
        <w:rPr>
          <w:b/>
          <w:bCs/>
          <w:i w:val="0"/>
          <w:iCs w:val="0"/>
          <w:noProof/>
          <w:color w:val="auto"/>
          <w:sz w:val="22"/>
          <w:szCs w:val="22"/>
        </w:rPr>
        <w:fldChar w:fldCharType="separate"/>
      </w:r>
      <w:r w:rsidRPr="00945B1F">
        <w:rPr>
          <w:b/>
          <w:bCs/>
          <w:i w:val="0"/>
          <w:iCs w:val="0"/>
          <w:noProof/>
          <w:color w:val="auto"/>
          <w:sz w:val="22"/>
          <w:szCs w:val="22"/>
        </w:rPr>
        <w:t>3</w:t>
      </w:r>
      <w:r w:rsidRPr="00945B1F">
        <w:rPr>
          <w:b/>
          <w:bCs/>
          <w:i w:val="0"/>
          <w:iCs w:val="0"/>
          <w:noProof/>
          <w:color w:val="auto"/>
          <w:sz w:val="22"/>
          <w:szCs w:val="22"/>
        </w:rPr>
        <w:fldChar w:fldCharType="end"/>
      </w:r>
      <w:bookmarkEnd w:id="411"/>
      <w:r w:rsidR="00132D4F" w:rsidRPr="00945B1F">
        <w:rPr>
          <w:b/>
          <w:bCs/>
          <w:i w:val="0"/>
          <w:iCs w:val="0"/>
          <w:noProof/>
          <w:color w:val="auto"/>
          <w:sz w:val="22"/>
          <w:szCs w:val="22"/>
        </w:rPr>
        <w:t xml:space="preserve">. </w:t>
      </w:r>
      <w:r w:rsidRPr="00945B1F">
        <w:rPr>
          <w:b/>
          <w:bCs/>
          <w:i w:val="0"/>
          <w:iCs w:val="0"/>
          <w:color w:val="auto"/>
          <w:sz w:val="22"/>
          <w:szCs w:val="22"/>
        </w:rPr>
        <w:t>Performance Characteristics</w:t>
      </w:r>
    </w:p>
    <w:tbl>
      <w:tblPr>
        <w:tblW w:w="4700" w:type="dxa"/>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940"/>
        <w:gridCol w:w="1200"/>
        <w:gridCol w:w="1560"/>
      </w:tblGrid>
      <w:tr w:rsidR="00246630" w:rsidRPr="00246630" w14:paraId="1F6D7876" w14:textId="77777777" w:rsidTr="00246630">
        <w:trPr>
          <w:trHeight w:val="331"/>
          <w:jc w:val="center"/>
        </w:trPr>
        <w:tc>
          <w:tcPr>
            <w:tcW w:w="194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561E9241" w14:textId="680619A5" w:rsidR="00246630" w:rsidRPr="00246630" w:rsidRDefault="00246630" w:rsidP="00246630">
            <w:pPr>
              <w:spacing w:after="0" w:line="240" w:lineRule="auto"/>
              <w:jc w:val="center"/>
              <w:textAlignment w:val="center"/>
              <w:rPr>
                <w:rFonts w:ascii="Arial" w:eastAsia="Times New Roman" w:hAnsi="Arial" w:cs="Arial"/>
                <w:b/>
                <w:bCs/>
                <w:kern w:val="0"/>
                <w:sz w:val="36"/>
                <w:szCs w:val="36"/>
              </w:rPr>
            </w:pPr>
            <w:r w:rsidRPr="00246630">
              <w:rPr>
                <w:rFonts w:eastAsia="Times New Roman" w:cs="Arial"/>
                <w:b/>
                <w:bCs/>
                <w:color w:val="000000"/>
              </w:rPr>
              <w:t> Characteristic</w:t>
            </w:r>
          </w:p>
        </w:tc>
        <w:tc>
          <w:tcPr>
            <w:tcW w:w="120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DDDB3A8" w14:textId="6785600A" w:rsidR="00246630" w:rsidRPr="00246630" w:rsidRDefault="00246630" w:rsidP="00246630">
            <w:pPr>
              <w:spacing w:after="0" w:line="240" w:lineRule="auto"/>
              <w:jc w:val="center"/>
              <w:textAlignment w:val="center"/>
              <w:rPr>
                <w:rFonts w:ascii="Arial" w:eastAsia="Times New Roman" w:hAnsi="Arial" w:cs="Arial"/>
                <w:b/>
                <w:bCs/>
                <w:kern w:val="0"/>
                <w:sz w:val="36"/>
                <w:szCs w:val="36"/>
              </w:rPr>
            </w:pPr>
            <w:r w:rsidRPr="00246630">
              <w:rPr>
                <w:rFonts w:eastAsia="Times New Roman" w:cs="Arial"/>
                <w:b/>
                <w:bCs/>
                <w:color w:val="000000"/>
              </w:rPr>
              <w:t>Unit</w:t>
            </w:r>
          </w:p>
        </w:tc>
        <w:tc>
          <w:tcPr>
            <w:tcW w:w="156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6D423162"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b/>
                <w:bCs/>
                <w:color w:val="000000"/>
              </w:rPr>
              <w:t>Simple Cycle</w:t>
            </w:r>
          </w:p>
        </w:tc>
      </w:tr>
      <w:tr w:rsidR="00246630" w:rsidRPr="00246630" w14:paraId="298999C1" w14:textId="77777777" w:rsidTr="00246630">
        <w:trPr>
          <w:trHeight w:val="300"/>
          <w:jc w:val="center"/>
        </w:trPr>
        <w:tc>
          <w:tcPr>
            <w:tcW w:w="1940" w:type="dxa"/>
            <w:tcBorders>
              <w:top w:val="single" w:sz="4" w:space="0" w:color="auto"/>
            </w:tcBorders>
            <w:shd w:val="clear" w:color="auto" w:fill="auto"/>
            <w:tcMar>
              <w:top w:w="15" w:type="dxa"/>
              <w:left w:w="15" w:type="dxa"/>
              <w:bottom w:w="0" w:type="dxa"/>
              <w:right w:w="15" w:type="dxa"/>
            </w:tcMar>
            <w:vAlign w:val="center"/>
            <w:hideMark/>
          </w:tcPr>
          <w:p w14:paraId="45B30415"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Plant Configuration</w:t>
            </w:r>
          </w:p>
        </w:tc>
        <w:tc>
          <w:tcPr>
            <w:tcW w:w="1200" w:type="dxa"/>
            <w:tcBorders>
              <w:top w:val="single" w:sz="4" w:space="0" w:color="auto"/>
            </w:tcBorders>
            <w:shd w:val="clear" w:color="auto" w:fill="auto"/>
            <w:tcMar>
              <w:top w:w="15" w:type="dxa"/>
              <w:left w:w="15" w:type="dxa"/>
              <w:bottom w:w="0" w:type="dxa"/>
              <w:right w:w="15" w:type="dxa"/>
            </w:tcMar>
            <w:vAlign w:val="center"/>
            <w:hideMark/>
          </w:tcPr>
          <w:p w14:paraId="7FB082D3" w14:textId="77777777" w:rsidR="00246630" w:rsidRPr="00246630" w:rsidRDefault="00246630" w:rsidP="00246630">
            <w:pPr>
              <w:spacing w:after="0" w:line="240" w:lineRule="auto"/>
              <w:rPr>
                <w:rFonts w:ascii="Arial" w:eastAsia="Times New Roman" w:hAnsi="Arial" w:cs="Arial"/>
                <w:kern w:val="0"/>
                <w:sz w:val="36"/>
                <w:szCs w:val="36"/>
              </w:rPr>
            </w:pPr>
          </w:p>
        </w:tc>
        <w:tc>
          <w:tcPr>
            <w:tcW w:w="1560" w:type="dxa"/>
            <w:tcBorders>
              <w:top w:val="single" w:sz="4" w:space="0" w:color="auto"/>
            </w:tcBorders>
            <w:shd w:val="clear" w:color="auto" w:fill="auto"/>
            <w:tcMar>
              <w:top w:w="15" w:type="dxa"/>
              <w:left w:w="15" w:type="dxa"/>
              <w:bottom w:w="0" w:type="dxa"/>
              <w:right w:w="15" w:type="dxa"/>
            </w:tcMar>
            <w:vAlign w:val="center"/>
            <w:hideMark/>
          </w:tcPr>
          <w:p w14:paraId="3197D9C1" w14:textId="77777777" w:rsidR="00246630" w:rsidRPr="00246630" w:rsidRDefault="00246630" w:rsidP="00246630">
            <w:pPr>
              <w:spacing w:after="0" w:line="240" w:lineRule="auto"/>
              <w:rPr>
                <w:rFonts w:ascii="Times New Roman" w:eastAsia="Times New Roman" w:hAnsi="Times New Roman" w:cs="Times New Roman"/>
                <w:kern w:val="0"/>
                <w:sz w:val="20"/>
                <w:szCs w:val="20"/>
              </w:rPr>
            </w:pPr>
          </w:p>
        </w:tc>
      </w:tr>
      <w:tr w:rsidR="00246630" w:rsidRPr="00246630" w14:paraId="357685FF"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1EDC5662"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Turbine</w:t>
            </w:r>
          </w:p>
        </w:tc>
        <w:tc>
          <w:tcPr>
            <w:tcW w:w="1200" w:type="dxa"/>
            <w:shd w:val="clear" w:color="auto" w:fill="D9D9D9" w:themeFill="background1" w:themeFillShade="D9"/>
            <w:tcMar>
              <w:top w:w="15" w:type="dxa"/>
              <w:left w:w="15" w:type="dxa"/>
              <w:bottom w:w="0" w:type="dxa"/>
              <w:right w:w="15" w:type="dxa"/>
            </w:tcMar>
            <w:vAlign w:val="center"/>
            <w:hideMark/>
          </w:tcPr>
          <w:p w14:paraId="05EABC35" w14:textId="77777777" w:rsidR="00246630" w:rsidRPr="00246630" w:rsidRDefault="00246630" w:rsidP="0024663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1942DF20"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GE 7HA.02</w:t>
            </w:r>
          </w:p>
        </w:tc>
      </w:tr>
      <w:tr w:rsidR="00246630" w:rsidRPr="00246630" w14:paraId="0D58BB1E"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1EFF6A65"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Configuration</w:t>
            </w:r>
          </w:p>
        </w:tc>
        <w:tc>
          <w:tcPr>
            <w:tcW w:w="1200" w:type="dxa"/>
            <w:shd w:val="clear" w:color="auto" w:fill="D9D9D9" w:themeFill="background1" w:themeFillShade="D9"/>
            <w:tcMar>
              <w:top w:w="15" w:type="dxa"/>
              <w:left w:w="15" w:type="dxa"/>
              <w:bottom w:w="0" w:type="dxa"/>
              <w:right w:w="15" w:type="dxa"/>
            </w:tcMar>
            <w:vAlign w:val="center"/>
            <w:hideMark/>
          </w:tcPr>
          <w:p w14:paraId="47A1679A" w14:textId="77777777" w:rsidR="00246630" w:rsidRPr="00246630" w:rsidRDefault="00246630" w:rsidP="0024663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161060A8"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1 x 0</w:t>
            </w:r>
          </w:p>
        </w:tc>
      </w:tr>
      <w:tr w:rsidR="00246630" w:rsidRPr="00246630" w14:paraId="5F413443" w14:textId="77777777" w:rsidTr="00246630">
        <w:trPr>
          <w:trHeight w:val="300"/>
          <w:jc w:val="center"/>
        </w:trPr>
        <w:tc>
          <w:tcPr>
            <w:tcW w:w="1940" w:type="dxa"/>
            <w:shd w:val="clear" w:color="auto" w:fill="auto"/>
            <w:tcMar>
              <w:top w:w="15" w:type="dxa"/>
              <w:left w:w="15" w:type="dxa"/>
              <w:bottom w:w="0" w:type="dxa"/>
              <w:right w:w="15" w:type="dxa"/>
            </w:tcMar>
            <w:vAlign w:val="center"/>
            <w:hideMark/>
          </w:tcPr>
          <w:p w14:paraId="200F1636"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Heat Rate (HHV)</w:t>
            </w:r>
          </w:p>
        </w:tc>
        <w:tc>
          <w:tcPr>
            <w:tcW w:w="1200" w:type="dxa"/>
            <w:shd w:val="clear" w:color="auto" w:fill="auto"/>
            <w:tcMar>
              <w:top w:w="15" w:type="dxa"/>
              <w:left w:w="15" w:type="dxa"/>
              <w:bottom w:w="0" w:type="dxa"/>
              <w:right w:w="15" w:type="dxa"/>
            </w:tcMar>
            <w:vAlign w:val="center"/>
            <w:hideMark/>
          </w:tcPr>
          <w:p w14:paraId="7DD3E4D0" w14:textId="77777777" w:rsidR="00246630" w:rsidRPr="00246630" w:rsidRDefault="00246630" w:rsidP="00246630">
            <w:pPr>
              <w:spacing w:after="0" w:line="240" w:lineRule="auto"/>
              <w:rPr>
                <w:rFonts w:ascii="Arial" w:eastAsia="Times New Roman" w:hAnsi="Arial" w:cs="Arial"/>
                <w:kern w:val="0"/>
                <w:sz w:val="36"/>
                <w:szCs w:val="36"/>
              </w:rPr>
            </w:pPr>
          </w:p>
        </w:tc>
        <w:tc>
          <w:tcPr>
            <w:tcW w:w="1560" w:type="dxa"/>
            <w:shd w:val="clear" w:color="auto" w:fill="auto"/>
            <w:tcMar>
              <w:top w:w="15" w:type="dxa"/>
              <w:left w:w="15" w:type="dxa"/>
              <w:bottom w:w="0" w:type="dxa"/>
              <w:right w:w="15" w:type="dxa"/>
            </w:tcMar>
            <w:vAlign w:val="center"/>
            <w:hideMark/>
          </w:tcPr>
          <w:p w14:paraId="44FDFF8A" w14:textId="77777777" w:rsidR="00246630" w:rsidRPr="00246630" w:rsidRDefault="00246630" w:rsidP="00246630">
            <w:pPr>
              <w:spacing w:after="0" w:line="240" w:lineRule="auto"/>
              <w:rPr>
                <w:rFonts w:ascii="Times New Roman" w:eastAsia="Times New Roman" w:hAnsi="Times New Roman" w:cs="Times New Roman"/>
                <w:kern w:val="0"/>
                <w:sz w:val="20"/>
                <w:szCs w:val="20"/>
              </w:rPr>
            </w:pPr>
          </w:p>
        </w:tc>
      </w:tr>
      <w:tr w:rsidR="00246630" w:rsidRPr="00246630" w14:paraId="065AE4BE"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637ED417"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Base Load</w:t>
            </w:r>
          </w:p>
        </w:tc>
        <w:tc>
          <w:tcPr>
            <w:tcW w:w="1200" w:type="dxa"/>
            <w:shd w:val="clear" w:color="auto" w:fill="D9D9D9" w:themeFill="background1" w:themeFillShade="D9"/>
            <w:tcMar>
              <w:top w:w="15" w:type="dxa"/>
              <w:left w:w="15" w:type="dxa"/>
              <w:bottom w:w="0" w:type="dxa"/>
              <w:right w:w="15" w:type="dxa"/>
            </w:tcMar>
            <w:vAlign w:val="center"/>
            <w:hideMark/>
          </w:tcPr>
          <w:p w14:paraId="139B69D3" w14:textId="77777777" w:rsidR="00246630" w:rsidRPr="00246630" w:rsidRDefault="00246630" w:rsidP="0024663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4C37739B" w14:textId="77777777" w:rsidR="00246630" w:rsidRPr="00246630" w:rsidRDefault="00246630" w:rsidP="00246630">
            <w:pPr>
              <w:spacing w:after="0" w:line="240" w:lineRule="auto"/>
              <w:rPr>
                <w:rFonts w:ascii="Times New Roman" w:eastAsia="Times New Roman" w:hAnsi="Times New Roman" w:cs="Times New Roman"/>
                <w:kern w:val="0"/>
                <w:sz w:val="20"/>
                <w:szCs w:val="20"/>
              </w:rPr>
            </w:pPr>
          </w:p>
        </w:tc>
      </w:tr>
      <w:tr w:rsidR="00246630" w:rsidRPr="00246630" w14:paraId="36D931F4"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680601EC"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Non-Summer</w:t>
            </w:r>
          </w:p>
        </w:tc>
        <w:tc>
          <w:tcPr>
            <w:tcW w:w="1200" w:type="dxa"/>
            <w:shd w:val="clear" w:color="auto" w:fill="D9D9D9" w:themeFill="background1" w:themeFillShade="D9"/>
            <w:tcMar>
              <w:top w:w="15" w:type="dxa"/>
              <w:left w:w="15" w:type="dxa"/>
              <w:bottom w:w="0" w:type="dxa"/>
              <w:right w:w="15" w:type="dxa"/>
            </w:tcMar>
            <w:vAlign w:val="center"/>
            <w:hideMark/>
          </w:tcPr>
          <w:p w14:paraId="49849DB7"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(Btu/kWh)</w:t>
            </w:r>
          </w:p>
        </w:tc>
        <w:tc>
          <w:tcPr>
            <w:tcW w:w="1560" w:type="dxa"/>
            <w:shd w:val="clear" w:color="auto" w:fill="D9D9D9" w:themeFill="background1" w:themeFillShade="D9"/>
            <w:tcMar>
              <w:top w:w="15" w:type="dxa"/>
              <w:left w:w="15" w:type="dxa"/>
              <w:bottom w:w="0" w:type="dxa"/>
              <w:right w:w="15" w:type="dxa"/>
            </w:tcMar>
            <w:vAlign w:val="center"/>
            <w:hideMark/>
          </w:tcPr>
          <w:p w14:paraId="7FA34D4B"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9,138</w:t>
            </w:r>
          </w:p>
        </w:tc>
      </w:tr>
      <w:tr w:rsidR="00246630" w:rsidRPr="00246630" w14:paraId="120BDDA7"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455E3349"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Summer</w:t>
            </w:r>
          </w:p>
        </w:tc>
        <w:tc>
          <w:tcPr>
            <w:tcW w:w="1200" w:type="dxa"/>
            <w:shd w:val="clear" w:color="auto" w:fill="D9D9D9" w:themeFill="background1" w:themeFillShade="D9"/>
            <w:tcMar>
              <w:top w:w="15" w:type="dxa"/>
              <w:left w:w="15" w:type="dxa"/>
              <w:bottom w:w="0" w:type="dxa"/>
              <w:right w:w="15" w:type="dxa"/>
            </w:tcMar>
            <w:vAlign w:val="center"/>
            <w:hideMark/>
          </w:tcPr>
          <w:p w14:paraId="49E24299"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(Btu/kWh)</w:t>
            </w:r>
          </w:p>
        </w:tc>
        <w:tc>
          <w:tcPr>
            <w:tcW w:w="1560" w:type="dxa"/>
            <w:shd w:val="clear" w:color="auto" w:fill="D9D9D9" w:themeFill="background1" w:themeFillShade="D9"/>
            <w:tcMar>
              <w:top w:w="15" w:type="dxa"/>
              <w:left w:w="15" w:type="dxa"/>
              <w:bottom w:w="0" w:type="dxa"/>
              <w:right w:w="15" w:type="dxa"/>
            </w:tcMar>
            <w:vAlign w:val="center"/>
            <w:hideMark/>
          </w:tcPr>
          <w:p w14:paraId="0821C193"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9,274</w:t>
            </w:r>
          </w:p>
        </w:tc>
      </w:tr>
      <w:tr w:rsidR="00246630" w:rsidRPr="00246630" w14:paraId="22E19B8C" w14:textId="77777777" w:rsidTr="00246630">
        <w:trPr>
          <w:trHeight w:val="300"/>
          <w:jc w:val="center"/>
        </w:trPr>
        <w:tc>
          <w:tcPr>
            <w:tcW w:w="1940" w:type="dxa"/>
            <w:shd w:val="clear" w:color="auto" w:fill="auto"/>
            <w:tcMar>
              <w:top w:w="15" w:type="dxa"/>
              <w:left w:w="15" w:type="dxa"/>
              <w:bottom w:w="0" w:type="dxa"/>
              <w:right w:w="15" w:type="dxa"/>
            </w:tcMar>
            <w:vAlign w:val="center"/>
            <w:hideMark/>
          </w:tcPr>
          <w:p w14:paraId="6C42FA73"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Installed Capacity</w:t>
            </w:r>
          </w:p>
        </w:tc>
        <w:tc>
          <w:tcPr>
            <w:tcW w:w="1200" w:type="dxa"/>
            <w:shd w:val="clear" w:color="auto" w:fill="auto"/>
            <w:tcMar>
              <w:top w:w="15" w:type="dxa"/>
              <w:left w:w="15" w:type="dxa"/>
              <w:bottom w:w="0" w:type="dxa"/>
              <w:right w:w="15" w:type="dxa"/>
            </w:tcMar>
            <w:vAlign w:val="center"/>
            <w:hideMark/>
          </w:tcPr>
          <w:p w14:paraId="608F031D" w14:textId="77777777" w:rsidR="00246630" w:rsidRPr="00246630" w:rsidRDefault="00246630" w:rsidP="00246630">
            <w:pPr>
              <w:spacing w:after="0" w:line="240" w:lineRule="auto"/>
              <w:rPr>
                <w:rFonts w:ascii="Arial" w:eastAsia="Times New Roman" w:hAnsi="Arial" w:cs="Arial"/>
                <w:kern w:val="0"/>
                <w:sz w:val="36"/>
                <w:szCs w:val="36"/>
              </w:rPr>
            </w:pPr>
          </w:p>
        </w:tc>
        <w:tc>
          <w:tcPr>
            <w:tcW w:w="1560" w:type="dxa"/>
            <w:shd w:val="clear" w:color="auto" w:fill="auto"/>
            <w:tcMar>
              <w:top w:w="15" w:type="dxa"/>
              <w:left w:w="15" w:type="dxa"/>
              <w:bottom w:w="0" w:type="dxa"/>
              <w:right w:w="15" w:type="dxa"/>
            </w:tcMar>
            <w:vAlign w:val="center"/>
            <w:hideMark/>
          </w:tcPr>
          <w:p w14:paraId="69775AC1" w14:textId="77777777" w:rsidR="00246630" w:rsidRPr="00246630" w:rsidRDefault="00246630" w:rsidP="00246630">
            <w:pPr>
              <w:spacing w:after="0" w:line="240" w:lineRule="auto"/>
              <w:rPr>
                <w:rFonts w:ascii="Times New Roman" w:eastAsia="Times New Roman" w:hAnsi="Times New Roman" w:cs="Times New Roman"/>
                <w:kern w:val="0"/>
                <w:sz w:val="20"/>
                <w:szCs w:val="20"/>
              </w:rPr>
            </w:pPr>
          </w:p>
        </w:tc>
      </w:tr>
      <w:tr w:rsidR="00246630" w:rsidRPr="00246630" w14:paraId="769A052C"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4418FFE2"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Base Load</w:t>
            </w:r>
          </w:p>
        </w:tc>
        <w:tc>
          <w:tcPr>
            <w:tcW w:w="1200" w:type="dxa"/>
            <w:shd w:val="clear" w:color="auto" w:fill="D9D9D9" w:themeFill="background1" w:themeFillShade="D9"/>
            <w:tcMar>
              <w:top w:w="15" w:type="dxa"/>
              <w:left w:w="15" w:type="dxa"/>
              <w:bottom w:w="0" w:type="dxa"/>
              <w:right w:w="15" w:type="dxa"/>
            </w:tcMar>
            <w:vAlign w:val="center"/>
            <w:hideMark/>
          </w:tcPr>
          <w:p w14:paraId="0E1D5985" w14:textId="77777777" w:rsidR="00246630" w:rsidRPr="00246630" w:rsidRDefault="00246630" w:rsidP="00246630">
            <w:pPr>
              <w:spacing w:after="0" w:line="240" w:lineRule="auto"/>
              <w:rPr>
                <w:rFonts w:ascii="Arial" w:eastAsia="Times New Roman" w:hAnsi="Arial" w:cs="Arial"/>
                <w:kern w:val="0"/>
                <w:sz w:val="36"/>
                <w:szCs w:val="36"/>
              </w:rPr>
            </w:pPr>
          </w:p>
        </w:tc>
        <w:tc>
          <w:tcPr>
            <w:tcW w:w="1560" w:type="dxa"/>
            <w:shd w:val="clear" w:color="auto" w:fill="D9D9D9" w:themeFill="background1" w:themeFillShade="D9"/>
            <w:tcMar>
              <w:top w:w="15" w:type="dxa"/>
              <w:left w:w="15" w:type="dxa"/>
              <w:bottom w:w="0" w:type="dxa"/>
              <w:right w:w="15" w:type="dxa"/>
            </w:tcMar>
            <w:vAlign w:val="center"/>
            <w:hideMark/>
          </w:tcPr>
          <w:p w14:paraId="170003AF" w14:textId="77777777" w:rsidR="00246630" w:rsidRPr="00246630" w:rsidRDefault="00246630" w:rsidP="00246630">
            <w:pPr>
              <w:spacing w:after="0" w:line="240" w:lineRule="auto"/>
              <w:rPr>
                <w:rFonts w:ascii="Times New Roman" w:eastAsia="Times New Roman" w:hAnsi="Times New Roman" w:cs="Times New Roman"/>
                <w:kern w:val="0"/>
                <w:sz w:val="20"/>
                <w:szCs w:val="20"/>
              </w:rPr>
            </w:pPr>
          </w:p>
        </w:tc>
      </w:tr>
      <w:tr w:rsidR="00246630" w:rsidRPr="00246630" w14:paraId="7D85E0BC"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0DC55675"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Non-Summer</w:t>
            </w:r>
          </w:p>
        </w:tc>
        <w:tc>
          <w:tcPr>
            <w:tcW w:w="1200" w:type="dxa"/>
            <w:shd w:val="clear" w:color="auto" w:fill="D9D9D9" w:themeFill="background1" w:themeFillShade="D9"/>
            <w:tcMar>
              <w:top w:w="15" w:type="dxa"/>
              <w:left w:w="15" w:type="dxa"/>
              <w:bottom w:w="0" w:type="dxa"/>
              <w:right w:w="15" w:type="dxa"/>
            </w:tcMar>
            <w:vAlign w:val="center"/>
            <w:hideMark/>
          </w:tcPr>
          <w:p w14:paraId="66928884"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(MW)</w:t>
            </w:r>
          </w:p>
        </w:tc>
        <w:tc>
          <w:tcPr>
            <w:tcW w:w="1560" w:type="dxa"/>
            <w:shd w:val="clear" w:color="auto" w:fill="D9D9D9" w:themeFill="background1" w:themeFillShade="D9"/>
            <w:tcMar>
              <w:top w:w="15" w:type="dxa"/>
              <w:left w:w="15" w:type="dxa"/>
              <w:bottom w:w="0" w:type="dxa"/>
              <w:right w:w="15" w:type="dxa"/>
            </w:tcMar>
            <w:vAlign w:val="center"/>
            <w:hideMark/>
          </w:tcPr>
          <w:p w14:paraId="1E8C0AC5"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371</w:t>
            </w:r>
          </w:p>
        </w:tc>
      </w:tr>
      <w:tr w:rsidR="00246630" w:rsidRPr="00246630" w14:paraId="38EA5381" w14:textId="77777777" w:rsidTr="00246630">
        <w:trPr>
          <w:trHeight w:val="300"/>
          <w:jc w:val="center"/>
        </w:trPr>
        <w:tc>
          <w:tcPr>
            <w:tcW w:w="1940" w:type="dxa"/>
            <w:shd w:val="clear" w:color="auto" w:fill="D9D9D9" w:themeFill="background1" w:themeFillShade="D9"/>
            <w:tcMar>
              <w:top w:w="15" w:type="dxa"/>
              <w:left w:w="15" w:type="dxa"/>
              <w:bottom w:w="0" w:type="dxa"/>
              <w:right w:w="15" w:type="dxa"/>
            </w:tcMar>
            <w:vAlign w:val="center"/>
            <w:hideMark/>
          </w:tcPr>
          <w:p w14:paraId="140B7CD8" w14:textId="77777777" w:rsidR="00246630" w:rsidRPr="00246630" w:rsidRDefault="00246630" w:rsidP="00246630">
            <w:pPr>
              <w:spacing w:after="0" w:line="240" w:lineRule="auto"/>
              <w:textAlignment w:val="center"/>
              <w:rPr>
                <w:rFonts w:ascii="Arial" w:eastAsia="Times New Roman" w:hAnsi="Arial" w:cs="Arial"/>
                <w:kern w:val="0"/>
                <w:sz w:val="36"/>
                <w:szCs w:val="36"/>
              </w:rPr>
            </w:pPr>
            <w:r w:rsidRPr="00246630">
              <w:rPr>
                <w:rFonts w:eastAsia="Times New Roman" w:cs="Arial"/>
                <w:color w:val="000000"/>
              </w:rPr>
              <w:t xml:space="preserve">          Summer</w:t>
            </w:r>
          </w:p>
        </w:tc>
        <w:tc>
          <w:tcPr>
            <w:tcW w:w="1200" w:type="dxa"/>
            <w:shd w:val="clear" w:color="auto" w:fill="D9D9D9" w:themeFill="background1" w:themeFillShade="D9"/>
            <w:tcMar>
              <w:top w:w="15" w:type="dxa"/>
              <w:left w:w="15" w:type="dxa"/>
              <w:bottom w:w="0" w:type="dxa"/>
              <w:right w:w="15" w:type="dxa"/>
            </w:tcMar>
            <w:vAlign w:val="center"/>
            <w:hideMark/>
          </w:tcPr>
          <w:p w14:paraId="17C1175B"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(MW)</w:t>
            </w:r>
          </w:p>
        </w:tc>
        <w:tc>
          <w:tcPr>
            <w:tcW w:w="1560" w:type="dxa"/>
            <w:shd w:val="clear" w:color="auto" w:fill="D9D9D9" w:themeFill="background1" w:themeFillShade="D9"/>
            <w:tcMar>
              <w:top w:w="15" w:type="dxa"/>
              <w:left w:w="15" w:type="dxa"/>
              <w:bottom w:w="0" w:type="dxa"/>
              <w:right w:w="15" w:type="dxa"/>
            </w:tcMar>
            <w:vAlign w:val="center"/>
            <w:hideMark/>
          </w:tcPr>
          <w:p w14:paraId="65A9A9F7"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352</w:t>
            </w:r>
          </w:p>
        </w:tc>
      </w:tr>
      <w:tr w:rsidR="00246630" w:rsidRPr="00246630" w14:paraId="7D9B8748" w14:textId="77777777" w:rsidTr="00246630">
        <w:trPr>
          <w:trHeight w:val="315"/>
          <w:jc w:val="center"/>
        </w:trPr>
        <w:tc>
          <w:tcPr>
            <w:tcW w:w="1940" w:type="dxa"/>
            <w:shd w:val="clear" w:color="auto" w:fill="auto"/>
            <w:tcMar>
              <w:top w:w="15" w:type="dxa"/>
              <w:left w:w="15" w:type="dxa"/>
              <w:bottom w:w="0" w:type="dxa"/>
              <w:right w:w="15" w:type="dxa"/>
            </w:tcMar>
            <w:vAlign w:val="center"/>
            <w:hideMark/>
          </w:tcPr>
          <w:p w14:paraId="10924F7D" w14:textId="6FB55A42" w:rsidR="00246630" w:rsidRPr="00246630" w:rsidRDefault="00246630" w:rsidP="000740A4">
            <w:pPr>
              <w:spacing w:after="0" w:line="240" w:lineRule="auto"/>
              <w:textAlignment w:val="center"/>
              <w:rPr>
                <w:rFonts w:ascii="Arial" w:eastAsia="Times New Roman" w:hAnsi="Arial" w:cs="Arial"/>
                <w:kern w:val="0"/>
                <w:sz w:val="36"/>
                <w:szCs w:val="36"/>
              </w:rPr>
            </w:pPr>
            <w:r w:rsidRPr="00246630">
              <w:rPr>
                <w:rFonts w:eastAsia="Times New Roman" w:cs="Arial"/>
                <w:b/>
                <w:bCs/>
                <w:color w:val="000000"/>
              </w:rPr>
              <w:t>CONE</w:t>
            </w:r>
          </w:p>
        </w:tc>
        <w:tc>
          <w:tcPr>
            <w:tcW w:w="1200" w:type="dxa"/>
            <w:shd w:val="clear" w:color="auto" w:fill="auto"/>
            <w:tcMar>
              <w:top w:w="15" w:type="dxa"/>
              <w:left w:w="15" w:type="dxa"/>
              <w:bottom w:w="0" w:type="dxa"/>
              <w:right w:w="15" w:type="dxa"/>
            </w:tcMar>
            <w:vAlign w:val="center"/>
            <w:hideMark/>
          </w:tcPr>
          <w:p w14:paraId="580016CC"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($/kW-</w:t>
            </w:r>
            <w:proofErr w:type="spellStart"/>
            <w:r w:rsidRPr="00246630">
              <w:rPr>
                <w:rFonts w:eastAsia="Times New Roman" w:cs="Arial"/>
                <w:color w:val="000000"/>
              </w:rPr>
              <w:t>yr</w:t>
            </w:r>
            <w:proofErr w:type="spellEnd"/>
            <w:r w:rsidRPr="00246630">
              <w:rPr>
                <w:rFonts w:eastAsia="Times New Roman" w:cs="Arial"/>
                <w:color w:val="000000"/>
              </w:rPr>
              <w:t>)</w:t>
            </w:r>
          </w:p>
        </w:tc>
        <w:tc>
          <w:tcPr>
            <w:tcW w:w="1560" w:type="dxa"/>
            <w:shd w:val="clear" w:color="auto" w:fill="auto"/>
            <w:tcMar>
              <w:top w:w="15" w:type="dxa"/>
              <w:left w:w="15" w:type="dxa"/>
              <w:bottom w:w="0" w:type="dxa"/>
              <w:right w:w="15" w:type="dxa"/>
            </w:tcMar>
            <w:vAlign w:val="center"/>
            <w:hideMark/>
          </w:tcPr>
          <w:p w14:paraId="16776648" w14:textId="77777777" w:rsidR="00246630" w:rsidRPr="00246630" w:rsidRDefault="00246630" w:rsidP="00246630">
            <w:pPr>
              <w:spacing w:after="0" w:line="240" w:lineRule="auto"/>
              <w:jc w:val="center"/>
              <w:textAlignment w:val="center"/>
              <w:rPr>
                <w:rFonts w:ascii="Arial" w:eastAsia="Times New Roman" w:hAnsi="Arial" w:cs="Arial"/>
                <w:kern w:val="0"/>
                <w:sz w:val="36"/>
                <w:szCs w:val="36"/>
              </w:rPr>
            </w:pPr>
            <w:r w:rsidRPr="00246630">
              <w:rPr>
                <w:rFonts w:eastAsia="Times New Roman" w:cs="Arial"/>
                <w:color w:val="000000"/>
              </w:rPr>
              <w:t xml:space="preserve">93.5 </w:t>
            </w:r>
          </w:p>
        </w:tc>
      </w:tr>
    </w:tbl>
    <w:p w14:paraId="3D950C4B" w14:textId="77777777" w:rsidR="004B58AD" w:rsidRPr="00945B1F" w:rsidRDefault="004B58AD" w:rsidP="004B58AD">
      <w:pPr>
        <w:pStyle w:val="BGNotesFiguresTables"/>
        <w:keepNext/>
        <w:keepLines/>
        <w:tabs>
          <w:tab w:val="left" w:pos="450"/>
          <w:tab w:val="left" w:pos="900"/>
          <w:tab w:val="left" w:pos="9090"/>
        </w:tabs>
        <w:spacing w:before="0"/>
        <w:ind w:left="1224" w:right="720" w:hanging="360"/>
        <w:jc w:val="left"/>
        <w:rPr>
          <w:rFonts w:cs="Calibri"/>
          <w:color w:val="auto"/>
        </w:rPr>
      </w:pPr>
      <w:r w:rsidRPr="00945B1F">
        <w:rPr>
          <w:rFonts w:cs="Calibri"/>
          <w:noProof/>
          <w:color w:val="auto"/>
        </w:rPr>
        <w:t xml:space="preserve"> </w:t>
      </w:r>
      <w:r w:rsidRPr="00945B1F">
        <w:rPr>
          <w:rFonts w:cs="Calibri"/>
          <w:i/>
          <w:color w:val="auto"/>
        </w:rPr>
        <w:t>Sources and Notes:</w:t>
      </w:r>
    </w:p>
    <w:p w14:paraId="1A057E1A" w14:textId="6DF4D02A" w:rsidR="004B58AD" w:rsidRDefault="004B58AD" w:rsidP="004B58AD">
      <w:pPr>
        <w:pStyle w:val="sourcesandnotes"/>
        <w:keepNext w:val="0"/>
        <w:tabs>
          <w:tab w:val="left" w:pos="900"/>
          <w:tab w:val="left" w:pos="1980"/>
          <w:tab w:val="left" w:pos="8820"/>
        </w:tabs>
        <w:ind w:left="1224" w:right="720"/>
        <w:rPr>
          <w:rFonts w:ascii="Calibri" w:hAnsi="Calibri" w:cs="Calibri"/>
          <w:color w:val="auto"/>
        </w:rPr>
      </w:pPr>
      <w:r w:rsidRPr="00945B1F">
        <w:rPr>
          <w:rFonts w:ascii="Calibri" w:hAnsi="Calibri" w:cs="Calibri"/>
          <w:color w:val="auto"/>
        </w:rPr>
        <w:t xml:space="preserve"> Technical and performance parameters use region EMAAC as most closely resembling ERCOT in altitude and ambient conditions </w:t>
      </w:r>
      <w:r w:rsidRPr="00945B1F" w:rsidDel="00FD4D9D">
        <w:rPr>
          <w:rFonts w:ascii="Calibri" w:hAnsi="Calibri" w:cs="Calibri"/>
          <w:color w:val="auto"/>
        </w:rPr>
        <w:t>from</w:t>
      </w:r>
      <w:r w:rsidRPr="00945B1F">
        <w:rPr>
          <w:rFonts w:ascii="Calibri" w:hAnsi="Calibri" w:cs="Calibri"/>
          <w:color w:val="auto"/>
        </w:rPr>
        <w:t xml:space="preserve"> Newell, </w:t>
      </w:r>
      <w:r w:rsidRPr="00945B1F">
        <w:rPr>
          <w:rFonts w:ascii="Calibri" w:hAnsi="Calibri" w:cs="Calibri"/>
          <w:i/>
          <w:color w:val="auto"/>
        </w:rPr>
        <w:t>et al.</w:t>
      </w:r>
      <w:r w:rsidRPr="00945B1F">
        <w:rPr>
          <w:rFonts w:ascii="Calibri" w:hAnsi="Calibri" w:cs="Calibri"/>
          <w:color w:val="auto"/>
        </w:rPr>
        <w:t xml:space="preserve"> (2018</w:t>
      </w:r>
      <w:r w:rsidR="009621B8">
        <w:rPr>
          <w:rFonts w:ascii="Calibri" w:hAnsi="Calibri" w:cs="Calibri"/>
          <w:color w:val="auto"/>
        </w:rPr>
        <w:t>a</w:t>
      </w:r>
      <w:r w:rsidRPr="00945B1F">
        <w:rPr>
          <w:rFonts w:ascii="Calibri" w:hAnsi="Calibri" w:cs="Calibri"/>
          <w:color w:val="auto"/>
        </w:rPr>
        <w:t>).</w:t>
      </w:r>
    </w:p>
    <w:p w14:paraId="28232F22" w14:textId="020C6EF5" w:rsidR="00246630" w:rsidRPr="00945B1F" w:rsidRDefault="00246630" w:rsidP="002A2715">
      <w:pPr>
        <w:pStyle w:val="sourcesandnotes"/>
        <w:keepNext w:val="0"/>
        <w:tabs>
          <w:tab w:val="left" w:pos="900"/>
          <w:tab w:val="left" w:pos="1980"/>
          <w:tab w:val="left" w:pos="8820"/>
        </w:tabs>
        <w:spacing w:after="240"/>
        <w:ind w:left="1224" w:right="720"/>
        <w:rPr>
          <w:rFonts w:ascii="Calibri" w:hAnsi="Calibri" w:cs="Calibri"/>
          <w:color w:val="auto"/>
        </w:rPr>
      </w:pPr>
      <w:r w:rsidRPr="00246630">
        <w:rPr>
          <w:rFonts w:ascii="Calibri" w:hAnsi="Calibri" w:cs="Calibri"/>
          <w:color w:val="auto"/>
        </w:rPr>
        <w:t>Based on ambient conditions of 92°F Max. Summer (55.5% Humidity) and 59°F Non-Summer.</w:t>
      </w:r>
    </w:p>
    <w:p w14:paraId="5FC371A7" w14:textId="5A6E3F7C" w:rsidR="004B58AD" w:rsidRDefault="004B58AD" w:rsidP="00246630">
      <w:pPr>
        <w:pStyle w:val="Heading3"/>
        <w:numPr>
          <w:ilvl w:val="0"/>
          <w:numId w:val="19"/>
        </w:numPr>
        <w:spacing w:before="240"/>
      </w:pPr>
      <w:bookmarkStart w:id="412" w:name="_Toc525079613"/>
      <w:bookmarkStart w:id="413" w:name="_Toc525851040"/>
      <w:bookmarkStart w:id="414" w:name="_Toc525938071"/>
      <w:bookmarkStart w:id="415" w:name="_Toc526279133"/>
      <w:bookmarkStart w:id="416" w:name="_Toc526437285"/>
      <w:bookmarkStart w:id="417" w:name="_Toc526437472"/>
      <w:bookmarkStart w:id="418" w:name="_Toc526439928"/>
      <w:bookmarkStart w:id="419" w:name="_Toc526440038"/>
      <w:bookmarkStart w:id="420" w:name="_Toc532834316"/>
      <w:bookmarkStart w:id="421" w:name="_Toc57193589"/>
      <w:r>
        <w:t>Conventional Generation Outages</w:t>
      </w:r>
      <w:bookmarkEnd w:id="412"/>
      <w:bookmarkEnd w:id="413"/>
      <w:bookmarkEnd w:id="414"/>
      <w:bookmarkEnd w:id="415"/>
      <w:bookmarkEnd w:id="416"/>
      <w:bookmarkEnd w:id="417"/>
      <w:bookmarkEnd w:id="418"/>
      <w:bookmarkEnd w:id="419"/>
      <w:bookmarkEnd w:id="420"/>
      <w:bookmarkEnd w:id="421"/>
    </w:p>
    <w:p w14:paraId="67EBF513" w14:textId="77777777" w:rsidR="004B58AD" w:rsidRPr="00C042FC" w:rsidRDefault="004B58AD" w:rsidP="004B58AD">
      <w:pPr>
        <w:pStyle w:val="BGNormal125"/>
        <w:rPr>
          <w:rFonts w:ascii="Calibri" w:hAnsi="Calibri" w:cs="Calibri"/>
          <w:b/>
          <w:bCs/>
          <w:color w:val="C00000"/>
          <w:sz w:val="22"/>
          <w:szCs w:val="22"/>
        </w:rPr>
      </w:pPr>
      <w:r w:rsidRPr="0053705D">
        <w:rPr>
          <w:rFonts w:ascii="Calibri" w:hAnsi="Calibri" w:cs="Calibri"/>
          <w:color w:val="auto"/>
          <w:sz w:val="22"/>
          <w:szCs w:val="22"/>
        </w:rPr>
        <w:t xml:space="preserve">A major component of reliability analyses is modeling the availability of supply resources after considering maintenance and forced outages.  We model forced and maintenance outages of conventional generation units stochastically. Partial and full forced outages occur probabilistically based on distributions accounting for time-to-fail, time-to-repair, startup failure rates, and partial outage derate percentages.  Maintenance outages also occur stochastically, but SERVM accommodates maintenance outages with some flexibility to schedule maintenance during off-peak hours.  Planned outages are differentiated from maintenance outages and are scheduled in advance of each hourly simulation.  </w:t>
      </w:r>
      <w:r w:rsidRPr="00AB139A">
        <w:rPr>
          <w:rFonts w:ascii="Calibri" w:hAnsi="Calibri" w:cs="Calibri"/>
          <w:color w:val="auto"/>
          <w:sz w:val="22"/>
          <w:szCs w:val="22"/>
        </w:rPr>
        <w:t>Consistent with market operations, the planned outages occur during low demand periods in the spring and fall, such that the highest coincident planned outages occur in the lowest load days</w:t>
      </w:r>
      <w:r w:rsidRPr="00C042FC">
        <w:rPr>
          <w:rFonts w:ascii="Calibri" w:hAnsi="Calibri" w:cs="Calibri"/>
          <w:color w:val="C00000"/>
          <w:sz w:val="22"/>
          <w:szCs w:val="22"/>
        </w:rPr>
        <w:t xml:space="preserve">.  </w:t>
      </w:r>
      <w:r w:rsidRPr="0053705D">
        <w:rPr>
          <w:rFonts w:ascii="Calibri" w:hAnsi="Calibri" w:cs="Calibri"/>
          <w:color w:val="auto"/>
          <w:sz w:val="22"/>
          <w:szCs w:val="22"/>
        </w:rPr>
        <w:t>This outage modeling approach allows SERVM to recognize some system-wide scheduling flexibility while also capturing the potential for severe scarcity caused by a number of coincident unplanned outages.</w:t>
      </w:r>
      <w:r w:rsidRPr="0053705D">
        <w:rPr>
          <w:rStyle w:val="FootnoteReference"/>
          <w:rFonts w:ascii="Calibri" w:hAnsi="Calibri" w:cs="Calibri"/>
          <w:color w:val="auto"/>
          <w:sz w:val="22"/>
          <w:szCs w:val="22"/>
        </w:rPr>
        <w:footnoteReference w:id="43"/>
      </w:r>
    </w:p>
    <w:p w14:paraId="6225B8D6" w14:textId="0B9FE72D" w:rsidR="004B58AD" w:rsidRPr="006C4BC1" w:rsidRDefault="004B58AD" w:rsidP="008B0478">
      <w:pPr>
        <w:pStyle w:val="BGNormal125"/>
        <w:spacing w:after="240"/>
        <w:rPr>
          <w:rFonts w:ascii="Calibri" w:hAnsi="Calibri" w:cs="Calibri"/>
          <w:bCs/>
          <w:color w:val="auto"/>
          <w:sz w:val="22"/>
          <w:szCs w:val="22"/>
        </w:rPr>
      </w:pPr>
      <w:r w:rsidRPr="006C4BC1">
        <w:rPr>
          <w:rFonts w:ascii="Calibri" w:hAnsi="Calibri" w:cs="Calibri"/>
          <w:color w:val="auto"/>
          <w:sz w:val="22"/>
          <w:szCs w:val="22"/>
        </w:rPr>
        <w:t xml:space="preserve">We develop distributions of outage parameters for time-to-fail, time-to-repair, partial outage derate percentages, startup probabilities, and startup time-to-repair from historical Generation Availability Data System (GADS) data </w:t>
      </w:r>
      <w:r w:rsidRPr="006C4BC1">
        <w:rPr>
          <w:rFonts w:ascii="Calibri" w:hAnsi="Calibri" w:cs="Calibri"/>
          <w:bCs/>
          <w:color w:val="auto"/>
          <w:sz w:val="22"/>
          <w:szCs w:val="22"/>
        </w:rPr>
        <w:t xml:space="preserve">for individual units in ERCOT’s fleet, supplemented by asset class average outage rates provided by ERCOT where unit-specific data were unavailable.  </w:t>
      </w:r>
      <w:r w:rsidRPr="006C4BC1">
        <w:rPr>
          <w:rFonts w:ascii="Calibri" w:hAnsi="Calibri" w:cs="Calibri"/>
          <w:bCs/>
          <w:color w:val="auto"/>
          <w:sz w:val="22"/>
          <w:szCs w:val="22"/>
        </w:rPr>
        <w:fldChar w:fldCharType="begin"/>
      </w:r>
      <w:r w:rsidRPr="006C4BC1">
        <w:rPr>
          <w:rFonts w:ascii="Calibri" w:hAnsi="Calibri" w:cs="Calibri"/>
          <w:bCs/>
          <w:color w:val="auto"/>
          <w:sz w:val="22"/>
          <w:szCs w:val="22"/>
        </w:rPr>
        <w:instrText xml:space="preserve"> REF _Ref523301525 \h </w:instrText>
      </w:r>
      <w:r w:rsidR="00C042FC" w:rsidRPr="006C4BC1">
        <w:rPr>
          <w:rFonts w:ascii="Calibri" w:hAnsi="Calibri" w:cs="Calibri"/>
          <w:bCs/>
          <w:color w:val="auto"/>
          <w:sz w:val="22"/>
          <w:szCs w:val="22"/>
        </w:rPr>
        <w:instrText xml:space="preserve"> \* MERGEFORMAT </w:instrText>
      </w:r>
      <w:r w:rsidRPr="006C4BC1">
        <w:rPr>
          <w:rFonts w:ascii="Calibri" w:hAnsi="Calibri" w:cs="Calibri"/>
          <w:bCs/>
          <w:color w:val="auto"/>
          <w:sz w:val="22"/>
          <w:szCs w:val="22"/>
        </w:rPr>
      </w:r>
      <w:r w:rsidRPr="006C4BC1">
        <w:rPr>
          <w:rFonts w:ascii="Calibri" w:hAnsi="Calibri" w:cs="Calibri"/>
          <w:bCs/>
          <w:color w:val="auto"/>
          <w:sz w:val="22"/>
          <w:szCs w:val="22"/>
        </w:rPr>
        <w:fldChar w:fldCharType="separate"/>
      </w:r>
      <w:r w:rsidRPr="006C4BC1">
        <w:rPr>
          <w:rFonts w:ascii="Calibri" w:hAnsi="Calibri" w:cs="Calibri"/>
          <w:color w:val="auto"/>
          <w:sz w:val="22"/>
          <w:szCs w:val="22"/>
        </w:rPr>
        <w:t>Table A1-</w:t>
      </w:r>
      <w:r w:rsidRPr="006C4BC1">
        <w:rPr>
          <w:rFonts w:ascii="Calibri" w:hAnsi="Calibri" w:cs="Calibri"/>
          <w:noProof/>
          <w:color w:val="auto"/>
          <w:sz w:val="22"/>
          <w:szCs w:val="22"/>
        </w:rPr>
        <w:t>4</w:t>
      </w:r>
      <w:r w:rsidRPr="006C4BC1">
        <w:rPr>
          <w:rFonts w:ascii="Calibri" w:hAnsi="Calibri" w:cs="Calibri"/>
          <w:bCs/>
          <w:color w:val="auto"/>
          <w:sz w:val="22"/>
          <w:szCs w:val="22"/>
        </w:rPr>
        <w:fldChar w:fldCharType="end"/>
      </w:r>
      <w:r w:rsidRPr="006C4BC1">
        <w:rPr>
          <w:rFonts w:ascii="Calibri" w:hAnsi="Calibri" w:cs="Calibri"/>
          <w:bCs/>
          <w:color w:val="auto"/>
          <w:sz w:val="22"/>
          <w:szCs w:val="22"/>
        </w:rPr>
        <w:t xml:space="preserve"> summarizes fleet-wide and asset-class outage rates, including both partial and forced outages.</w:t>
      </w:r>
    </w:p>
    <w:p w14:paraId="5C30C8E6" w14:textId="417904AD" w:rsidR="004B58AD" w:rsidRPr="006C4BC1" w:rsidRDefault="004B58AD" w:rsidP="00C042FC">
      <w:pPr>
        <w:pStyle w:val="Caption"/>
        <w:jc w:val="center"/>
        <w:rPr>
          <w:rFonts w:cs="Calibri"/>
          <w:b/>
          <w:bCs/>
          <w:i w:val="0"/>
          <w:iCs w:val="0"/>
          <w:color w:val="auto"/>
          <w:sz w:val="22"/>
          <w:szCs w:val="22"/>
        </w:rPr>
      </w:pPr>
      <w:bookmarkStart w:id="422" w:name="_Ref523301525"/>
      <w:r w:rsidRPr="006C4BC1">
        <w:rPr>
          <w:rFonts w:cs="Calibri"/>
          <w:b/>
          <w:bCs/>
          <w:i w:val="0"/>
          <w:iCs w:val="0"/>
          <w:color w:val="auto"/>
          <w:sz w:val="22"/>
          <w:szCs w:val="22"/>
        </w:rPr>
        <w:t>Table A1-</w:t>
      </w:r>
      <w:r w:rsidRPr="006C4BC1">
        <w:rPr>
          <w:rFonts w:cs="Calibri"/>
          <w:b/>
          <w:bCs/>
          <w:i w:val="0"/>
          <w:iCs w:val="0"/>
          <w:noProof/>
          <w:color w:val="auto"/>
          <w:sz w:val="22"/>
          <w:szCs w:val="22"/>
        </w:rPr>
        <w:fldChar w:fldCharType="begin"/>
      </w:r>
      <w:r w:rsidRPr="006C4BC1">
        <w:rPr>
          <w:rFonts w:cs="Calibri"/>
          <w:b/>
          <w:bCs/>
          <w:i w:val="0"/>
          <w:iCs w:val="0"/>
          <w:noProof/>
          <w:color w:val="auto"/>
          <w:sz w:val="22"/>
          <w:szCs w:val="22"/>
        </w:rPr>
        <w:instrText xml:space="preserve"> SEQ Table_A1- \* ARABIC </w:instrText>
      </w:r>
      <w:r w:rsidRPr="006C4BC1">
        <w:rPr>
          <w:rFonts w:cs="Calibri"/>
          <w:b/>
          <w:bCs/>
          <w:i w:val="0"/>
          <w:iCs w:val="0"/>
          <w:noProof/>
          <w:color w:val="auto"/>
          <w:sz w:val="22"/>
          <w:szCs w:val="22"/>
        </w:rPr>
        <w:fldChar w:fldCharType="separate"/>
      </w:r>
      <w:r w:rsidRPr="006C4BC1">
        <w:rPr>
          <w:rFonts w:cs="Calibri"/>
          <w:b/>
          <w:bCs/>
          <w:i w:val="0"/>
          <w:iCs w:val="0"/>
          <w:noProof/>
          <w:color w:val="auto"/>
          <w:sz w:val="22"/>
          <w:szCs w:val="22"/>
        </w:rPr>
        <w:t>4</w:t>
      </w:r>
      <w:r w:rsidRPr="006C4BC1">
        <w:rPr>
          <w:rFonts w:cs="Calibri"/>
          <w:b/>
          <w:bCs/>
          <w:i w:val="0"/>
          <w:iCs w:val="0"/>
          <w:noProof/>
          <w:color w:val="auto"/>
          <w:sz w:val="22"/>
          <w:szCs w:val="22"/>
        </w:rPr>
        <w:fldChar w:fldCharType="end"/>
      </w:r>
      <w:bookmarkEnd w:id="422"/>
      <w:r w:rsidR="00C042FC" w:rsidRPr="006C4BC1">
        <w:rPr>
          <w:rFonts w:cs="Calibri"/>
          <w:b/>
          <w:bCs/>
          <w:i w:val="0"/>
          <w:iCs w:val="0"/>
          <w:noProof/>
          <w:color w:val="auto"/>
          <w:sz w:val="22"/>
          <w:szCs w:val="22"/>
        </w:rPr>
        <w:t xml:space="preserve">. </w:t>
      </w:r>
      <w:r w:rsidRPr="006C4BC1">
        <w:rPr>
          <w:rFonts w:cs="Calibri"/>
          <w:b/>
          <w:bCs/>
          <w:i w:val="0"/>
          <w:iCs w:val="0"/>
          <w:color w:val="auto"/>
          <w:sz w:val="22"/>
          <w:szCs w:val="22"/>
        </w:rPr>
        <w:t>Forced Outage Rates by Asset Class and Fleet Average</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520"/>
        <w:gridCol w:w="2160"/>
        <w:gridCol w:w="1710"/>
        <w:gridCol w:w="1620"/>
      </w:tblGrid>
      <w:tr w:rsidR="00CA46F4" w:rsidRPr="00CA46F4" w14:paraId="7B15A7A1" w14:textId="77777777" w:rsidTr="00CA46F4">
        <w:trPr>
          <w:trHeight w:val="315"/>
          <w:jc w:val="center"/>
        </w:trPr>
        <w:tc>
          <w:tcPr>
            <w:tcW w:w="2520" w:type="dxa"/>
            <w:vMerge w:val="restart"/>
            <w:tcBorders>
              <w:top w:val="single" w:sz="4" w:space="0" w:color="auto"/>
              <w:bottom w:val="nil"/>
            </w:tcBorders>
            <w:shd w:val="clear" w:color="000000" w:fill="FFFFFF"/>
            <w:noWrap/>
            <w:vAlign w:val="center"/>
            <w:hideMark/>
          </w:tcPr>
          <w:p w14:paraId="5FDBA294" w14:textId="77777777" w:rsidR="00CA46F4" w:rsidRPr="00AB139A" w:rsidRDefault="00CA46F4" w:rsidP="00CA46F4">
            <w:pPr>
              <w:spacing w:after="0" w:line="240" w:lineRule="auto"/>
              <w:jc w:val="center"/>
              <w:rPr>
                <w:rFonts w:eastAsia="Times New Roman" w:cs="Times New Roman"/>
                <w:b/>
                <w:bCs/>
                <w:kern w:val="0"/>
              </w:rPr>
            </w:pPr>
            <w:r w:rsidRPr="00AB139A">
              <w:rPr>
                <w:rFonts w:eastAsia="Times New Roman" w:cs="Times New Roman"/>
                <w:b/>
                <w:bCs/>
                <w:kern w:val="0"/>
              </w:rPr>
              <w:t>Unit Type</w:t>
            </w:r>
          </w:p>
        </w:tc>
        <w:tc>
          <w:tcPr>
            <w:tcW w:w="2160" w:type="dxa"/>
            <w:tcBorders>
              <w:top w:val="single" w:sz="4" w:space="0" w:color="auto"/>
              <w:bottom w:val="nil"/>
            </w:tcBorders>
            <w:shd w:val="clear" w:color="000000" w:fill="FFFFFF"/>
            <w:noWrap/>
            <w:vAlign w:val="center"/>
            <w:hideMark/>
          </w:tcPr>
          <w:p w14:paraId="07F9038D" w14:textId="77777777" w:rsidR="00CA46F4" w:rsidRPr="00AB139A" w:rsidRDefault="00CA46F4" w:rsidP="00CA46F4">
            <w:pPr>
              <w:spacing w:after="0" w:line="240" w:lineRule="auto"/>
              <w:jc w:val="center"/>
              <w:rPr>
                <w:rFonts w:eastAsia="Times New Roman" w:cs="Times New Roman"/>
                <w:b/>
                <w:bCs/>
                <w:kern w:val="0"/>
              </w:rPr>
            </w:pPr>
            <w:r w:rsidRPr="00AB139A">
              <w:rPr>
                <w:rFonts w:eastAsia="Times New Roman" w:cs="Times New Roman"/>
                <w:b/>
                <w:bCs/>
                <w:kern w:val="0"/>
              </w:rPr>
              <w:t>Equivalent Forced Outage Rate</w:t>
            </w:r>
          </w:p>
        </w:tc>
        <w:tc>
          <w:tcPr>
            <w:tcW w:w="1710" w:type="dxa"/>
            <w:tcBorders>
              <w:top w:val="single" w:sz="4" w:space="0" w:color="auto"/>
              <w:bottom w:val="nil"/>
            </w:tcBorders>
            <w:shd w:val="clear" w:color="000000" w:fill="FFFFFF"/>
            <w:noWrap/>
            <w:vAlign w:val="center"/>
            <w:hideMark/>
          </w:tcPr>
          <w:p w14:paraId="15243FD4" w14:textId="38F47B38" w:rsidR="00CA46F4" w:rsidRPr="00AB139A" w:rsidRDefault="00CA46F4" w:rsidP="00CA46F4">
            <w:pPr>
              <w:spacing w:after="0" w:line="240" w:lineRule="auto"/>
              <w:jc w:val="center"/>
              <w:rPr>
                <w:rFonts w:eastAsia="Times New Roman" w:cs="Times New Roman"/>
                <w:b/>
                <w:bCs/>
                <w:kern w:val="0"/>
              </w:rPr>
            </w:pPr>
            <w:r w:rsidRPr="00AB139A">
              <w:rPr>
                <w:rFonts w:eastAsia="Times New Roman" w:cs="Times New Roman"/>
                <w:b/>
                <w:bCs/>
                <w:kern w:val="0"/>
              </w:rPr>
              <w:t>Mean Time</w:t>
            </w:r>
          </w:p>
          <w:p w14:paraId="7709EE65" w14:textId="632ECABA" w:rsidR="00CA46F4" w:rsidRPr="00AB139A" w:rsidRDefault="00CA46F4" w:rsidP="00CA46F4">
            <w:pPr>
              <w:spacing w:after="0" w:line="240" w:lineRule="auto"/>
              <w:jc w:val="center"/>
              <w:rPr>
                <w:rFonts w:eastAsia="Times New Roman" w:cs="Times New Roman"/>
                <w:b/>
                <w:bCs/>
                <w:kern w:val="0"/>
              </w:rPr>
            </w:pPr>
            <w:r w:rsidRPr="00AB139A">
              <w:rPr>
                <w:rFonts w:eastAsia="Times New Roman" w:cs="Times New Roman"/>
                <w:b/>
                <w:bCs/>
                <w:kern w:val="0"/>
              </w:rPr>
              <w:t>to Fail</w:t>
            </w:r>
          </w:p>
        </w:tc>
        <w:tc>
          <w:tcPr>
            <w:tcW w:w="1620" w:type="dxa"/>
            <w:tcBorders>
              <w:top w:val="single" w:sz="4" w:space="0" w:color="auto"/>
              <w:bottom w:val="nil"/>
            </w:tcBorders>
            <w:shd w:val="clear" w:color="000000" w:fill="FFFFFF"/>
            <w:noWrap/>
            <w:vAlign w:val="center"/>
            <w:hideMark/>
          </w:tcPr>
          <w:p w14:paraId="606D7BAF" w14:textId="1627D43C" w:rsidR="00CA46F4" w:rsidRPr="00AB139A" w:rsidRDefault="00CA46F4" w:rsidP="00CA46F4">
            <w:pPr>
              <w:spacing w:after="0" w:line="240" w:lineRule="auto"/>
              <w:jc w:val="center"/>
              <w:rPr>
                <w:rFonts w:eastAsia="Times New Roman" w:cs="Times New Roman"/>
                <w:b/>
                <w:bCs/>
                <w:kern w:val="0"/>
              </w:rPr>
            </w:pPr>
            <w:r w:rsidRPr="00AB139A">
              <w:rPr>
                <w:rFonts w:eastAsia="Times New Roman" w:cs="Times New Roman"/>
                <w:b/>
                <w:bCs/>
                <w:kern w:val="0"/>
              </w:rPr>
              <w:t>Mean Time</w:t>
            </w:r>
          </w:p>
          <w:p w14:paraId="530B7F0B" w14:textId="50156917" w:rsidR="00CA46F4" w:rsidRPr="00AB139A" w:rsidRDefault="00CA46F4" w:rsidP="00CA46F4">
            <w:pPr>
              <w:spacing w:after="0" w:line="240" w:lineRule="auto"/>
              <w:jc w:val="center"/>
              <w:rPr>
                <w:rFonts w:eastAsia="Times New Roman" w:cs="Times New Roman"/>
                <w:b/>
                <w:bCs/>
                <w:kern w:val="0"/>
              </w:rPr>
            </w:pPr>
            <w:r w:rsidRPr="00AB139A">
              <w:rPr>
                <w:rFonts w:eastAsia="Times New Roman" w:cs="Times New Roman"/>
                <w:b/>
                <w:bCs/>
                <w:kern w:val="0"/>
              </w:rPr>
              <w:t>to Repair</w:t>
            </w:r>
          </w:p>
        </w:tc>
      </w:tr>
      <w:tr w:rsidR="00CA46F4" w:rsidRPr="00CA46F4" w14:paraId="5796378A" w14:textId="77777777" w:rsidTr="00CA46F4">
        <w:trPr>
          <w:trHeight w:val="300"/>
          <w:jc w:val="center"/>
        </w:trPr>
        <w:tc>
          <w:tcPr>
            <w:tcW w:w="2520" w:type="dxa"/>
            <w:vMerge/>
            <w:tcBorders>
              <w:top w:val="nil"/>
              <w:bottom w:val="single" w:sz="4" w:space="0" w:color="auto"/>
            </w:tcBorders>
            <w:vAlign w:val="center"/>
            <w:hideMark/>
          </w:tcPr>
          <w:p w14:paraId="08CCB524" w14:textId="77777777" w:rsidR="00CA46F4" w:rsidRPr="00AB139A" w:rsidRDefault="00CA46F4" w:rsidP="00CA46F4">
            <w:pPr>
              <w:spacing w:after="0" w:line="240" w:lineRule="auto"/>
              <w:jc w:val="center"/>
              <w:rPr>
                <w:rFonts w:eastAsia="Times New Roman" w:cs="Times New Roman"/>
                <w:b/>
                <w:bCs/>
                <w:kern w:val="0"/>
              </w:rPr>
            </w:pPr>
          </w:p>
        </w:tc>
        <w:tc>
          <w:tcPr>
            <w:tcW w:w="2160" w:type="dxa"/>
            <w:tcBorders>
              <w:top w:val="nil"/>
              <w:bottom w:val="single" w:sz="4" w:space="0" w:color="auto"/>
            </w:tcBorders>
            <w:shd w:val="clear" w:color="000000" w:fill="FFFFFF"/>
            <w:noWrap/>
            <w:vAlign w:val="center"/>
            <w:hideMark/>
          </w:tcPr>
          <w:p w14:paraId="304DDE0D" w14:textId="77777777" w:rsidR="00CA46F4" w:rsidRPr="00AB139A" w:rsidRDefault="00CA46F4" w:rsidP="00CA46F4">
            <w:pPr>
              <w:spacing w:after="0" w:line="240" w:lineRule="auto"/>
              <w:jc w:val="center"/>
              <w:rPr>
                <w:rFonts w:eastAsia="Times New Roman" w:cs="Times New Roman"/>
                <w:i/>
                <w:iCs/>
                <w:kern w:val="0"/>
              </w:rPr>
            </w:pPr>
            <w:r w:rsidRPr="00AB139A">
              <w:rPr>
                <w:rFonts w:eastAsia="Times New Roman" w:cs="Times New Roman"/>
                <w:i/>
                <w:iCs/>
                <w:kern w:val="0"/>
              </w:rPr>
              <w:t>(%)</w:t>
            </w:r>
          </w:p>
        </w:tc>
        <w:tc>
          <w:tcPr>
            <w:tcW w:w="1710" w:type="dxa"/>
            <w:tcBorders>
              <w:top w:val="nil"/>
              <w:bottom w:val="single" w:sz="4" w:space="0" w:color="auto"/>
            </w:tcBorders>
            <w:shd w:val="clear" w:color="000000" w:fill="FFFFFF"/>
            <w:noWrap/>
            <w:vAlign w:val="center"/>
            <w:hideMark/>
          </w:tcPr>
          <w:p w14:paraId="364C6680" w14:textId="77777777" w:rsidR="00CA46F4" w:rsidRPr="00AB139A" w:rsidRDefault="00CA46F4" w:rsidP="00CA46F4">
            <w:pPr>
              <w:spacing w:after="0" w:line="240" w:lineRule="auto"/>
              <w:jc w:val="center"/>
              <w:rPr>
                <w:rFonts w:eastAsia="Times New Roman" w:cs="Times New Roman"/>
                <w:i/>
                <w:iCs/>
                <w:kern w:val="0"/>
              </w:rPr>
            </w:pPr>
            <w:r w:rsidRPr="00AB139A">
              <w:rPr>
                <w:rFonts w:eastAsia="Times New Roman" w:cs="Times New Roman"/>
                <w:i/>
                <w:iCs/>
                <w:kern w:val="0"/>
              </w:rPr>
              <w:t>(hours)</w:t>
            </w:r>
          </w:p>
        </w:tc>
        <w:tc>
          <w:tcPr>
            <w:tcW w:w="1620" w:type="dxa"/>
            <w:tcBorders>
              <w:top w:val="nil"/>
              <w:bottom w:val="single" w:sz="4" w:space="0" w:color="auto"/>
            </w:tcBorders>
            <w:shd w:val="clear" w:color="000000" w:fill="FFFFFF"/>
            <w:noWrap/>
            <w:vAlign w:val="center"/>
            <w:hideMark/>
          </w:tcPr>
          <w:p w14:paraId="2C0504CF" w14:textId="77777777" w:rsidR="00CA46F4" w:rsidRPr="00AB139A" w:rsidRDefault="00CA46F4" w:rsidP="00CA46F4">
            <w:pPr>
              <w:spacing w:after="0" w:line="240" w:lineRule="auto"/>
              <w:jc w:val="center"/>
              <w:rPr>
                <w:rFonts w:eastAsia="Times New Roman" w:cs="Times New Roman"/>
                <w:i/>
                <w:iCs/>
                <w:kern w:val="0"/>
              </w:rPr>
            </w:pPr>
            <w:r w:rsidRPr="00AB139A">
              <w:rPr>
                <w:rFonts w:eastAsia="Times New Roman" w:cs="Times New Roman"/>
                <w:i/>
                <w:iCs/>
                <w:kern w:val="0"/>
              </w:rPr>
              <w:t>(hours)</w:t>
            </w:r>
          </w:p>
        </w:tc>
      </w:tr>
      <w:tr w:rsidR="00CA46F4" w:rsidRPr="00CA46F4" w14:paraId="08B4429A" w14:textId="77777777" w:rsidTr="00CA46F4">
        <w:trPr>
          <w:trHeight w:val="300"/>
          <w:jc w:val="center"/>
        </w:trPr>
        <w:tc>
          <w:tcPr>
            <w:tcW w:w="2520" w:type="dxa"/>
            <w:tcBorders>
              <w:top w:val="single" w:sz="4" w:space="0" w:color="auto"/>
            </w:tcBorders>
            <w:shd w:val="clear" w:color="auto" w:fill="D9D9D9" w:themeFill="background1" w:themeFillShade="D9"/>
            <w:noWrap/>
            <w:vAlign w:val="center"/>
            <w:hideMark/>
          </w:tcPr>
          <w:p w14:paraId="38DD87C5" w14:textId="77777777"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Gas Combined Cycle</w:t>
            </w:r>
          </w:p>
        </w:tc>
        <w:tc>
          <w:tcPr>
            <w:tcW w:w="2160" w:type="dxa"/>
            <w:tcBorders>
              <w:top w:val="single" w:sz="4" w:space="0" w:color="auto"/>
            </w:tcBorders>
            <w:shd w:val="clear" w:color="auto" w:fill="D9D9D9" w:themeFill="background1" w:themeFillShade="D9"/>
            <w:noWrap/>
            <w:vAlign w:val="center"/>
            <w:hideMark/>
          </w:tcPr>
          <w:p w14:paraId="25AE53DB" w14:textId="2870F430"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3.</w:t>
            </w:r>
            <w:r w:rsidR="002E5E90" w:rsidRPr="00AB139A">
              <w:rPr>
                <w:rFonts w:eastAsia="Times New Roman" w:cs="Times New Roman"/>
                <w:kern w:val="0"/>
              </w:rPr>
              <w:t>7</w:t>
            </w:r>
          </w:p>
        </w:tc>
        <w:tc>
          <w:tcPr>
            <w:tcW w:w="1710" w:type="dxa"/>
            <w:tcBorders>
              <w:top w:val="single" w:sz="4" w:space="0" w:color="auto"/>
            </w:tcBorders>
            <w:shd w:val="clear" w:color="auto" w:fill="D9D9D9" w:themeFill="background1" w:themeFillShade="D9"/>
            <w:noWrap/>
            <w:vAlign w:val="center"/>
            <w:hideMark/>
          </w:tcPr>
          <w:p w14:paraId="2BD3B062" w14:textId="10548BC4"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1,</w:t>
            </w:r>
            <w:r w:rsidR="002E5E90" w:rsidRPr="00AB139A">
              <w:rPr>
                <w:rFonts w:eastAsia="Times New Roman" w:cs="Times New Roman"/>
                <w:kern w:val="0"/>
              </w:rPr>
              <w:t>312</w:t>
            </w:r>
          </w:p>
        </w:tc>
        <w:tc>
          <w:tcPr>
            <w:tcW w:w="1620" w:type="dxa"/>
            <w:tcBorders>
              <w:top w:val="single" w:sz="4" w:space="0" w:color="auto"/>
            </w:tcBorders>
            <w:shd w:val="clear" w:color="auto" w:fill="D9D9D9" w:themeFill="background1" w:themeFillShade="D9"/>
            <w:noWrap/>
            <w:vAlign w:val="center"/>
            <w:hideMark/>
          </w:tcPr>
          <w:p w14:paraId="73225F70" w14:textId="168285C5"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3</w:t>
            </w:r>
            <w:r w:rsidR="002E5E90" w:rsidRPr="00AB139A">
              <w:rPr>
                <w:rFonts w:eastAsia="Times New Roman" w:cs="Times New Roman"/>
                <w:kern w:val="0"/>
              </w:rPr>
              <w:t>2</w:t>
            </w:r>
          </w:p>
        </w:tc>
      </w:tr>
      <w:tr w:rsidR="00CA46F4" w:rsidRPr="00CA46F4" w14:paraId="4214F600" w14:textId="77777777" w:rsidTr="00CA46F4">
        <w:trPr>
          <w:trHeight w:val="300"/>
          <w:jc w:val="center"/>
        </w:trPr>
        <w:tc>
          <w:tcPr>
            <w:tcW w:w="2520" w:type="dxa"/>
            <w:shd w:val="clear" w:color="000000" w:fill="FFFFFF"/>
            <w:noWrap/>
            <w:vAlign w:val="center"/>
            <w:hideMark/>
          </w:tcPr>
          <w:p w14:paraId="066BCB9D" w14:textId="77777777"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Gas Combustion Turbine</w:t>
            </w:r>
          </w:p>
        </w:tc>
        <w:tc>
          <w:tcPr>
            <w:tcW w:w="2160" w:type="dxa"/>
            <w:shd w:val="clear" w:color="000000" w:fill="FFFFFF"/>
            <w:noWrap/>
            <w:vAlign w:val="center"/>
            <w:hideMark/>
          </w:tcPr>
          <w:p w14:paraId="706F0C51" w14:textId="28528673" w:rsidR="00CA46F4" w:rsidRPr="00AB139A" w:rsidRDefault="002E5E90" w:rsidP="00CA46F4">
            <w:pPr>
              <w:spacing w:after="0" w:line="240" w:lineRule="auto"/>
              <w:jc w:val="center"/>
              <w:rPr>
                <w:rFonts w:eastAsia="Times New Roman" w:cs="Times New Roman"/>
                <w:kern w:val="0"/>
              </w:rPr>
            </w:pPr>
            <w:r w:rsidRPr="00AB139A">
              <w:rPr>
                <w:rFonts w:eastAsia="Times New Roman" w:cs="Times New Roman"/>
                <w:kern w:val="0"/>
              </w:rPr>
              <w:t>8.3</w:t>
            </w:r>
          </w:p>
        </w:tc>
        <w:tc>
          <w:tcPr>
            <w:tcW w:w="1710" w:type="dxa"/>
            <w:shd w:val="clear" w:color="000000" w:fill="FFFFFF"/>
            <w:noWrap/>
            <w:vAlign w:val="center"/>
            <w:hideMark/>
          </w:tcPr>
          <w:p w14:paraId="6F3867CC" w14:textId="00FC9FE1"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9</w:t>
            </w:r>
            <w:r w:rsidR="002E5E90" w:rsidRPr="00AB139A">
              <w:rPr>
                <w:rFonts w:eastAsia="Times New Roman" w:cs="Times New Roman"/>
                <w:kern w:val="0"/>
              </w:rPr>
              <w:t>67</w:t>
            </w:r>
          </w:p>
        </w:tc>
        <w:tc>
          <w:tcPr>
            <w:tcW w:w="1620" w:type="dxa"/>
            <w:shd w:val="clear" w:color="000000" w:fill="FFFFFF"/>
            <w:noWrap/>
            <w:vAlign w:val="center"/>
            <w:hideMark/>
          </w:tcPr>
          <w:p w14:paraId="61F2FE5C" w14:textId="768E33C1"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7</w:t>
            </w:r>
            <w:r w:rsidR="002E5E90" w:rsidRPr="00AB139A">
              <w:rPr>
                <w:rFonts w:eastAsia="Times New Roman" w:cs="Times New Roman"/>
                <w:kern w:val="0"/>
              </w:rPr>
              <w:t>4</w:t>
            </w:r>
          </w:p>
        </w:tc>
      </w:tr>
      <w:tr w:rsidR="00CA46F4" w:rsidRPr="00CA46F4" w14:paraId="08778A21" w14:textId="77777777" w:rsidTr="00CA46F4">
        <w:trPr>
          <w:trHeight w:val="300"/>
          <w:jc w:val="center"/>
        </w:trPr>
        <w:tc>
          <w:tcPr>
            <w:tcW w:w="2520" w:type="dxa"/>
            <w:shd w:val="clear" w:color="auto" w:fill="D9D9D9" w:themeFill="background1" w:themeFillShade="D9"/>
            <w:noWrap/>
            <w:vAlign w:val="center"/>
            <w:hideMark/>
          </w:tcPr>
          <w:p w14:paraId="392E2B07" w14:textId="48647C15"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 xml:space="preserve">Gas Steam </w:t>
            </w:r>
          </w:p>
        </w:tc>
        <w:tc>
          <w:tcPr>
            <w:tcW w:w="2160" w:type="dxa"/>
            <w:shd w:val="clear" w:color="auto" w:fill="D9D9D9" w:themeFill="background1" w:themeFillShade="D9"/>
            <w:noWrap/>
            <w:vAlign w:val="center"/>
            <w:hideMark/>
          </w:tcPr>
          <w:p w14:paraId="3B357AE5" w14:textId="51F91881"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14.</w:t>
            </w:r>
            <w:r w:rsidR="002E5E90" w:rsidRPr="00AB139A">
              <w:rPr>
                <w:rFonts w:eastAsia="Times New Roman" w:cs="Times New Roman"/>
                <w:kern w:val="0"/>
              </w:rPr>
              <w:t>0</w:t>
            </w:r>
          </w:p>
        </w:tc>
        <w:tc>
          <w:tcPr>
            <w:tcW w:w="1710" w:type="dxa"/>
            <w:shd w:val="clear" w:color="auto" w:fill="D9D9D9" w:themeFill="background1" w:themeFillShade="D9"/>
            <w:noWrap/>
            <w:vAlign w:val="center"/>
            <w:hideMark/>
          </w:tcPr>
          <w:p w14:paraId="0DB86462" w14:textId="5C2DF5C3"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6</w:t>
            </w:r>
            <w:r w:rsidR="002E5E90" w:rsidRPr="00AB139A">
              <w:rPr>
                <w:rFonts w:eastAsia="Times New Roman" w:cs="Times New Roman"/>
                <w:kern w:val="0"/>
              </w:rPr>
              <w:t>87</w:t>
            </w:r>
          </w:p>
        </w:tc>
        <w:tc>
          <w:tcPr>
            <w:tcW w:w="1620" w:type="dxa"/>
            <w:shd w:val="clear" w:color="auto" w:fill="D9D9D9" w:themeFill="background1" w:themeFillShade="D9"/>
            <w:noWrap/>
            <w:vAlign w:val="center"/>
            <w:hideMark/>
          </w:tcPr>
          <w:p w14:paraId="75EFB820" w14:textId="6A3A1F11" w:rsidR="00CA46F4" w:rsidRPr="00AB139A" w:rsidRDefault="002E5E90" w:rsidP="00CA46F4">
            <w:pPr>
              <w:spacing w:after="0" w:line="240" w:lineRule="auto"/>
              <w:jc w:val="center"/>
              <w:rPr>
                <w:rFonts w:eastAsia="Times New Roman" w:cs="Times New Roman"/>
                <w:kern w:val="0"/>
              </w:rPr>
            </w:pPr>
            <w:r w:rsidRPr="00AB139A">
              <w:rPr>
                <w:rFonts w:eastAsia="Times New Roman" w:cs="Times New Roman"/>
                <w:kern w:val="0"/>
              </w:rPr>
              <w:t>58</w:t>
            </w:r>
          </w:p>
        </w:tc>
      </w:tr>
      <w:tr w:rsidR="00CA46F4" w:rsidRPr="00CA46F4" w14:paraId="437F91AF" w14:textId="77777777" w:rsidTr="0009094A">
        <w:trPr>
          <w:trHeight w:val="300"/>
          <w:jc w:val="center"/>
        </w:trPr>
        <w:tc>
          <w:tcPr>
            <w:tcW w:w="2520" w:type="dxa"/>
            <w:shd w:val="clear" w:color="auto" w:fill="auto"/>
            <w:noWrap/>
            <w:vAlign w:val="center"/>
            <w:hideMark/>
          </w:tcPr>
          <w:p w14:paraId="4DD3DD44" w14:textId="77777777"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Coal</w:t>
            </w:r>
          </w:p>
        </w:tc>
        <w:tc>
          <w:tcPr>
            <w:tcW w:w="2160" w:type="dxa"/>
            <w:shd w:val="clear" w:color="auto" w:fill="auto"/>
            <w:noWrap/>
            <w:vAlign w:val="center"/>
            <w:hideMark/>
          </w:tcPr>
          <w:p w14:paraId="53DC581D" w14:textId="2C9655E0" w:rsidR="00CA46F4" w:rsidRPr="00AB139A" w:rsidRDefault="002E5E90" w:rsidP="00CA46F4">
            <w:pPr>
              <w:spacing w:after="0" w:line="240" w:lineRule="auto"/>
              <w:jc w:val="center"/>
              <w:rPr>
                <w:rFonts w:eastAsia="Times New Roman" w:cs="Times New Roman"/>
                <w:kern w:val="0"/>
              </w:rPr>
            </w:pPr>
            <w:r w:rsidRPr="00AB139A">
              <w:rPr>
                <w:rFonts w:eastAsia="Times New Roman" w:cs="Times New Roman"/>
                <w:kern w:val="0"/>
              </w:rPr>
              <w:t>5.9</w:t>
            </w:r>
          </w:p>
        </w:tc>
        <w:tc>
          <w:tcPr>
            <w:tcW w:w="1710" w:type="dxa"/>
            <w:shd w:val="clear" w:color="auto" w:fill="auto"/>
            <w:noWrap/>
            <w:vAlign w:val="center"/>
            <w:hideMark/>
          </w:tcPr>
          <w:p w14:paraId="472D2547" w14:textId="672F6E02"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833</w:t>
            </w:r>
          </w:p>
        </w:tc>
        <w:tc>
          <w:tcPr>
            <w:tcW w:w="1620" w:type="dxa"/>
            <w:shd w:val="clear" w:color="auto" w:fill="auto"/>
            <w:noWrap/>
            <w:vAlign w:val="center"/>
            <w:hideMark/>
          </w:tcPr>
          <w:p w14:paraId="29FBFF58" w14:textId="1E692CD2" w:rsidR="00CA46F4" w:rsidRPr="00AB139A" w:rsidRDefault="002E5E90" w:rsidP="00CA46F4">
            <w:pPr>
              <w:spacing w:after="0" w:line="240" w:lineRule="auto"/>
              <w:jc w:val="center"/>
              <w:rPr>
                <w:rFonts w:eastAsia="Times New Roman" w:cs="Times New Roman"/>
                <w:kern w:val="0"/>
              </w:rPr>
            </w:pPr>
            <w:r w:rsidRPr="00AB139A">
              <w:rPr>
                <w:rFonts w:eastAsia="Times New Roman" w:cs="Times New Roman"/>
                <w:kern w:val="0"/>
              </w:rPr>
              <w:t>39</w:t>
            </w:r>
          </w:p>
        </w:tc>
      </w:tr>
      <w:tr w:rsidR="00CA46F4" w:rsidRPr="00CA46F4" w14:paraId="408E5883" w14:textId="77777777" w:rsidTr="0009094A">
        <w:trPr>
          <w:trHeight w:val="300"/>
          <w:jc w:val="center"/>
        </w:trPr>
        <w:tc>
          <w:tcPr>
            <w:tcW w:w="2520" w:type="dxa"/>
            <w:tcBorders>
              <w:bottom w:val="single" w:sz="4" w:space="0" w:color="auto"/>
            </w:tcBorders>
            <w:shd w:val="clear" w:color="auto" w:fill="D9D9D9" w:themeFill="background1" w:themeFillShade="D9"/>
            <w:noWrap/>
            <w:vAlign w:val="center"/>
            <w:hideMark/>
          </w:tcPr>
          <w:p w14:paraId="1004C1B1" w14:textId="77777777"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Nuclear</w:t>
            </w:r>
          </w:p>
        </w:tc>
        <w:tc>
          <w:tcPr>
            <w:tcW w:w="2160" w:type="dxa"/>
            <w:tcBorders>
              <w:bottom w:val="single" w:sz="4" w:space="0" w:color="auto"/>
            </w:tcBorders>
            <w:shd w:val="clear" w:color="auto" w:fill="D9D9D9" w:themeFill="background1" w:themeFillShade="D9"/>
            <w:noWrap/>
            <w:vAlign w:val="center"/>
            <w:hideMark/>
          </w:tcPr>
          <w:p w14:paraId="218751FC" w14:textId="77777777" w:rsidR="00CA46F4" w:rsidRPr="00AB139A" w:rsidRDefault="00CA46F4" w:rsidP="00CA46F4">
            <w:pPr>
              <w:spacing w:after="0" w:line="240" w:lineRule="auto"/>
              <w:jc w:val="center"/>
              <w:rPr>
                <w:rFonts w:eastAsia="Times New Roman" w:cs="Times New Roman"/>
                <w:kern w:val="0"/>
              </w:rPr>
            </w:pPr>
            <w:r w:rsidRPr="00AB139A">
              <w:rPr>
                <w:rFonts w:eastAsia="Times New Roman" w:cs="Times New Roman"/>
                <w:kern w:val="0"/>
              </w:rPr>
              <w:t>0.2</w:t>
            </w:r>
          </w:p>
        </w:tc>
        <w:tc>
          <w:tcPr>
            <w:tcW w:w="1710" w:type="dxa"/>
            <w:tcBorders>
              <w:bottom w:val="single" w:sz="4" w:space="0" w:color="auto"/>
            </w:tcBorders>
            <w:shd w:val="clear" w:color="auto" w:fill="D9D9D9" w:themeFill="background1" w:themeFillShade="D9"/>
            <w:noWrap/>
            <w:vAlign w:val="center"/>
            <w:hideMark/>
          </w:tcPr>
          <w:p w14:paraId="5F60EA3D" w14:textId="43E941D7" w:rsidR="00CA46F4" w:rsidRPr="00AB139A" w:rsidRDefault="001B3476" w:rsidP="00CA46F4">
            <w:pPr>
              <w:spacing w:after="0" w:line="240" w:lineRule="auto"/>
              <w:jc w:val="center"/>
              <w:rPr>
                <w:rFonts w:eastAsia="Times New Roman" w:cs="Times New Roman"/>
                <w:kern w:val="0"/>
              </w:rPr>
            </w:pPr>
            <w:r w:rsidRPr="00AB139A">
              <w:rPr>
                <w:rFonts w:eastAsia="Times New Roman" w:cs="Times New Roman"/>
                <w:kern w:val="0"/>
              </w:rPr>
              <w:t>16,467</w:t>
            </w:r>
          </w:p>
        </w:tc>
        <w:tc>
          <w:tcPr>
            <w:tcW w:w="1620" w:type="dxa"/>
            <w:tcBorders>
              <w:bottom w:val="single" w:sz="4" w:space="0" w:color="auto"/>
            </w:tcBorders>
            <w:shd w:val="clear" w:color="auto" w:fill="D9D9D9" w:themeFill="background1" w:themeFillShade="D9"/>
            <w:noWrap/>
            <w:vAlign w:val="center"/>
            <w:hideMark/>
          </w:tcPr>
          <w:p w14:paraId="2407211F" w14:textId="31346BB7" w:rsidR="00CA46F4" w:rsidRPr="00AB139A" w:rsidRDefault="001B3476" w:rsidP="00CA46F4">
            <w:pPr>
              <w:spacing w:after="0" w:line="240" w:lineRule="auto"/>
              <w:jc w:val="center"/>
              <w:rPr>
                <w:rFonts w:eastAsia="Times New Roman" w:cs="Times New Roman"/>
                <w:kern w:val="0"/>
              </w:rPr>
            </w:pPr>
            <w:r w:rsidRPr="00AB139A">
              <w:rPr>
                <w:rFonts w:eastAsia="Times New Roman" w:cs="Times New Roman"/>
                <w:kern w:val="0"/>
              </w:rPr>
              <w:t>33</w:t>
            </w:r>
            <w:r w:rsidR="002E5E90" w:rsidRPr="00AB139A">
              <w:rPr>
                <w:rFonts w:eastAsia="Times New Roman" w:cs="Times New Roman"/>
                <w:kern w:val="0"/>
              </w:rPr>
              <w:t>0</w:t>
            </w:r>
          </w:p>
        </w:tc>
      </w:tr>
      <w:tr w:rsidR="00CA46F4" w:rsidRPr="00CA46F4" w14:paraId="6255CC84" w14:textId="77777777" w:rsidTr="00CA46F4">
        <w:trPr>
          <w:trHeight w:val="315"/>
          <w:jc w:val="center"/>
        </w:trPr>
        <w:tc>
          <w:tcPr>
            <w:tcW w:w="2520" w:type="dxa"/>
            <w:tcBorders>
              <w:top w:val="single" w:sz="4" w:space="0" w:color="auto"/>
              <w:bottom w:val="single" w:sz="4" w:space="0" w:color="auto"/>
            </w:tcBorders>
            <w:shd w:val="clear" w:color="000000" w:fill="FFFFFF"/>
            <w:noWrap/>
            <w:vAlign w:val="center"/>
            <w:hideMark/>
          </w:tcPr>
          <w:p w14:paraId="2FE6608C" w14:textId="77777777" w:rsidR="00CA46F4" w:rsidRPr="00AB139A" w:rsidRDefault="00CA46F4" w:rsidP="00CA46F4">
            <w:pPr>
              <w:spacing w:after="0" w:line="240" w:lineRule="auto"/>
              <w:jc w:val="center"/>
              <w:rPr>
                <w:rFonts w:eastAsia="Times New Roman" w:cs="Times New Roman"/>
                <w:b/>
                <w:bCs/>
                <w:kern w:val="0"/>
              </w:rPr>
            </w:pPr>
            <w:r w:rsidRPr="00AB139A">
              <w:rPr>
                <w:rFonts w:eastAsia="Times New Roman" w:cs="Times New Roman"/>
                <w:b/>
                <w:bCs/>
                <w:kern w:val="0"/>
              </w:rPr>
              <w:t>Fleet Weighted Average</w:t>
            </w:r>
          </w:p>
        </w:tc>
        <w:tc>
          <w:tcPr>
            <w:tcW w:w="2160" w:type="dxa"/>
            <w:tcBorders>
              <w:top w:val="single" w:sz="4" w:space="0" w:color="auto"/>
              <w:bottom w:val="single" w:sz="4" w:space="0" w:color="auto"/>
            </w:tcBorders>
            <w:shd w:val="clear" w:color="000000" w:fill="FFFFFF"/>
            <w:noWrap/>
            <w:vAlign w:val="center"/>
            <w:hideMark/>
          </w:tcPr>
          <w:p w14:paraId="3412B539" w14:textId="431528FE" w:rsidR="00CA46F4" w:rsidRPr="00AB139A" w:rsidRDefault="002E5E90" w:rsidP="00CA46F4">
            <w:pPr>
              <w:spacing w:after="0" w:line="240" w:lineRule="auto"/>
              <w:jc w:val="center"/>
              <w:rPr>
                <w:rFonts w:eastAsia="Times New Roman" w:cs="Times New Roman"/>
                <w:b/>
                <w:bCs/>
                <w:kern w:val="0"/>
              </w:rPr>
            </w:pPr>
            <w:r w:rsidRPr="00AB139A">
              <w:rPr>
                <w:rFonts w:eastAsia="Times New Roman" w:cs="Times New Roman"/>
                <w:b/>
                <w:bCs/>
                <w:kern w:val="0"/>
              </w:rPr>
              <w:t>5.9</w:t>
            </w:r>
          </w:p>
        </w:tc>
        <w:tc>
          <w:tcPr>
            <w:tcW w:w="1710" w:type="dxa"/>
            <w:tcBorders>
              <w:top w:val="single" w:sz="4" w:space="0" w:color="auto"/>
              <w:bottom w:val="single" w:sz="4" w:space="0" w:color="auto"/>
            </w:tcBorders>
            <w:shd w:val="clear" w:color="000000" w:fill="FFFFFF"/>
            <w:noWrap/>
            <w:vAlign w:val="center"/>
            <w:hideMark/>
          </w:tcPr>
          <w:p w14:paraId="4CBF27CB" w14:textId="6DB55A51" w:rsidR="00CA46F4" w:rsidRPr="00AB139A" w:rsidRDefault="00CA46F4" w:rsidP="00CA46F4">
            <w:pPr>
              <w:spacing w:after="0" w:line="240" w:lineRule="auto"/>
              <w:jc w:val="center"/>
              <w:rPr>
                <w:rFonts w:eastAsia="Times New Roman" w:cs="Times New Roman"/>
                <w:kern w:val="0"/>
              </w:rPr>
            </w:pPr>
          </w:p>
        </w:tc>
        <w:tc>
          <w:tcPr>
            <w:tcW w:w="1620" w:type="dxa"/>
            <w:tcBorders>
              <w:top w:val="single" w:sz="4" w:space="0" w:color="auto"/>
              <w:bottom w:val="single" w:sz="4" w:space="0" w:color="auto"/>
            </w:tcBorders>
            <w:shd w:val="clear" w:color="000000" w:fill="FFFFFF"/>
            <w:noWrap/>
            <w:vAlign w:val="center"/>
            <w:hideMark/>
          </w:tcPr>
          <w:p w14:paraId="5C6679A6" w14:textId="6156CB49" w:rsidR="00CA46F4" w:rsidRPr="00AB139A" w:rsidRDefault="00CA46F4" w:rsidP="00CA46F4">
            <w:pPr>
              <w:spacing w:after="0" w:line="240" w:lineRule="auto"/>
              <w:jc w:val="center"/>
              <w:rPr>
                <w:rFonts w:eastAsia="Times New Roman" w:cs="Times New Roman"/>
                <w:kern w:val="0"/>
              </w:rPr>
            </w:pPr>
          </w:p>
        </w:tc>
      </w:tr>
    </w:tbl>
    <w:p w14:paraId="55E6B3E8" w14:textId="4C02BED0" w:rsidR="004B58AD" w:rsidRPr="00CA46F4" w:rsidRDefault="004B58AD" w:rsidP="002A2715">
      <w:pPr>
        <w:pStyle w:val="BGNotesFiguresTables"/>
        <w:keepNext/>
        <w:tabs>
          <w:tab w:val="left" w:pos="270"/>
          <w:tab w:val="left" w:pos="990"/>
          <w:tab w:val="left" w:pos="1080"/>
          <w:tab w:val="left" w:pos="1620"/>
          <w:tab w:val="left" w:pos="9090"/>
        </w:tabs>
        <w:spacing w:before="0" w:after="240"/>
        <w:ind w:left="1980" w:right="586" w:hanging="1260"/>
        <w:jc w:val="left"/>
        <w:rPr>
          <w:rFonts w:cstheme="minorHAnsi"/>
          <w:color w:val="auto"/>
        </w:rPr>
      </w:pPr>
      <w:r w:rsidRPr="006C4BC1">
        <w:rPr>
          <w:i/>
          <w:color w:val="auto"/>
        </w:rPr>
        <w:t>Sources and Notes:</w:t>
      </w:r>
      <w:r w:rsidR="00CA46F4">
        <w:rPr>
          <w:rFonts w:cstheme="minorHAnsi"/>
          <w:color w:val="auto"/>
        </w:rPr>
        <w:t xml:space="preserve"> </w:t>
      </w:r>
      <w:r w:rsidRPr="006C4BC1">
        <w:rPr>
          <w:color w:val="auto"/>
        </w:rPr>
        <w:t>Parameter distributions based on t</w:t>
      </w:r>
      <w:r w:rsidR="006C4BC1" w:rsidRPr="006C4BC1">
        <w:rPr>
          <w:color w:val="auto"/>
        </w:rPr>
        <w:t>wo</w:t>
      </w:r>
      <w:r w:rsidRPr="006C4BC1">
        <w:rPr>
          <w:color w:val="auto"/>
        </w:rPr>
        <w:t xml:space="preserve"> years (201</w:t>
      </w:r>
      <w:r w:rsidR="006C4BC1" w:rsidRPr="006C4BC1">
        <w:rPr>
          <w:color w:val="auto"/>
        </w:rPr>
        <w:t>8</w:t>
      </w:r>
      <w:r w:rsidRPr="006C4BC1">
        <w:rPr>
          <w:color w:val="auto"/>
        </w:rPr>
        <w:t>-201</w:t>
      </w:r>
      <w:r w:rsidR="006C4BC1" w:rsidRPr="006C4BC1">
        <w:rPr>
          <w:color w:val="auto"/>
        </w:rPr>
        <w:t>9</w:t>
      </w:r>
      <w:r w:rsidRPr="006C4BC1">
        <w:rPr>
          <w:color w:val="auto"/>
        </w:rPr>
        <w:t>) of unit-specific GADS data and asset class</w:t>
      </w:r>
      <w:r w:rsidR="00CA46F4">
        <w:rPr>
          <w:color w:val="auto"/>
        </w:rPr>
        <w:t xml:space="preserve"> </w:t>
      </w:r>
      <w:r w:rsidRPr="006C4BC1">
        <w:rPr>
          <w:color w:val="auto"/>
        </w:rPr>
        <w:t>average outage rates from ERCOT.</w:t>
      </w:r>
    </w:p>
    <w:p w14:paraId="0E90A98B" w14:textId="23A33603" w:rsidR="004B58AD" w:rsidRDefault="004B58AD" w:rsidP="002A2715">
      <w:pPr>
        <w:pStyle w:val="Heading3"/>
        <w:numPr>
          <w:ilvl w:val="0"/>
          <w:numId w:val="19"/>
        </w:numPr>
        <w:spacing w:before="240"/>
      </w:pPr>
      <w:bookmarkStart w:id="423" w:name="_Ref523220229"/>
      <w:bookmarkStart w:id="424" w:name="_Toc525079614"/>
      <w:bookmarkStart w:id="425" w:name="_Toc525851041"/>
      <w:bookmarkStart w:id="426" w:name="_Toc525938072"/>
      <w:bookmarkStart w:id="427" w:name="_Toc526279134"/>
      <w:bookmarkStart w:id="428" w:name="_Toc526437286"/>
      <w:bookmarkStart w:id="429" w:name="_Toc526437473"/>
      <w:bookmarkStart w:id="430" w:name="_Toc526439929"/>
      <w:bookmarkStart w:id="431" w:name="_Toc526440039"/>
      <w:bookmarkStart w:id="432" w:name="_Toc532834317"/>
      <w:bookmarkStart w:id="433" w:name="_Toc57193590"/>
      <w:r>
        <w:t>Private Use Networks</w:t>
      </w:r>
      <w:bookmarkEnd w:id="423"/>
      <w:bookmarkEnd w:id="424"/>
      <w:bookmarkEnd w:id="425"/>
      <w:bookmarkEnd w:id="426"/>
      <w:bookmarkEnd w:id="427"/>
      <w:bookmarkEnd w:id="428"/>
      <w:bookmarkEnd w:id="429"/>
      <w:bookmarkEnd w:id="430"/>
      <w:bookmarkEnd w:id="431"/>
      <w:bookmarkEnd w:id="432"/>
      <w:bookmarkEnd w:id="433"/>
    </w:p>
    <w:p w14:paraId="5EC5004D" w14:textId="6BAD4ED7" w:rsidR="004B58AD" w:rsidRPr="00C042FC" w:rsidRDefault="004B58AD" w:rsidP="004B58AD">
      <w:pPr>
        <w:pStyle w:val="BGNormal125"/>
        <w:rPr>
          <w:rFonts w:ascii="Calibri" w:hAnsi="Calibri" w:cs="Calibri"/>
          <w:color w:val="C00000"/>
          <w:sz w:val="22"/>
          <w:szCs w:val="22"/>
        </w:rPr>
      </w:pPr>
      <w:r w:rsidRPr="00EF44CF">
        <w:rPr>
          <w:rFonts w:ascii="Calibri" w:hAnsi="Calibri" w:cs="Calibri"/>
          <w:color w:val="auto"/>
          <w:sz w:val="22"/>
          <w:szCs w:val="22"/>
        </w:rPr>
        <w:t xml:space="preserve">We represent generation from Private Use Networks (PUNs) in ERCOT on a net generation basis, where the net output increases with the system portion of peak load consistent with historical data and as summarized in </w:t>
      </w:r>
      <w:r w:rsidRPr="00EF44CF">
        <w:rPr>
          <w:rFonts w:ascii="Calibri" w:hAnsi="Calibri" w:cs="Calibri"/>
          <w:color w:val="auto"/>
          <w:sz w:val="22"/>
          <w:szCs w:val="22"/>
        </w:rPr>
        <w:fldChar w:fldCharType="begin"/>
      </w:r>
      <w:r w:rsidRPr="00EF44CF">
        <w:rPr>
          <w:rFonts w:ascii="Calibri" w:hAnsi="Calibri" w:cs="Calibri"/>
          <w:color w:val="auto"/>
          <w:sz w:val="22"/>
          <w:szCs w:val="22"/>
        </w:rPr>
        <w:instrText xml:space="preserve"> REF _Ref377473208 \h </w:instrText>
      </w:r>
      <w:r w:rsidR="00C042FC" w:rsidRPr="00EF44CF">
        <w:rPr>
          <w:rFonts w:ascii="Calibri" w:hAnsi="Calibri" w:cs="Calibri"/>
          <w:color w:val="auto"/>
          <w:sz w:val="22"/>
          <w:szCs w:val="22"/>
        </w:rPr>
        <w:instrText xml:space="preserve"> \* MERGEFORMAT </w:instrText>
      </w:r>
      <w:r w:rsidRPr="00EF44CF">
        <w:rPr>
          <w:rFonts w:ascii="Calibri" w:hAnsi="Calibri" w:cs="Calibri"/>
          <w:color w:val="auto"/>
          <w:sz w:val="22"/>
          <w:szCs w:val="22"/>
        </w:rPr>
      </w:r>
      <w:r w:rsidRPr="00EF44CF">
        <w:rPr>
          <w:rFonts w:ascii="Calibri" w:hAnsi="Calibri" w:cs="Calibri"/>
          <w:color w:val="auto"/>
          <w:sz w:val="22"/>
          <w:szCs w:val="22"/>
        </w:rPr>
        <w:fldChar w:fldCharType="separate"/>
      </w:r>
      <w:r w:rsidRPr="00EF44CF">
        <w:rPr>
          <w:rFonts w:ascii="Calibri" w:hAnsi="Calibri" w:cs="Calibri"/>
          <w:color w:val="auto"/>
          <w:sz w:val="22"/>
          <w:szCs w:val="22"/>
        </w:rPr>
        <w:t>Figure A1-</w:t>
      </w:r>
      <w:r w:rsidRPr="00EF44CF">
        <w:rPr>
          <w:rFonts w:ascii="Calibri" w:hAnsi="Calibri" w:cs="Calibri"/>
          <w:noProof/>
          <w:color w:val="auto"/>
          <w:sz w:val="22"/>
          <w:szCs w:val="22"/>
        </w:rPr>
        <w:t>3</w:t>
      </w:r>
      <w:r w:rsidRPr="00EF44CF">
        <w:rPr>
          <w:rFonts w:ascii="Calibri" w:hAnsi="Calibri" w:cs="Calibri"/>
          <w:color w:val="auto"/>
          <w:sz w:val="22"/>
          <w:szCs w:val="22"/>
        </w:rPr>
        <w:fldChar w:fldCharType="end"/>
      </w:r>
      <w:r w:rsidRPr="00EF44CF">
        <w:rPr>
          <w:rFonts w:ascii="Calibri" w:hAnsi="Calibri" w:cs="Calibri"/>
          <w:color w:val="auto"/>
          <w:sz w:val="22"/>
          <w:szCs w:val="22"/>
        </w:rPr>
        <w:t xml:space="preserve">.  </w:t>
      </w:r>
      <w:r w:rsidRPr="00AB139A">
        <w:rPr>
          <w:rFonts w:ascii="Calibri" w:hAnsi="Calibri" w:cs="Calibri"/>
          <w:color w:val="auto"/>
          <w:sz w:val="22"/>
          <w:szCs w:val="22"/>
        </w:rPr>
        <w:t>At any given load, the realized net PUN generation has a probabilistic quantity, with 1</w:t>
      </w:r>
      <w:r w:rsidR="00EF44CF" w:rsidRPr="00AB139A">
        <w:rPr>
          <w:rFonts w:ascii="Calibri" w:hAnsi="Calibri" w:cs="Calibri"/>
          <w:color w:val="auto"/>
          <w:sz w:val="22"/>
          <w:szCs w:val="22"/>
        </w:rPr>
        <w:t>0</w:t>
      </w:r>
      <w:r w:rsidRPr="00AB139A">
        <w:rPr>
          <w:rFonts w:ascii="Calibri" w:hAnsi="Calibri" w:cs="Calibri"/>
          <w:color w:val="auto"/>
          <w:sz w:val="22"/>
          <w:szCs w:val="22"/>
        </w:rPr>
        <w:t xml:space="preserve"> different possible quantities of net generation within each of 1</w:t>
      </w:r>
      <w:r w:rsidR="00EF44CF" w:rsidRPr="00AB139A">
        <w:rPr>
          <w:rFonts w:ascii="Calibri" w:hAnsi="Calibri" w:cs="Calibri"/>
          <w:color w:val="auto"/>
          <w:sz w:val="22"/>
          <w:szCs w:val="22"/>
        </w:rPr>
        <w:t>0</w:t>
      </w:r>
      <w:r w:rsidRPr="00AB139A">
        <w:rPr>
          <w:rFonts w:ascii="Calibri" w:hAnsi="Calibri" w:cs="Calibri"/>
          <w:color w:val="auto"/>
          <w:sz w:val="22"/>
          <w:szCs w:val="22"/>
        </w:rPr>
        <w:t xml:space="preserve"> different bands of system load.</w:t>
      </w:r>
      <w:r w:rsidRPr="00AB139A">
        <w:rPr>
          <w:rStyle w:val="FootnoteReference"/>
          <w:rFonts w:ascii="Calibri" w:hAnsi="Calibri" w:cs="Calibri"/>
          <w:color w:val="auto"/>
          <w:sz w:val="22"/>
          <w:szCs w:val="22"/>
        </w:rPr>
        <w:footnoteReference w:id="44"/>
      </w:r>
      <w:r w:rsidRPr="00AB139A">
        <w:rPr>
          <w:rFonts w:ascii="Calibri" w:hAnsi="Calibri" w:cs="Calibri"/>
          <w:color w:val="auto"/>
          <w:sz w:val="22"/>
          <w:szCs w:val="22"/>
        </w:rPr>
        <w:t xml:space="preserve">  Each of the 1</w:t>
      </w:r>
      <w:r w:rsidR="00EF44CF" w:rsidRPr="00AB139A">
        <w:rPr>
          <w:rFonts w:ascii="Calibri" w:hAnsi="Calibri" w:cs="Calibri"/>
          <w:color w:val="auto"/>
          <w:sz w:val="22"/>
          <w:szCs w:val="22"/>
        </w:rPr>
        <w:t>0</w:t>
      </w:r>
      <w:r w:rsidRPr="00AB139A">
        <w:rPr>
          <w:rFonts w:ascii="Calibri" w:hAnsi="Calibri" w:cs="Calibri"/>
          <w:color w:val="auto"/>
          <w:sz w:val="22"/>
          <w:szCs w:val="22"/>
        </w:rPr>
        <w:t xml:space="preserve"> possible quantities has an equal </w:t>
      </w:r>
      <w:r w:rsidR="001B3476" w:rsidRPr="00AB139A">
        <w:rPr>
          <w:rFonts w:ascii="Calibri" w:hAnsi="Calibri" w:cs="Calibri"/>
          <w:color w:val="auto"/>
          <w:sz w:val="22"/>
          <w:szCs w:val="22"/>
        </w:rPr>
        <w:t>10</w:t>
      </w:r>
      <w:r w:rsidRPr="00AB139A">
        <w:rPr>
          <w:rFonts w:ascii="Calibri" w:hAnsi="Calibri" w:cs="Calibri"/>
          <w:color w:val="auto"/>
          <w:sz w:val="22"/>
          <w:szCs w:val="22"/>
        </w:rPr>
        <w:t xml:space="preserve">% chance of materializing, although </w:t>
      </w:r>
      <w:r w:rsidRPr="00EF44CF">
        <w:rPr>
          <w:rFonts w:ascii="Calibri" w:hAnsi="Calibri" w:cs="Calibri"/>
          <w:color w:val="auto"/>
          <w:sz w:val="22"/>
          <w:szCs w:val="22"/>
        </w:rPr>
        <w:fldChar w:fldCharType="begin"/>
      </w:r>
      <w:r w:rsidRPr="00EF44CF">
        <w:rPr>
          <w:rFonts w:ascii="Calibri" w:hAnsi="Calibri" w:cs="Calibri"/>
          <w:color w:val="auto"/>
          <w:sz w:val="22"/>
          <w:szCs w:val="22"/>
        </w:rPr>
        <w:instrText xml:space="preserve"> REF _Ref377473208 \h </w:instrText>
      </w:r>
      <w:r w:rsidR="00C042FC" w:rsidRPr="00EF44CF">
        <w:rPr>
          <w:rFonts w:ascii="Calibri" w:hAnsi="Calibri" w:cs="Calibri"/>
          <w:color w:val="auto"/>
          <w:sz w:val="22"/>
          <w:szCs w:val="22"/>
        </w:rPr>
        <w:instrText xml:space="preserve"> \* MERGEFORMAT </w:instrText>
      </w:r>
      <w:r w:rsidRPr="00EF44CF">
        <w:rPr>
          <w:rFonts w:ascii="Calibri" w:hAnsi="Calibri" w:cs="Calibri"/>
          <w:color w:val="auto"/>
          <w:sz w:val="22"/>
          <w:szCs w:val="22"/>
        </w:rPr>
      </w:r>
      <w:r w:rsidRPr="00EF44CF">
        <w:rPr>
          <w:rFonts w:ascii="Calibri" w:hAnsi="Calibri" w:cs="Calibri"/>
          <w:color w:val="auto"/>
          <w:sz w:val="22"/>
          <w:szCs w:val="22"/>
        </w:rPr>
        <w:fldChar w:fldCharType="separate"/>
      </w:r>
      <w:r w:rsidRPr="00EF44CF">
        <w:rPr>
          <w:rFonts w:ascii="Calibri" w:hAnsi="Calibri" w:cs="Calibri"/>
          <w:color w:val="auto"/>
          <w:sz w:val="22"/>
          <w:szCs w:val="22"/>
        </w:rPr>
        <w:t>Figure A1-</w:t>
      </w:r>
      <w:r w:rsidRPr="00EF44CF">
        <w:rPr>
          <w:rFonts w:ascii="Calibri" w:hAnsi="Calibri" w:cs="Calibri"/>
          <w:noProof/>
          <w:color w:val="auto"/>
          <w:sz w:val="22"/>
          <w:szCs w:val="22"/>
        </w:rPr>
        <w:t>3</w:t>
      </w:r>
      <w:r w:rsidRPr="00EF44CF">
        <w:rPr>
          <w:rFonts w:ascii="Calibri" w:hAnsi="Calibri" w:cs="Calibri"/>
          <w:color w:val="auto"/>
          <w:sz w:val="22"/>
          <w:szCs w:val="22"/>
        </w:rPr>
        <w:fldChar w:fldCharType="end"/>
      </w:r>
      <w:r w:rsidRPr="00EF44CF">
        <w:rPr>
          <w:rFonts w:ascii="Calibri" w:hAnsi="Calibri" w:cs="Calibri"/>
          <w:color w:val="auto"/>
          <w:sz w:val="22"/>
          <w:szCs w:val="22"/>
        </w:rPr>
        <w:t xml:space="preserve"> reports only the lowest, median, and highest possible quantity.  We developed this probabilistic net PUN supply curve based on aggregate hourly historical net output data within each range of peak load percentage.  During</w:t>
      </w:r>
      <w:r w:rsidRPr="00EF44CF" w:rsidDel="00914B8B">
        <w:rPr>
          <w:rFonts w:ascii="Calibri" w:hAnsi="Calibri" w:cs="Calibri"/>
          <w:color w:val="auto"/>
          <w:sz w:val="22"/>
          <w:szCs w:val="22"/>
        </w:rPr>
        <w:t xml:space="preserve"> </w:t>
      </w:r>
      <w:r w:rsidRPr="00EF44CF">
        <w:rPr>
          <w:rFonts w:ascii="Calibri" w:hAnsi="Calibri" w:cs="Calibri"/>
          <w:color w:val="auto"/>
          <w:sz w:val="22"/>
          <w:szCs w:val="22"/>
        </w:rPr>
        <w:t xml:space="preserve">scarcity conditions with load at or above 93% of normal peak load, PUN output produces at least </w:t>
      </w:r>
      <w:r w:rsidR="00EF44CF" w:rsidRPr="00EF44CF">
        <w:rPr>
          <w:rFonts w:ascii="Calibri" w:hAnsi="Calibri" w:cs="Calibri"/>
          <w:color w:val="auto"/>
          <w:sz w:val="22"/>
          <w:szCs w:val="22"/>
        </w:rPr>
        <w:t xml:space="preserve">2,776 </w:t>
      </w:r>
      <w:r w:rsidRPr="00EF44CF">
        <w:rPr>
          <w:rFonts w:ascii="Calibri" w:hAnsi="Calibri" w:cs="Calibri"/>
          <w:color w:val="auto"/>
          <w:sz w:val="22"/>
          <w:szCs w:val="22"/>
        </w:rPr>
        <w:t>MW of net generation with an average of 3,6</w:t>
      </w:r>
      <w:r w:rsidR="00EF44CF" w:rsidRPr="00EF44CF">
        <w:rPr>
          <w:rFonts w:ascii="Calibri" w:hAnsi="Calibri" w:cs="Calibri"/>
          <w:color w:val="auto"/>
          <w:sz w:val="22"/>
          <w:szCs w:val="22"/>
        </w:rPr>
        <w:t>91</w:t>
      </w:r>
      <w:r w:rsidRPr="00EF44CF">
        <w:rPr>
          <w:rFonts w:ascii="Calibri" w:hAnsi="Calibri" w:cs="Calibri"/>
          <w:color w:val="auto"/>
          <w:sz w:val="22"/>
          <w:szCs w:val="22"/>
        </w:rPr>
        <w:t xml:space="preserve"> MW.</w:t>
      </w:r>
    </w:p>
    <w:p w14:paraId="46A97CC3" w14:textId="4D3A0105" w:rsidR="004B58AD" w:rsidRDefault="004B58AD" w:rsidP="008B0478">
      <w:pPr>
        <w:pStyle w:val="BGNormal125"/>
        <w:spacing w:after="240"/>
        <w:rPr>
          <w:rFonts w:ascii="Calibri" w:hAnsi="Calibri" w:cs="Calibri"/>
          <w:color w:val="auto"/>
          <w:sz w:val="22"/>
          <w:szCs w:val="22"/>
        </w:rPr>
      </w:pPr>
      <w:r w:rsidRPr="00EF44CF">
        <w:rPr>
          <w:rFonts w:ascii="Calibri" w:hAnsi="Calibri" w:cs="Calibri"/>
          <w:color w:val="auto"/>
          <w:sz w:val="22"/>
          <w:szCs w:val="22"/>
        </w:rPr>
        <w:t>We observe a pattern of availability and responsiveness consistent with: (a) gross generation, much of which is fully integrated into ERCOT’s economic dispatch and security constrained economic dispatch (SCED), resulting in substantial increases in the expected quantities over moderate price levels, minus (b) gross load, which introduces some probabilistic uncertainty around net generation, minus (c) some apparent load price-responsiveness, which likely contributes to some small additional increase in net PUN generation at very high prices.</w:t>
      </w:r>
    </w:p>
    <w:p w14:paraId="4545EA11" w14:textId="5BA1AAD1" w:rsidR="000F0C8B" w:rsidRDefault="000F0C8B" w:rsidP="008B0478">
      <w:pPr>
        <w:pStyle w:val="BGNormal125"/>
        <w:spacing w:after="240"/>
        <w:rPr>
          <w:rFonts w:ascii="Calibri" w:hAnsi="Calibri" w:cs="Calibri"/>
          <w:color w:val="auto"/>
          <w:sz w:val="22"/>
          <w:szCs w:val="22"/>
        </w:rPr>
      </w:pPr>
    </w:p>
    <w:p w14:paraId="6422EFDC" w14:textId="77777777" w:rsidR="000F0C8B" w:rsidRPr="00EF44CF" w:rsidRDefault="000F0C8B" w:rsidP="008B0478">
      <w:pPr>
        <w:pStyle w:val="BGNormal125"/>
        <w:spacing w:after="240"/>
        <w:rPr>
          <w:rFonts w:ascii="Calibri" w:hAnsi="Calibri" w:cs="Calibri"/>
          <w:color w:val="auto"/>
          <w:sz w:val="22"/>
          <w:szCs w:val="22"/>
        </w:rPr>
      </w:pPr>
    </w:p>
    <w:p w14:paraId="6F24292B" w14:textId="7C8547E0" w:rsidR="004B58AD" w:rsidRPr="00EF44CF" w:rsidRDefault="004B58AD" w:rsidP="00C042FC">
      <w:pPr>
        <w:pStyle w:val="Caption"/>
        <w:jc w:val="center"/>
        <w:rPr>
          <w:rFonts w:cs="Calibri"/>
          <w:b/>
          <w:bCs/>
          <w:i w:val="0"/>
          <w:iCs w:val="0"/>
          <w:color w:val="auto"/>
          <w:sz w:val="22"/>
          <w:szCs w:val="22"/>
        </w:rPr>
      </w:pPr>
      <w:bookmarkStart w:id="434" w:name="_Ref377473208"/>
      <w:r w:rsidRPr="00EF44CF">
        <w:rPr>
          <w:rFonts w:cs="Calibri"/>
          <w:b/>
          <w:bCs/>
          <w:i w:val="0"/>
          <w:iCs w:val="0"/>
          <w:color w:val="auto"/>
          <w:sz w:val="22"/>
          <w:szCs w:val="22"/>
        </w:rPr>
        <w:t>Figure A1-</w:t>
      </w:r>
      <w:r w:rsidRPr="00EF44CF">
        <w:rPr>
          <w:rFonts w:cs="Calibri"/>
          <w:b/>
          <w:bCs/>
          <w:i w:val="0"/>
          <w:iCs w:val="0"/>
          <w:noProof/>
          <w:color w:val="auto"/>
          <w:sz w:val="22"/>
          <w:szCs w:val="22"/>
        </w:rPr>
        <w:fldChar w:fldCharType="begin"/>
      </w:r>
      <w:r w:rsidRPr="00EF44CF">
        <w:rPr>
          <w:rFonts w:cs="Calibri"/>
          <w:b/>
          <w:bCs/>
          <w:i w:val="0"/>
          <w:iCs w:val="0"/>
          <w:noProof/>
          <w:color w:val="auto"/>
          <w:sz w:val="22"/>
          <w:szCs w:val="22"/>
        </w:rPr>
        <w:instrText xml:space="preserve"> SEQ Figure_A1- \* ARABIC </w:instrText>
      </w:r>
      <w:r w:rsidRPr="00EF44CF">
        <w:rPr>
          <w:rFonts w:cs="Calibri"/>
          <w:b/>
          <w:bCs/>
          <w:i w:val="0"/>
          <w:iCs w:val="0"/>
          <w:noProof/>
          <w:color w:val="auto"/>
          <w:sz w:val="22"/>
          <w:szCs w:val="22"/>
        </w:rPr>
        <w:fldChar w:fldCharType="separate"/>
      </w:r>
      <w:r w:rsidRPr="00EF44CF">
        <w:rPr>
          <w:rFonts w:cs="Calibri"/>
          <w:b/>
          <w:bCs/>
          <w:i w:val="0"/>
          <w:iCs w:val="0"/>
          <w:noProof/>
          <w:color w:val="auto"/>
          <w:sz w:val="22"/>
          <w:szCs w:val="22"/>
        </w:rPr>
        <w:t>3</w:t>
      </w:r>
      <w:r w:rsidRPr="00EF44CF">
        <w:rPr>
          <w:rFonts w:cs="Calibri"/>
          <w:b/>
          <w:bCs/>
          <w:i w:val="0"/>
          <w:iCs w:val="0"/>
          <w:noProof/>
          <w:color w:val="auto"/>
          <w:sz w:val="22"/>
          <w:szCs w:val="22"/>
        </w:rPr>
        <w:fldChar w:fldCharType="end"/>
      </w:r>
      <w:bookmarkEnd w:id="434"/>
      <w:r w:rsidR="00C042FC" w:rsidRPr="00EF44CF">
        <w:rPr>
          <w:rFonts w:cs="Calibri"/>
          <w:b/>
          <w:bCs/>
          <w:i w:val="0"/>
          <w:iCs w:val="0"/>
          <w:noProof/>
          <w:color w:val="auto"/>
          <w:sz w:val="22"/>
          <w:szCs w:val="22"/>
        </w:rPr>
        <w:t xml:space="preserve">. </w:t>
      </w:r>
      <w:r w:rsidRPr="00EF44CF">
        <w:rPr>
          <w:rFonts w:cs="Calibri"/>
          <w:b/>
          <w:bCs/>
          <w:i w:val="0"/>
          <w:iCs w:val="0"/>
          <w:color w:val="auto"/>
          <w:sz w:val="22"/>
          <w:szCs w:val="22"/>
        </w:rPr>
        <w:t>PUN Net Generation</w:t>
      </w:r>
    </w:p>
    <w:p w14:paraId="594C38C7" w14:textId="6689CF50" w:rsidR="004B58AD" w:rsidRPr="009B4421" w:rsidRDefault="00EF44CF" w:rsidP="004B58AD">
      <w:pPr>
        <w:pStyle w:val="BGInsertGraphic"/>
        <w:keepNext/>
        <w:rPr>
          <w:color w:val="auto"/>
        </w:rPr>
      </w:pPr>
      <w:r>
        <w:rPr>
          <w:noProof/>
          <w:color w:val="auto"/>
        </w:rPr>
        <w:drawing>
          <wp:inline distT="0" distB="0" distL="0" distR="0" wp14:anchorId="393F228E" wp14:editId="296E3FDA">
            <wp:extent cx="4260570" cy="4675505"/>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65527" cy="4680945"/>
                    </a:xfrm>
                    <a:prstGeom prst="rect">
                      <a:avLst/>
                    </a:prstGeom>
                    <a:noFill/>
                  </pic:spPr>
                </pic:pic>
              </a:graphicData>
            </a:graphic>
          </wp:inline>
        </w:drawing>
      </w:r>
    </w:p>
    <w:p w14:paraId="5C2B0255" w14:textId="77777777" w:rsidR="004B58AD" w:rsidRPr="00EF44CF" w:rsidRDefault="004B58AD" w:rsidP="004B58AD">
      <w:pPr>
        <w:pStyle w:val="BGNotesFiguresTables"/>
        <w:keepNext/>
        <w:tabs>
          <w:tab w:val="left" w:pos="450"/>
          <w:tab w:val="left" w:pos="1170"/>
          <w:tab w:val="left" w:pos="9090"/>
        </w:tabs>
        <w:spacing w:before="0"/>
        <w:ind w:left="1800" w:right="1170" w:hanging="450"/>
        <w:jc w:val="left"/>
        <w:rPr>
          <w:rFonts w:cs="Calibri"/>
          <w:color w:val="auto"/>
        </w:rPr>
      </w:pPr>
      <w:r w:rsidRPr="00EF44CF">
        <w:rPr>
          <w:rFonts w:cs="Calibri"/>
          <w:i/>
          <w:color w:val="auto"/>
        </w:rPr>
        <w:t>Sources and Notes:</w:t>
      </w:r>
    </w:p>
    <w:p w14:paraId="79056120" w14:textId="77777777" w:rsidR="004B58AD" w:rsidRPr="00EF44CF" w:rsidRDefault="004B58AD" w:rsidP="004B58AD">
      <w:pPr>
        <w:pStyle w:val="sourcesandnotes"/>
        <w:tabs>
          <w:tab w:val="left" w:pos="1170"/>
          <w:tab w:val="left" w:pos="1530"/>
          <w:tab w:val="left" w:pos="8820"/>
        </w:tabs>
        <w:ind w:left="1800" w:right="1170" w:hanging="446"/>
        <w:rPr>
          <w:rFonts w:ascii="Calibri" w:hAnsi="Calibri" w:cs="Calibri"/>
          <w:color w:val="auto"/>
        </w:rPr>
      </w:pPr>
      <w:r w:rsidRPr="00EF44CF">
        <w:rPr>
          <w:rFonts w:ascii="Calibri" w:hAnsi="Calibri" w:cs="Calibri"/>
          <w:color w:val="auto"/>
        </w:rPr>
        <w:t xml:space="preserve"> </w:t>
      </w:r>
      <w:r w:rsidRPr="00EF44CF">
        <w:rPr>
          <w:rFonts w:ascii="Calibri" w:hAnsi="Calibri" w:cs="Calibri"/>
          <w:color w:val="auto"/>
        </w:rPr>
        <w:tab/>
        <w:t>Hourly net PUN output data gathered from ERCOT, hourly load data from Velocity Suite, ABB Inc.</w:t>
      </w:r>
    </w:p>
    <w:p w14:paraId="5E6BF831" w14:textId="62FF251F" w:rsidR="004B58AD" w:rsidRPr="00C042FC" w:rsidRDefault="004B58AD" w:rsidP="004B58AD">
      <w:pPr>
        <w:pStyle w:val="sourcesandnotes"/>
        <w:keepNext w:val="0"/>
        <w:tabs>
          <w:tab w:val="left" w:pos="1170"/>
          <w:tab w:val="left" w:pos="1530"/>
          <w:tab w:val="left" w:pos="8820"/>
        </w:tabs>
        <w:ind w:left="1800" w:right="1166" w:hanging="446"/>
        <w:rPr>
          <w:rFonts w:ascii="Calibri" w:hAnsi="Calibri" w:cs="Calibri"/>
          <w:color w:val="C00000"/>
        </w:rPr>
      </w:pPr>
      <w:r w:rsidRPr="00EF44CF">
        <w:rPr>
          <w:rFonts w:ascii="Calibri" w:hAnsi="Calibri" w:cs="Calibri"/>
          <w:color w:val="auto"/>
        </w:rPr>
        <w:tab/>
        <w:t xml:space="preserve">Individual data points represent summary of data in a </w:t>
      </w:r>
      <w:r w:rsidRPr="001B3476">
        <w:rPr>
          <w:rFonts w:ascii="Calibri" w:hAnsi="Calibri" w:cs="Calibri"/>
          <w:color w:val="auto"/>
        </w:rPr>
        <w:t>series of data binned by system load level, within e</w:t>
      </w:r>
      <w:r w:rsidRPr="00E45392">
        <w:rPr>
          <w:rFonts w:ascii="Calibri" w:hAnsi="Calibri" w:cs="Calibri"/>
          <w:color w:val="auto"/>
        </w:rPr>
        <w:t xml:space="preserve">ach load bin, the points on the chart represent the lowest </w:t>
      </w:r>
      <w:r w:rsidR="001B3476" w:rsidRPr="00AB139A">
        <w:rPr>
          <w:rFonts w:ascii="Calibri" w:hAnsi="Calibri" w:cs="Calibri"/>
          <w:color w:val="auto"/>
        </w:rPr>
        <w:t>10</w:t>
      </w:r>
      <w:r w:rsidRPr="00AB139A">
        <w:rPr>
          <w:rFonts w:ascii="Calibri" w:hAnsi="Calibri" w:cs="Calibri"/>
          <w:color w:val="auto"/>
        </w:rPr>
        <w:t xml:space="preserve">%, middle </w:t>
      </w:r>
      <w:r w:rsidR="001B3476" w:rsidRPr="00AB139A">
        <w:rPr>
          <w:rFonts w:ascii="Calibri" w:hAnsi="Calibri" w:cs="Calibri"/>
          <w:color w:val="auto"/>
        </w:rPr>
        <w:t>10</w:t>
      </w:r>
      <w:r w:rsidRPr="00AB139A">
        <w:rPr>
          <w:rFonts w:ascii="Calibri" w:hAnsi="Calibri" w:cs="Calibri"/>
          <w:color w:val="auto"/>
        </w:rPr>
        <w:t xml:space="preserve">%, and top </w:t>
      </w:r>
      <w:r w:rsidR="001B3476" w:rsidRPr="00AB139A">
        <w:rPr>
          <w:rFonts w:ascii="Calibri" w:hAnsi="Calibri" w:cs="Calibri"/>
          <w:color w:val="auto"/>
        </w:rPr>
        <w:t>10</w:t>
      </w:r>
      <w:r w:rsidRPr="00AB139A">
        <w:rPr>
          <w:rFonts w:ascii="Calibri" w:hAnsi="Calibri" w:cs="Calibri"/>
          <w:color w:val="auto"/>
        </w:rPr>
        <w:t>%</w:t>
      </w:r>
      <w:r w:rsidRPr="001B3476">
        <w:rPr>
          <w:rFonts w:ascii="Calibri" w:hAnsi="Calibri" w:cs="Calibri"/>
          <w:color w:val="auto"/>
        </w:rPr>
        <w:t xml:space="preserve"> of realized quantities in 2012 to 20</w:t>
      </w:r>
      <w:r w:rsidR="00EF44CF" w:rsidRPr="00E45392">
        <w:rPr>
          <w:rFonts w:ascii="Calibri" w:hAnsi="Calibri" w:cs="Calibri"/>
          <w:color w:val="auto"/>
        </w:rPr>
        <w:t>20</w:t>
      </w:r>
      <w:r w:rsidRPr="00E45392">
        <w:rPr>
          <w:rFonts w:ascii="Calibri" w:hAnsi="Calibri" w:cs="Calibri"/>
          <w:color w:val="auto"/>
        </w:rPr>
        <w:t xml:space="preserve">. </w:t>
      </w:r>
    </w:p>
    <w:p w14:paraId="6F1D5B78" w14:textId="41F40F6E" w:rsidR="004B58AD" w:rsidRDefault="004B58AD" w:rsidP="00FA0DFD">
      <w:pPr>
        <w:pStyle w:val="Heading3"/>
        <w:numPr>
          <w:ilvl w:val="0"/>
          <w:numId w:val="19"/>
        </w:numPr>
      </w:pPr>
      <w:bookmarkStart w:id="435" w:name="_Toc525079615"/>
      <w:bookmarkStart w:id="436" w:name="_Toc525851042"/>
      <w:bookmarkStart w:id="437" w:name="_Toc525938073"/>
      <w:bookmarkStart w:id="438" w:name="_Toc526279135"/>
      <w:bookmarkStart w:id="439" w:name="_Toc526437287"/>
      <w:bookmarkStart w:id="440" w:name="_Toc526437474"/>
      <w:bookmarkStart w:id="441" w:name="_Toc526439930"/>
      <w:bookmarkStart w:id="442" w:name="_Toc526440040"/>
      <w:bookmarkStart w:id="443" w:name="_Toc532834318"/>
      <w:bookmarkStart w:id="444" w:name="_Toc57193591"/>
      <w:r>
        <w:t>Intermittent Wind and Solar</w:t>
      </w:r>
      <w:bookmarkEnd w:id="435"/>
      <w:bookmarkEnd w:id="436"/>
      <w:bookmarkEnd w:id="437"/>
      <w:bookmarkEnd w:id="438"/>
      <w:bookmarkEnd w:id="439"/>
      <w:bookmarkEnd w:id="440"/>
      <w:bookmarkEnd w:id="441"/>
      <w:bookmarkEnd w:id="442"/>
      <w:bookmarkEnd w:id="443"/>
      <w:bookmarkEnd w:id="444"/>
    </w:p>
    <w:p w14:paraId="544B0B78" w14:textId="7ABBAC55" w:rsidR="004B58AD" w:rsidRPr="006B0781" w:rsidRDefault="004B58AD" w:rsidP="004B58AD">
      <w:pPr>
        <w:pStyle w:val="BGNormal125"/>
        <w:rPr>
          <w:rFonts w:ascii="Calibri" w:hAnsi="Calibri" w:cs="Calibri"/>
          <w:color w:val="auto"/>
          <w:sz w:val="22"/>
          <w:szCs w:val="22"/>
        </w:rPr>
      </w:pPr>
      <w:r w:rsidRPr="006B0781">
        <w:rPr>
          <w:rFonts w:ascii="Calibri" w:hAnsi="Calibri" w:cs="Calibri"/>
          <w:color w:val="auto"/>
          <w:sz w:val="22"/>
          <w:szCs w:val="22"/>
        </w:rPr>
        <w:t>We model a total quantity of intermittent wind and solar photovoltaic resources that reflects what ERCOT reported to NERC for its 20</w:t>
      </w:r>
      <w:r w:rsidR="00E87913" w:rsidRPr="006B0781">
        <w:rPr>
          <w:rFonts w:ascii="Calibri" w:hAnsi="Calibri" w:cs="Calibri"/>
          <w:color w:val="auto"/>
          <w:sz w:val="22"/>
          <w:szCs w:val="22"/>
        </w:rPr>
        <w:t>20</w:t>
      </w:r>
      <w:r w:rsidRPr="006B0781">
        <w:rPr>
          <w:rFonts w:ascii="Calibri" w:hAnsi="Calibri" w:cs="Calibri"/>
          <w:color w:val="auto"/>
          <w:sz w:val="22"/>
          <w:szCs w:val="22"/>
        </w:rPr>
        <w:t xml:space="preserve"> LTRA report, including the installed capacity of all existing and planned resources as of 202</w:t>
      </w:r>
      <w:r w:rsidR="00E87913" w:rsidRPr="006B0781">
        <w:rPr>
          <w:rFonts w:ascii="Calibri" w:hAnsi="Calibri" w:cs="Calibri"/>
          <w:color w:val="auto"/>
          <w:sz w:val="22"/>
          <w:szCs w:val="22"/>
        </w:rPr>
        <w:t>4</w:t>
      </w:r>
      <w:r w:rsidRPr="006B0781">
        <w:rPr>
          <w:rFonts w:ascii="Calibri" w:hAnsi="Calibri" w:cs="Calibri"/>
          <w:color w:val="auto"/>
          <w:sz w:val="22"/>
          <w:szCs w:val="22"/>
        </w:rPr>
        <w:t>.</w:t>
      </w:r>
      <w:r w:rsidRPr="006B0781">
        <w:rPr>
          <w:rStyle w:val="FootnoteReference"/>
          <w:rFonts w:ascii="Calibri" w:hAnsi="Calibri" w:cs="Calibri"/>
          <w:color w:val="auto"/>
          <w:sz w:val="22"/>
          <w:szCs w:val="22"/>
        </w:rPr>
        <w:footnoteReference w:id="45"/>
      </w:r>
      <w:r w:rsidRPr="006B0781">
        <w:rPr>
          <w:rFonts w:ascii="Calibri" w:hAnsi="Calibri" w:cs="Calibri"/>
          <w:color w:val="auto"/>
          <w:sz w:val="22"/>
          <w:szCs w:val="22"/>
        </w:rPr>
        <w:t xml:space="preserve">  This includes 3</w:t>
      </w:r>
      <w:r w:rsidR="006B0781" w:rsidRPr="006B0781">
        <w:rPr>
          <w:rFonts w:ascii="Calibri" w:hAnsi="Calibri" w:cs="Calibri"/>
          <w:color w:val="auto"/>
          <w:sz w:val="22"/>
          <w:szCs w:val="22"/>
        </w:rPr>
        <w:t>7</w:t>
      </w:r>
      <w:r w:rsidRPr="006B0781">
        <w:rPr>
          <w:rFonts w:ascii="Calibri" w:hAnsi="Calibri" w:cs="Calibri"/>
          <w:color w:val="auto"/>
          <w:sz w:val="22"/>
          <w:szCs w:val="22"/>
        </w:rPr>
        <w:t>,</w:t>
      </w:r>
      <w:r w:rsidR="006B0781" w:rsidRPr="006B0781">
        <w:rPr>
          <w:rFonts w:ascii="Calibri" w:hAnsi="Calibri" w:cs="Calibri"/>
          <w:color w:val="auto"/>
          <w:sz w:val="22"/>
          <w:szCs w:val="22"/>
        </w:rPr>
        <w:t>396</w:t>
      </w:r>
      <w:r w:rsidRPr="006B0781">
        <w:rPr>
          <w:rFonts w:ascii="Calibri" w:hAnsi="Calibri" w:cs="Calibri"/>
          <w:color w:val="auto"/>
          <w:sz w:val="22"/>
          <w:szCs w:val="22"/>
        </w:rPr>
        <w:t xml:space="preserve"> MW nameplate capacity of wind and </w:t>
      </w:r>
      <w:r w:rsidR="006B0781" w:rsidRPr="006B0781">
        <w:rPr>
          <w:rFonts w:ascii="Calibri" w:hAnsi="Calibri" w:cs="Calibri"/>
          <w:color w:val="auto"/>
          <w:sz w:val="22"/>
          <w:szCs w:val="22"/>
        </w:rPr>
        <w:t>16</w:t>
      </w:r>
      <w:r w:rsidRPr="006B0781" w:rsidDel="00BC6A09">
        <w:rPr>
          <w:rFonts w:ascii="Calibri" w:hAnsi="Calibri" w:cs="Calibri"/>
          <w:color w:val="auto"/>
          <w:sz w:val="22"/>
          <w:szCs w:val="22"/>
        </w:rPr>
        <w:t>,</w:t>
      </w:r>
      <w:r w:rsidR="006B0781" w:rsidRPr="006B0781">
        <w:rPr>
          <w:rFonts w:ascii="Calibri" w:hAnsi="Calibri" w:cs="Calibri"/>
          <w:color w:val="auto"/>
          <w:sz w:val="22"/>
          <w:szCs w:val="22"/>
        </w:rPr>
        <w:t>001</w:t>
      </w:r>
      <w:r w:rsidRPr="006B0781">
        <w:rPr>
          <w:rFonts w:ascii="Calibri" w:hAnsi="Calibri" w:cs="Calibri"/>
          <w:color w:val="auto"/>
          <w:sz w:val="22"/>
          <w:szCs w:val="22"/>
        </w:rPr>
        <w:t xml:space="preserve"> MW nameplate of solar, with intermittent output based on hourly generation profiles that are specific to each weather year.</w:t>
      </w:r>
    </w:p>
    <w:p w14:paraId="5E03E49E" w14:textId="2D7C77C8" w:rsidR="004B58AD" w:rsidRPr="006B0781" w:rsidRDefault="004B58AD" w:rsidP="008B0478">
      <w:pPr>
        <w:pStyle w:val="BGNormal125"/>
        <w:spacing w:after="240"/>
        <w:rPr>
          <w:rFonts w:ascii="Calibri" w:hAnsi="Calibri" w:cs="Calibri"/>
          <w:color w:val="auto"/>
          <w:sz w:val="22"/>
          <w:szCs w:val="22"/>
        </w:rPr>
      </w:pPr>
      <w:r w:rsidRPr="006B0781">
        <w:rPr>
          <w:rFonts w:ascii="Calibri" w:hAnsi="Calibri" w:cs="Calibri"/>
          <w:color w:val="auto"/>
          <w:sz w:val="22"/>
          <w:szCs w:val="22"/>
        </w:rPr>
        <w:t xml:space="preserve">We developed our system-wide hourly wind profiles by aggregating </w:t>
      </w:r>
      <w:r w:rsidR="006B0781" w:rsidRPr="006B0781">
        <w:rPr>
          <w:rFonts w:ascii="Calibri" w:hAnsi="Calibri" w:cs="Calibri"/>
          <w:color w:val="auto"/>
          <w:sz w:val="22"/>
          <w:szCs w:val="22"/>
        </w:rPr>
        <w:t>40</w:t>
      </w:r>
      <w:r w:rsidRPr="006B0781">
        <w:rPr>
          <w:rFonts w:ascii="Calibri" w:hAnsi="Calibri" w:cs="Calibri"/>
          <w:color w:val="auto"/>
          <w:sz w:val="22"/>
          <w:szCs w:val="22"/>
        </w:rPr>
        <w:t xml:space="preserve"> years of synthesized hourly wind shapes for each location of individual units across the system wind shapes over 1980 to 201</w:t>
      </w:r>
      <w:r w:rsidR="006B0781" w:rsidRPr="006B0781">
        <w:rPr>
          <w:rFonts w:ascii="Calibri" w:hAnsi="Calibri" w:cs="Calibri"/>
          <w:color w:val="auto"/>
          <w:sz w:val="22"/>
          <w:szCs w:val="22"/>
        </w:rPr>
        <w:t>9</w:t>
      </w:r>
      <w:r w:rsidRPr="006B0781">
        <w:rPr>
          <w:rFonts w:ascii="Calibri" w:hAnsi="Calibri" w:cs="Calibri"/>
          <w:color w:val="auto"/>
          <w:sz w:val="22"/>
          <w:szCs w:val="22"/>
        </w:rPr>
        <w:t>, as provided by ERCOT staff.</w:t>
      </w:r>
      <w:r w:rsidRPr="006B0781">
        <w:rPr>
          <w:rStyle w:val="FootnoteReference"/>
          <w:rFonts w:ascii="Calibri" w:hAnsi="Calibri" w:cs="Calibri"/>
          <w:color w:val="auto"/>
          <w:sz w:val="22"/>
          <w:szCs w:val="22"/>
        </w:rPr>
        <w:footnoteReference w:id="46"/>
      </w:r>
      <w:r w:rsidRPr="006B0781">
        <w:rPr>
          <w:rFonts w:ascii="Calibri" w:hAnsi="Calibri" w:cs="Calibri"/>
          <w:color w:val="auto"/>
          <w:sz w:val="22"/>
          <w:szCs w:val="22"/>
        </w:rPr>
        <w:t xml:space="preserve">  </w:t>
      </w:r>
      <w:r w:rsidRPr="006B0781">
        <w:rPr>
          <w:rFonts w:ascii="Calibri" w:hAnsi="Calibri" w:cs="Calibri"/>
          <w:color w:val="auto"/>
          <w:sz w:val="22"/>
          <w:szCs w:val="22"/>
        </w:rPr>
        <w:fldChar w:fldCharType="begin"/>
      </w:r>
      <w:r w:rsidRPr="006B0781">
        <w:rPr>
          <w:rFonts w:ascii="Calibri" w:hAnsi="Calibri" w:cs="Calibri"/>
          <w:color w:val="auto"/>
          <w:sz w:val="22"/>
          <w:szCs w:val="22"/>
        </w:rPr>
        <w:instrText xml:space="preserve"> REF _Ref377655087 \h </w:instrText>
      </w:r>
      <w:r w:rsidR="00C042FC" w:rsidRPr="006B0781">
        <w:rPr>
          <w:rFonts w:ascii="Calibri" w:hAnsi="Calibri" w:cs="Calibri"/>
          <w:color w:val="auto"/>
          <w:sz w:val="22"/>
          <w:szCs w:val="22"/>
        </w:rPr>
        <w:instrText xml:space="preserve"> \* MERGEFORMAT </w:instrText>
      </w:r>
      <w:r w:rsidRPr="006B0781">
        <w:rPr>
          <w:rFonts w:ascii="Calibri" w:hAnsi="Calibri" w:cs="Calibri"/>
          <w:color w:val="auto"/>
          <w:sz w:val="22"/>
          <w:szCs w:val="22"/>
        </w:rPr>
      </w:r>
      <w:r w:rsidRPr="006B0781">
        <w:rPr>
          <w:rFonts w:ascii="Calibri" w:hAnsi="Calibri" w:cs="Calibri"/>
          <w:color w:val="auto"/>
          <w:sz w:val="22"/>
          <w:szCs w:val="22"/>
        </w:rPr>
        <w:fldChar w:fldCharType="separate"/>
      </w:r>
      <w:r w:rsidR="00C62005" w:rsidRPr="00C62005">
        <w:rPr>
          <w:rFonts w:ascii="Calibri" w:hAnsi="Calibri" w:cs="Calibri"/>
          <w:color w:val="auto"/>
          <w:sz w:val="22"/>
          <w:szCs w:val="22"/>
        </w:rPr>
        <w:t>Figure A1-4</w:t>
      </w:r>
      <w:r w:rsidRPr="006B0781">
        <w:rPr>
          <w:rFonts w:ascii="Calibri" w:hAnsi="Calibri" w:cs="Calibri"/>
          <w:color w:val="auto"/>
          <w:sz w:val="22"/>
          <w:szCs w:val="22"/>
        </w:rPr>
        <w:fldChar w:fldCharType="end"/>
      </w:r>
      <w:r w:rsidRPr="006B0781">
        <w:rPr>
          <w:rFonts w:ascii="Calibri" w:hAnsi="Calibri" w:cs="Calibri"/>
          <w:color w:val="auto"/>
          <w:sz w:val="22"/>
          <w:szCs w:val="22"/>
        </w:rPr>
        <w:t xml:space="preserve"> plots the average wind output by </w:t>
      </w:r>
      <w:r w:rsidR="00FF088B">
        <w:rPr>
          <w:rFonts w:ascii="Calibri" w:hAnsi="Calibri" w:cs="Calibri"/>
          <w:color w:val="auto"/>
          <w:sz w:val="22"/>
          <w:szCs w:val="22"/>
        </w:rPr>
        <w:t>season</w:t>
      </w:r>
      <w:r w:rsidR="00FF088B" w:rsidRPr="006B0781">
        <w:rPr>
          <w:rFonts w:ascii="Calibri" w:hAnsi="Calibri" w:cs="Calibri"/>
          <w:color w:val="auto"/>
          <w:sz w:val="22"/>
          <w:szCs w:val="22"/>
        </w:rPr>
        <w:t xml:space="preserve"> </w:t>
      </w:r>
      <w:r w:rsidRPr="006B0781">
        <w:rPr>
          <w:rFonts w:ascii="Calibri" w:hAnsi="Calibri" w:cs="Calibri"/>
          <w:color w:val="auto"/>
          <w:sz w:val="22"/>
          <w:szCs w:val="22"/>
        </w:rPr>
        <w:t>and time of day, showing the highest output overnight and in spring months with the lowest output in mid-day and in summer months.  The overall capacity factor for wind resources is 3</w:t>
      </w:r>
      <w:r w:rsidR="006B0781" w:rsidRPr="006B0781">
        <w:rPr>
          <w:rFonts w:ascii="Calibri" w:hAnsi="Calibri" w:cs="Calibri"/>
          <w:color w:val="auto"/>
          <w:sz w:val="22"/>
          <w:szCs w:val="22"/>
        </w:rPr>
        <w:t>6</w:t>
      </w:r>
      <w:r w:rsidRPr="006B0781">
        <w:rPr>
          <w:rFonts w:ascii="Calibri" w:hAnsi="Calibri" w:cs="Calibri"/>
          <w:color w:val="auto"/>
          <w:sz w:val="22"/>
          <w:szCs w:val="22"/>
        </w:rPr>
        <w:t>.</w:t>
      </w:r>
      <w:r w:rsidR="006B0781" w:rsidRPr="006B0781">
        <w:rPr>
          <w:rFonts w:ascii="Calibri" w:hAnsi="Calibri" w:cs="Calibri"/>
          <w:color w:val="auto"/>
          <w:sz w:val="22"/>
          <w:szCs w:val="22"/>
        </w:rPr>
        <w:t>4</w:t>
      </w:r>
      <w:r w:rsidRPr="006B0781">
        <w:rPr>
          <w:rFonts w:ascii="Calibri" w:hAnsi="Calibri" w:cs="Calibri"/>
          <w:color w:val="auto"/>
          <w:sz w:val="22"/>
          <w:szCs w:val="22"/>
        </w:rPr>
        <w:t xml:space="preserve">%; although we calculate reserve margins assuming an </w:t>
      </w:r>
      <w:r w:rsidR="000D61E5">
        <w:rPr>
          <w:rFonts w:ascii="Calibri" w:hAnsi="Calibri" w:cs="Calibri"/>
          <w:color w:val="auto"/>
          <w:sz w:val="22"/>
          <w:szCs w:val="22"/>
        </w:rPr>
        <w:t>ELCC</w:t>
      </w:r>
      <w:r w:rsidRPr="006B0781">
        <w:rPr>
          <w:rFonts w:ascii="Calibri" w:hAnsi="Calibri" w:cs="Calibri"/>
          <w:color w:val="auto"/>
          <w:sz w:val="22"/>
          <w:szCs w:val="22"/>
        </w:rPr>
        <w:t xml:space="preserve"> of </w:t>
      </w:r>
      <w:r w:rsidR="006B0781" w:rsidRPr="006B0781">
        <w:rPr>
          <w:rFonts w:ascii="Calibri" w:hAnsi="Calibri" w:cs="Calibri"/>
          <w:color w:val="auto"/>
          <w:sz w:val="22"/>
          <w:szCs w:val="22"/>
        </w:rPr>
        <w:t>63% for coastal wind, 29</w:t>
      </w:r>
      <w:r w:rsidRPr="006B0781">
        <w:rPr>
          <w:rFonts w:ascii="Calibri" w:hAnsi="Calibri" w:cs="Calibri"/>
          <w:color w:val="auto"/>
          <w:sz w:val="22"/>
          <w:szCs w:val="22"/>
        </w:rPr>
        <w:t xml:space="preserve">% for </w:t>
      </w:r>
      <w:r w:rsidR="006B0781" w:rsidRPr="006B0781">
        <w:rPr>
          <w:rFonts w:ascii="Calibri" w:hAnsi="Calibri" w:cs="Calibri"/>
          <w:color w:val="auto"/>
          <w:sz w:val="22"/>
          <w:szCs w:val="22"/>
        </w:rPr>
        <w:t>panhandle</w:t>
      </w:r>
      <w:r w:rsidRPr="006B0781">
        <w:rPr>
          <w:rFonts w:ascii="Calibri" w:hAnsi="Calibri" w:cs="Calibri"/>
          <w:color w:val="auto"/>
          <w:sz w:val="22"/>
          <w:szCs w:val="22"/>
        </w:rPr>
        <w:t xml:space="preserve"> wind</w:t>
      </w:r>
      <w:r w:rsidR="006B0781" w:rsidRPr="006B0781">
        <w:rPr>
          <w:rFonts w:ascii="Calibri" w:hAnsi="Calibri" w:cs="Calibri"/>
          <w:color w:val="auto"/>
          <w:sz w:val="22"/>
          <w:szCs w:val="22"/>
        </w:rPr>
        <w:t>,</w:t>
      </w:r>
      <w:r w:rsidRPr="006B0781">
        <w:rPr>
          <w:rFonts w:ascii="Calibri" w:hAnsi="Calibri" w:cs="Calibri"/>
          <w:color w:val="auto"/>
          <w:sz w:val="22"/>
          <w:szCs w:val="22"/>
        </w:rPr>
        <w:t xml:space="preserve"> and </w:t>
      </w:r>
      <w:r w:rsidR="006B0781" w:rsidRPr="006B0781">
        <w:rPr>
          <w:rFonts w:ascii="Calibri" w:hAnsi="Calibri" w:cs="Calibri"/>
          <w:color w:val="auto"/>
          <w:sz w:val="22"/>
          <w:szCs w:val="22"/>
        </w:rPr>
        <w:t>16</w:t>
      </w:r>
      <w:r w:rsidRPr="006B0781">
        <w:rPr>
          <w:rFonts w:ascii="Calibri" w:hAnsi="Calibri" w:cs="Calibri"/>
          <w:color w:val="auto"/>
          <w:sz w:val="22"/>
          <w:szCs w:val="22"/>
        </w:rPr>
        <w:t xml:space="preserve">% for </w:t>
      </w:r>
      <w:r w:rsidR="006B0781" w:rsidRPr="006B0781">
        <w:rPr>
          <w:rFonts w:ascii="Calibri" w:hAnsi="Calibri" w:cs="Calibri"/>
          <w:color w:val="auto"/>
          <w:sz w:val="22"/>
          <w:szCs w:val="22"/>
        </w:rPr>
        <w:t>other</w:t>
      </w:r>
      <w:r w:rsidRPr="006B0781">
        <w:rPr>
          <w:rFonts w:ascii="Calibri" w:hAnsi="Calibri" w:cs="Calibri"/>
          <w:color w:val="auto"/>
          <w:sz w:val="22"/>
          <w:szCs w:val="22"/>
        </w:rPr>
        <w:t xml:space="preserve"> wind, consistent with the ERCOT May 20</w:t>
      </w:r>
      <w:r w:rsidR="006B0781" w:rsidRPr="006B0781">
        <w:rPr>
          <w:rFonts w:ascii="Calibri" w:hAnsi="Calibri" w:cs="Calibri"/>
          <w:color w:val="auto"/>
          <w:sz w:val="22"/>
          <w:szCs w:val="22"/>
        </w:rPr>
        <w:t>20</w:t>
      </w:r>
      <w:r w:rsidRPr="006B0781">
        <w:rPr>
          <w:rFonts w:ascii="Calibri" w:hAnsi="Calibri" w:cs="Calibri"/>
          <w:color w:val="auto"/>
          <w:sz w:val="22"/>
          <w:szCs w:val="22"/>
        </w:rPr>
        <w:t xml:space="preserve"> CDR convention.</w:t>
      </w:r>
      <w:r w:rsidRPr="006B0781">
        <w:rPr>
          <w:rStyle w:val="FootnoteReference"/>
          <w:rFonts w:ascii="Calibri" w:hAnsi="Calibri" w:cs="Calibri"/>
          <w:color w:val="auto"/>
          <w:sz w:val="22"/>
          <w:szCs w:val="22"/>
        </w:rPr>
        <w:footnoteReference w:id="47"/>
      </w:r>
      <w:r w:rsidRPr="006B0781">
        <w:rPr>
          <w:rFonts w:ascii="Calibri" w:hAnsi="Calibri" w:cs="Calibri"/>
          <w:color w:val="auto"/>
          <w:sz w:val="22"/>
          <w:szCs w:val="22"/>
        </w:rPr>
        <w:t xml:space="preserve">  In EORM 201</w:t>
      </w:r>
      <w:r w:rsidR="006B0781" w:rsidRPr="006B0781">
        <w:rPr>
          <w:rFonts w:ascii="Calibri" w:hAnsi="Calibri" w:cs="Calibri"/>
          <w:color w:val="auto"/>
          <w:sz w:val="22"/>
          <w:szCs w:val="22"/>
        </w:rPr>
        <w:t>8</w:t>
      </w:r>
      <w:r w:rsidRPr="006B0781">
        <w:rPr>
          <w:rFonts w:ascii="Calibri" w:hAnsi="Calibri" w:cs="Calibri"/>
          <w:color w:val="auto"/>
          <w:sz w:val="22"/>
          <w:szCs w:val="22"/>
        </w:rPr>
        <w:t xml:space="preserve">, wind units </w:t>
      </w:r>
      <w:r w:rsidR="006B0781" w:rsidRPr="006B0781">
        <w:rPr>
          <w:rFonts w:ascii="Calibri" w:hAnsi="Calibri" w:cs="Calibri"/>
          <w:color w:val="auto"/>
          <w:sz w:val="22"/>
          <w:szCs w:val="22"/>
        </w:rPr>
        <w:t xml:space="preserve">were given an </w:t>
      </w:r>
      <w:r w:rsidR="000D61E5">
        <w:rPr>
          <w:rFonts w:ascii="Calibri" w:hAnsi="Calibri" w:cs="Calibri"/>
          <w:color w:val="auto"/>
          <w:sz w:val="22"/>
          <w:szCs w:val="22"/>
        </w:rPr>
        <w:t>ELCC</w:t>
      </w:r>
      <w:r w:rsidR="006B0781" w:rsidRPr="006B0781">
        <w:rPr>
          <w:rFonts w:ascii="Calibri" w:hAnsi="Calibri" w:cs="Calibri"/>
          <w:color w:val="auto"/>
          <w:sz w:val="22"/>
          <w:szCs w:val="22"/>
        </w:rPr>
        <w:t xml:space="preserve"> of 14% for non-coastal wind and 59% for coastal wind, consistent with the ERCOT May 2018 CDR convention</w:t>
      </w:r>
      <w:r w:rsidRPr="006B0781">
        <w:rPr>
          <w:rFonts w:ascii="Calibri" w:hAnsi="Calibri" w:cs="Calibri"/>
          <w:color w:val="auto"/>
          <w:sz w:val="22"/>
          <w:szCs w:val="22"/>
        </w:rPr>
        <w:t xml:space="preserve">.  </w:t>
      </w:r>
    </w:p>
    <w:p w14:paraId="56665C10" w14:textId="0D7BAB65" w:rsidR="004B58AD" w:rsidRPr="006B0781" w:rsidRDefault="004B58AD" w:rsidP="00C042FC">
      <w:pPr>
        <w:pStyle w:val="Caption"/>
        <w:jc w:val="center"/>
        <w:rPr>
          <w:rFonts w:cs="Calibri"/>
          <w:b/>
          <w:bCs/>
          <w:i w:val="0"/>
          <w:iCs w:val="0"/>
          <w:color w:val="auto"/>
          <w:sz w:val="22"/>
          <w:szCs w:val="22"/>
        </w:rPr>
      </w:pPr>
      <w:bookmarkStart w:id="445" w:name="_Ref377476789"/>
      <w:bookmarkStart w:id="446" w:name="_Ref377655087"/>
      <w:r w:rsidRPr="006B0781">
        <w:rPr>
          <w:rFonts w:cs="Calibri"/>
          <w:b/>
          <w:bCs/>
          <w:i w:val="0"/>
          <w:iCs w:val="0"/>
          <w:color w:val="auto"/>
          <w:sz w:val="22"/>
          <w:szCs w:val="22"/>
        </w:rPr>
        <w:t>Figure A1-</w:t>
      </w:r>
      <w:r w:rsidRPr="006B0781">
        <w:rPr>
          <w:rFonts w:cs="Calibri"/>
          <w:b/>
          <w:bCs/>
          <w:i w:val="0"/>
          <w:iCs w:val="0"/>
          <w:noProof/>
          <w:color w:val="auto"/>
          <w:sz w:val="22"/>
          <w:szCs w:val="22"/>
        </w:rPr>
        <w:fldChar w:fldCharType="begin"/>
      </w:r>
      <w:r w:rsidRPr="006B0781">
        <w:rPr>
          <w:rFonts w:cs="Calibri"/>
          <w:b/>
          <w:bCs/>
          <w:i w:val="0"/>
          <w:iCs w:val="0"/>
          <w:noProof/>
          <w:color w:val="auto"/>
          <w:sz w:val="22"/>
          <w:szCs w:val="22"/>
        </w:rPr>
        <w:instrText xml:space="preserve"> SEQ Figure_A1- \* ARABIC </w:instrText>
      </w:r>
      <w:r w:rsidRPr="006B0781">
        <w:rPr>
          <w:rFonts w:cs="Calibri"/>
          <w:b/>
          <w:bCs/>
          <w:i w:val="0"/>
          <w:iCs w:val="0"/>
          <w:noProof/>
          <w:color w:val="auto"/>
          <w:sz w:val="22"/>
          <w:szCs w:val="22"/>
        </w:rPr>
        <w:fldChar w:fldCharType="separate"/>
      </w:r>
      <w:r w:rsidRPr="006B0781">
        <w:rPr>
          <w:rFonts w:cs="Calibri"/>
          <w:b/>
          <w:bCs/>
          <w:i w:val="0"/>
          <w:iCs w:val="0"/>
          <w:noProof/>
          <w:color w:val="auto"/>
          <w:sz w:val="22"/>
          <w:szCs w:val="22"/>
        </w:rPr>
        <w:t>4</w:t>
      </w:r>
      <w:r w:rsidRPr="006B0781">
        <w:rPr>
          <w:rFonts w:cs="Calibri"/>
          <w:b/>
          <w:bCs/>
          <w:i w:val="0"/>
          <w:iCs w:val="0"/>
          <w:noProof/>
          <w:color w:val="auto"/>
          <w:sz w:val="22"/>
          <w:szCs w:val="22"/>
        </w:rPr>
        <w:fldChar w:fldCharType="end"/>
      </w:r>
      <w:bookmarkEnd w:id="445"/>
      <w:bookmarkEnd w:id="446"/>
      <w:r w:rsidR="00C042FC" w:rsidRPr="006B0781">
        <w:rPr>
          <w:rFonts w:cs="Calibri"/>
          <w:b/>
          <w:bCs/>
          <w:i w:val="0"/>
          <w:iCs w:val="0"/>
          <w:noProof/>
          <w:color w:val="auto"/>
          <w:sz w:val="22"/>
          <w:szCs w:val="22"/>
        </w:rPr>
        <w:t xml:space="preserve">. </w:t>
      </w:r>
      <w:r w:rsidRPr="006B0781">
        <w:rPr>
          <w:rFonts w:cs="Calibri"/>
          <w:b/>
          <w:bCs/>
          <w:i w:val="0"/>
          <w:iCs w:val="0"/>
          <w:color w:val="auto"/>
          <w:sz w:val="22"/>
          <w:szCs w:val="22"/>
        </w:rPr>
        <w:t>Average Wind Output by Month and Time of Day</w:t>
      </w:r>
    </w:p>
    <w:p w14:paraId="2FE6A369" w14:textId="650CA337" w:rsidR="004B58AD" w:rsidRPr="00A00FF4" w:rsidRDefault="004B58AD" w:rsidP="004B58AD">
      <w:pPr>
        <w:pStyle w:val="BGInsertGraphic"/>
      </w:pPr>
      <w:r w:rsidRPr="00CE388F">
        <w:rPr>
          <w:color w:val="auto"/>
        </w:rPr>
        <w:t xml:space="preserve"> </w:t>
      </w:r>
      <w:r w:rsidR="006B0781">
        <w:rPr>
          <w:noProof/>
          <w:color w:val="auto"/>
        </w:rPr>
        <w:drawing>
          <wp:inline distT="0" distB="0" distL="0" distR="0" wp14:anchorId="7F83E9C6" wp14:editId="5DA7A742">
            <wp:extent cx="3963035" cy="33978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6">
                      <a:extLst>
                        <a:ext uri="{28A0092B-C50C-407E-A947-70E740481C1C}">
                          <a14:useLocalDpi xmlns:a14="http://schemas.microsoft.com/office/drawing/2010/main" val="0"/>
                        </a:ext>
                      </a:extLst>
                    </a:blip>
                    <a:srcRect t="13985"/>
                    <a:stretch/>
                  </pic:blipFill>
                  <pic:spPr bwMode="auto">
                    <a:xfrm>
                      <a:off x="0" y="0"/>
                      <a:ext cx="3963035" cy="3397885"/>
                    </a:xfrm>
                    <a:prstGeom prst="rect">
                      <a:avLst/>
                    </a:prstGeom>
                    <a:noFill/>
                    <a:ln>
                      <a:noFill/>
                    </a:ln>
                    <a:extLst>
                      <a:ext uri="{53640926-AAD7-44D8-BBD7-CCE9431645EC}">
                        <a14:shadowObscured xmlns:a14="http://schemas.microsoft.com/office/drawing/2010/main"/>
                      </a:ext>
                    </a:extLst>
                  </pic:spPr>
                </pic:pic>
              </a:graphicData>
            </a:graphic>
          </wp:inline>
        </w:drawing>
      </w:r>
    </w:p>
    <w:p w14:paraId="3E17C591" w14:textId="77777777" w:rsidR="004B58AD" w:rsidRPr="006B0781" w:rsidRDefault="004B58AD" w:rsidP="004B58AD">
      <w:pPr>
        <w:pStyle w:val="BGNotesFiguresTables"/>
        <w:keepNext/>
        <w:tabs>
          <w:tab w:val="left" w:pos="1080"/>
          <w:tab w:val="left" w:pos="1260"/>
          <w:tab w:val="left" w:pos="9090"/>
        </w:tabs>
        <w:spacing w:before="0"/>
        <w:ind w:left="360" w:right="180" w:firstLine="540"/>
        <w:jc w:val="left"/>
        <w:rPr>
          <w:i/>
          <w:color w:val="auto"/>
        </w:rPr>
      </w:pPr>
      <w:r w:rsidRPr="006B0781">
        <w:rPr>
          <w:i/>
          <w:color w:val="auto"/>
        </w:rPr>
        <w:t xml:space="preserve">Sources and Notes: </w:t>
      </w:r>
    </w:p>
    <w:p w14:paraId="31031E06" w14:textId="5C67D075" w:rsidR="004B58AD" w:rsidRPr="006B0781" w:rsidRDefault="004B58AD" w:rsidP="004B58AD">
      <w:pPr>
        <w:pStyle w:val="BGNotesFiguresTables"/>
        <w:tabs>
          <w:tab w:val="left" w:pos="1260"/>
          <w:tab w:val="left" w:pos="8640"/>
        </w:tabs>
        <w:spacing w:before="0"/>
        <w:ind w:left="2160" w:right="1080" w:hanging="990"/>
        <w:jc w:val="left"/>
        <w:rPr>
          <w:color w:val="auto"/>
        </w:rPr>
      </w:pPr>
      <w:r w:rsidRPr="006B0781">
        <w:rPr>
          <w:color w:val="auto"/>
        </w:rPr>
        <w:t xml:space="preserve">Average of </w:t>
      </w:r>
      <w:r w:rsidR="006B0781" w:rsidRPr="006B0781">
        <w:rPr>
          <w:color w:val="auto"/>
        </w:rPr>
        <w:t>40</w:t>
      </w:r>
      <w:r w:rsidRPr="006B0781">
        <w:rPr>
          <w:color w:val="auto"/>
        </w:rPr>
        <w:t xml:space="preserve"> years’ hourly wind profiles provided by ERCOT, originally from UL (formerly AWS Truepower).</w:t>
      </w:r>
    </w:p>
    <w:p w14:paraId="5FA3978E" w14:textId="012122A3" w:rsidR="004B58AD" w:rsidRPr="006B0781" w:rsidRDefault="004B58AD" w:rsidP="004B58AD">
      <w:pPr>
        <w:pStyle w:val="BGNormal125"/>
        <w:rPr>
          <w:rFonts w:ascii="Calibri" w:hAnsi="Calibri" w:cs="Calibri"/>
          <w:color w:val="auto"/>
          <w:sz w:val="22"/>
          <w:szCs w:val="22"/>
        </w:rPr>
      </w:pPr>
      <w:r w:rsidRPr="006B0781">
        <w:rPr>
          <w:rFonts w:ascii="Calibri" w:hAnsi="Calibri" w:cs="Calibri"/>
          <w:color w:val="auto"/>
          <w:sz w:val="22"/>
          <w:szCs w:val="22"/>
        </w:rPr>
        <w:t>We similarly model hourly solar photovoltaic output based on hourly output profiles that are specific to each weather year, as aggregated from county-specific synthesized output profiles over years 19</w:t>
      </w:r>
      <w:r w:rsidR="006B0781" w:rsidRPr="006B0781">
        <w:rPr>
          <w:rFonts w:ascii="Calibri" w:hAnsi="Calibri" w:cs="Calibri"/>
          <w:color w:val="auto"/>
          <w:sz w:val="22"/>
          <w:szCs w:val="22"/>
        </w:rPr>
        <w:t>80</w:t>
      </w:r>
      <w:r w:rsidRPr="006B0781">
        <w:rPr>
          <w:rFonts w:ascii="Calibri" w:hAnsi="Calibri" w:cs="Calibri"/>
          <w:color w:val="auto"/>
          <w:sz w:val="22"/>
          <w:szCs w:val="22"/>
        </w:rPr>
        <w:t xml:space="preserve"> to 20</w:t>
      </w:r>
      <w:r w:rsidR="006B0781" w:rsidRPr="006B0781">
        <w:rPr>
          <w:rFonts w:ascii="Calibri" w:hAnsi="Calibri" w:cs="Calibri"/>
          <w:color w:val="auto"/>
          <w:sz w:val="22"/>
          <w:szCs w:val="22"/>
        </w:rPr>
        <w:t>19</w:t>
      </w:r>
      <w:r w:rsidRPr="006B0781">
        <w:rPr>
          <w:rFonts w:ascii="Calibri" w:hAnsi="Calibri" w:cs="Calibri"/>
          <w:color w:val="auto"/>
          <w:sz w:val="22"/>
          <w:szCs w:val="22"/>
        </w:rPr>
        <w:t>.</w:t>
      </w:r>
      <w:r w:rsidRPr="006B0781">
        <w:rPr>
          <w:rStyle w:val="FootnoteReference"/>
          <w:rFonts w:ascii="Calibri" w:hAnsi="Calibri" w:cs="Calibri"/>
          <w:color w:val="auto"/>
          <w:sz w:val="22"/>
          <w:szCs w:val="22"/>
        </w:rPr>
        <w:footnoteReference w:id="48"/>
      </w:r>
      <w:r w:rsidRPr="006B0781">
        <w:rPr>
          <w:rFonts w:ascii="Calibri" w:hAnsi="Calibri" w:cs="Calibri"/>
          <w:color w:val="auto"/>
          <w:sz w:val="22"/>
          <w:szCs w:val="22"/>
        </w:rPr>
        <w:t xml:space="preserve">  In aggregate, solar resources have a capacity factor of </w:t>
      </w:r>
      <w:r w:rsidR="006B0781" w:rsidRPr="006B0781">
        <w:rPr>
          <w:rFonts w:ascii="Calibri" w:hAnsi="Calibri" w:cs="Calibri"/>
          <w:color w:val="auto"/>
          <w:sz w:val="22"/>
          <w:szCs w:val="22"/>
        </w:rPr>
        <w:t>27.3</w:t>
      </w:r>
      <w:r w:rsidRPr="006B0781">
        <w:rPr>
          <w:rFonts w:ascii="Calibri" w:hAnsi="Calibri" w:cs="Calibri"/>
          <w:color w:val="auto"/>
          <w:sz w:val="22"/>
          <w:szCs w:val="22"/>
        </w:rPr>
        <w:t>% across all years, and we assign a 7</w:t>
      </w:r>
      <w:r w:rsidR="006B0781" w:rsidRPr="006B0781">
        <w:rPr>
          <w:rFonts w:ascii="Calibri" w:hAnsi="Calibri" w:cs="Calibri"/>
          <w:color w:val="auto"/>
          <w:sz w:val="22"/>
          <w:szCs w:val="22"/>
        </w:rPr>
        <w:t>6</w:t>
      </w:r>
      <w:r w:rsidRPr="006B0781">
        <w:rPr>
          <w:rFonts w:ascii="Calibri" w:hAnsi="Calibri" w:cs="Calibri"/>
          <w:color w:val="auto"/>
          <w:sz w:val="22"/>
          <w:szCs w:val="22"/>
        </w:rPr>
        <w:t>% of nameplate contribution toward the reserve margin consistent with ERCOT’s CDR accounting convention.</w:t>
      </w:r>
      <w:r w:rsidRPr="006B0781">
        <w:rPr>
          <w:rStyle w:val="FootnoteReference"/>
          <w:rFonts w:ascii="Calibri" w:hAnsi="Calibri" w:cs="Calibri"/>
          <w:color w:val="auto"/>
          <w:sz w:val="22"/>
          <w:szCs w:val="22"/>
        </w:rPr>
        <w:footnoteReference w:id="49"/>
      </w:r>
    </w:p>
    <w:p w14:paraId="21FA1873" w14:textId="20559A27" w:rsidR="004B58AD" w:rsidRDefault="004B58AD" w:rsidP="00FA0DFD">
      <w:pPr>
        <w:pStyle w:val="Heading3"/>
        <w:numPr>
          <w:ilvl w:val="0"/>
          <w:numId w:val="19"/>
        </w:numPr>
      </w:pPr>
      <w:bookmarkStart w:id="447" w:name="_Toc526279136"/>
      <w:bookmarkStart w:id="448" w:name="_Toc526437288"/>
      <w:bookmarkStart w:id="449" w:name="_Toc526437475"/>
      <w:bookmarkStart w:id="450" w:name="_Toc526439931"/>
      <w:bookmarkStart w:id="451" w:name="_Toc526440041"/>
      <w:bookmarkStart w:id="452" w:name="_Toc532834319"/>
      <w:bookmarkStart w:id="453" w:name="_Toc57193592"/>
      <w:bookmarkStart w:id="454" w:name="_Toc525079616"/>
      <w:bookmarkStart w:id="455" w:name="_Toc525851043"/>
      <w:bookmarkStart w:id="456" w:name="_Toc525938074"/>
      <w:r>
        <w:t>Hydroelectric</w:t>
      </w:r>
      <w:bookmarkEnd w:id="447"/>
      <w:bookmarkEnd w:id="448"/>
      <w:bookmarkEnd w:id="449"/>
      <w:bookmarkEnd w:id="450"/>
      <w:bookmarkEnd w:id="451"/>
      <w:bookmarkEnd w:id="452"/>
      <w:bookmarkEnd w:id="453"/>
      <w:r>
        <w:t xml:space="preserve"> </w:t>
      </w:r>
      <w:bookmarkEnd w:id="454"/>
      <w:bookmarkEnd w:id="455"/>
      <w:bookmarkEnd w:id="456"/>
    </w:p>
    <w:p w14:paraId="1288C2E8" w14:textId="2B6A73BB" w:rsidR="004B58AD" w:rsidRPr="009A25EE" w:rsidRDefault="004B58AD" w:rsidP="004B58AD">
      <w:pPr>
        <w:pStyle w:val="BGNormal125"/>
        <w:rPr>
          <w:rFonts w:ascii="Calibri" w:hAnsi="Calibri" w:cs="Calibri"/>
          <w:color w:val="auto"/>
          <w:sz w:val="22"/>
          <w:szCs w:val="22"/>
        </w:rPr>
      </w:pPr>
      <w:r w:rsidRPr="009A25EE">
        <w:rPr>
          <w:rFonts w:ascii="Calibri" w:hAnsi="Calibri" w:cs="Calibri"/>
          <w:color w:val="auto"/>
          <w:sz w:val="22"/>
          <w:szCs w:val="22"/>
        </w:rPr>
        <w:t>We include 5</w:t>
      </w:r>
      <w:r w:rsidR="009A25EE" w:rsidRPr="009A25EE">
        <w:rPr>
          <w:rFonts w:ascii="Calibri" w:hAnsi="Calibri" w:cs="Calibri"/>
          <w:color w:val="auto"/>
          <w:sz w:val="22"/>
          <w:szCs w:val="22"/>
        </w:rPr>
        <w:t>58.1</w:t>
      </w:r>
      <w:r w:rsidRPr="009A25EE">
        <w:rPr>
          <w:rFonts w:ascii="Calibri" w:hAnsi="Calibri" w:cs="Calibri"/>
          <w:color w:val="auto"/>
          <w:sz w:val="22"/>
          <w:szCs w:val="22"/>
        </w:rPr>
        <w:t xml:space="preserve"> MW of hydroelectric resources, consistent with ERCOT’s May 20</w:t>
      </w:r>
      <w:r w:rsidR="009A25EE" w:rsidRPr="009A25EE">
        <w:rPr>
          <w:rFonts w:ascii="Calibri" w:hAnsi="Calibri" w:cs="Calibri"/>
          <w:color w:val="auto"/>
          <w:sz w:val="22"/>
          <w:szCs w:val="22"/>
        </w:rPr>
        <w:t>20</w:t>
      </w:r>
      <w:r w:rsidRPr="009A25EE">
        <w:rPr>
          <w:rFonts w:ascii="Calibri" w:hAnsi="Calibri" w:cs="Calibri"/>
          <w:color w:val="auto"/>
          <w:sz w:val="22"/>
          <w:szCs w:val="22"/>
        </w:rPr>
        <w:t xml:space="preserve"> CDR report.</w:t>
      </w:r>
      <w:r w:rsidRPr="009A25EE">
        <w:rPr>
          <w:rStyle w:val="FootnoteReference"/>
          <w:rFonts w:ascii="Calibri" w:hAnsi="Calibri" w:cs="Calibri"/>
          <w:color w:val="auto"/>
          <w:sz w:val="22"/>
          <w:szCs w:val="22"/>
        </w:rPr>
        <w:footnoteReference w:id="50"/>
      </w:r>
      <w:r w:rsidRPr="009A25EE">
        <w:rPr>
          <w:rFonts w:ascii="Calibri" w:hAnsi="Calibri" w:cs="Calibri"/>
          <w:color w:val="auto"/>
          <w:sz w:val="22"/>
          <w:szCs w:val="22"/>
        </w:rPr>
        <w:t xml:space="preserve">  We characterize hydro resources using six years of hourly data over 2012–201</w:t>
      </w:r>
      <w:r w:rsidR="009A25EE" w:rsidRPr="009A25EE">
        <w:rPr>
          <w:rFonts w:ascii="Calibri" w:hAnsi="Calibri" w:cs="Calibri"/>
          <w:color w:val="auto"/>
          <w:sz w:val="22"/>
          <w:szCs w:val="22"/>
        </w:rPr>
        <w:t>9</w:t>
      </w:r>
      <w:r w:rsidRPr="009A25EE">
        <w:rPr>
          <w:rFonts w:ascii="Calibri" w:hAnsi="Calibri" w:cs="Calibri"/>
          <w:color w:val="auto"/>
          <w:sz w:val="22"/>
          <w:szCs w:val="22"/>
        </w:rPr>
        <w:t xml:space="preserve"> provided by ERCOT, and </w:t>
      </w:r>
      <w:r w:rsidR="009A25EE" w:rsidRPr="009A25EE">
        <w:rPr>
          <w:rFonts w:ascii="Calibri" w:hAnsi="Calibri" w:cs="Calibri"/>
          <w:color w:val="auto"/>
          <w:sz w:val="22"/>
          <w:szCs w:val="22"/>
        </w:rPr>
        <w:t>40</w:t>
      </w:r>
      <w:r w:rsidRPr="009A25EE">
        <w:rPr>
          <w:rFonts w:ascii="Calibri" w:hAnsi="Calibri" w:cs="Calibri"/>
          <w:color w:val="auto"/>
          <w:sz w:val="22"/>
          <w:szCs w:val="22"/>
        </w:rPr>
        <w:t xml:space="preserve"> years of monthly data over 1980–201</w:t>
      </w:r>
      <w:r w:rsidR="009A25EE" w:rsidRPr="009A25EE">
        <w:rPr>
          <w:rFonts w:ascii="Calibri" w:hAnsi="Calibri" w:cs="Calibri"/>
          <w:color w:val="auto"/>
          <w:sz w:val="22"/>
          <w:szCs w:val="22"/>
        </w:rPr>
        <w:t>9</w:t>
      </w:r>
      <w:r w:rsidRPr="009A25EE">
        <w:rPr>
          <w:rFonts w:ascii="Calibri" w:hAnsi="Calibri" w:cs="Calibri"/>
          <w:color w:val="auto"/>
          <w:sz w:val="22"/>
          <w:szCs w:val="22"/>
        </w:rPr>
        <w:t xml:space="preserve"> from EIA form 923.</w:t>
      </w:r>
      <w:r w:rsidRPr="009A25EE">
        <w:rPr>
          <w:rStyle w:val="FootnoteReference"/>
          <w:rFonts w:ascii="Calibri" w:hAnsi="Calibri" w:cs="Calibri"/>
          <w:color w:val="auto"/>
          <w:sz w:val="22"/>
          <w:szCs w:val="22"/>
        </w:rPr>
        <w:footnoteReference w:id="51"/>
      </w:r>
      <w:r w:rsidRPr="009A25EE">
        <w:rPr>
          <w:rFonts w:ascii="Calibri" w:hAnsi="Calibri" w:cs="Calibri"/>
          <w:color w:val="auto"/>
          <w:sz w:val="22"/>
          <w:szCs w:val="22"/>
        </w:rPr>
        <w:t xml:space="preserve">  For each month, SERVM uses four parameters for modeling hydro resources, as summarized in </w:t>
      </w:r>
      <w:r w:rsidRPr="009A25EE">
        <w:rPr>
          <w:rFonts w:ascii="Calibri" w:hAnsi="Calibri" w:cs="Calibri"/>
          <w:color w:val="auto"/>
          <w:sz w:val="22"/>
          <w:szCs w:val="22"/>
        </w:rPr>
        <w:fldChar w:fldCharType="begin"/>
      </w:r>
      <w:r w:rsidRPr="009A25EE">
        <w:rPr>
          <w:rFonts w:ascii="Calibri" w:hAnsi="Calibri" w:cs="Calibri"/>
          <w:color w:val="auto"/>
          <w:sz w:val="22"/>
          <w:szCs w:val="22"/>
        </w:rPr>
        <w:instrText xml:space="preserve"> REF _Ref377480595 \h </w:instrText>
      </w:r>
      <w:r w:rsidR="00C042FC" w:rsidRPr="009A25EE">
        <w:rPr>
          <w:rFonts w:ascii="Calibri" w:hAnsi="Calibri" w:cs="Calibri"/>
          <w:color w:val="auto"/>
          <w:sz w:val="22"/>
          <w:szCs w:val="22"/>
        </w:rPr>
        <w:instrText xml:space="preserve"> \* MERGEFORMAT </w:instrText>
      </w:r>
      <w:r w:rsidRPr="009A25EE">
        <w:rPr>
          <w:rFonts w:ascii="Calibri" w:hAnsi="Calibri" w:cs="Calibri"/>
          <w:color w:val="auto"/>
          <w:sz w:val="22"/>
          <w:szCs w:val="22"/>
        </w:rPr>
      </w:r>
      <w:r w:rsidRPr="009A25EE">
        <w:rPr>
          <w:rFonts w:ascii="Calibri" w:hAnsi="Calibri" w:cs="Calibri"/>
          <w:color w:val="auto"/>
          <w:sz w:val="22"/>
          <w:szCs w:val="22"/>
        </w:rPr>
        <w:fldChar w:fldCharType="separate"/>
      </w:r>
      <w:r w:rsidRPr="009A25EE">
        <w:rPr>
          <w:rFonts w:ascii="Calibri" w:hAnsi="Calibri" w:cs="Calibri"/>
          <w:color w:val="auto"/>
          <w:sz w:val="22"/>
          <w:szCs w:val="22"/>
        </w:rPr>
        <w:t>Figure A1-</w:t>
      </w:r>
      <w:r w:rsidRPr="009A25EE">
        <w:rPr>
          <w:rFonts w:ascii="Calibri" w:hAnsi="Calibri" w:cs="Calibri"/>
          <w:noProof/>
          <w:color w:val="auto"/>
          <w:sz w:val="22"/>
          <w:szCs w:val="22"/>
        </w:rPr>
        <w:t>5</w:t>
      </w:r>
      <w:r w:rsidRPr="009A25EE">
        <w:rPr>
          <w:rFonts w:ascii="Calibri" w:hAnsi="Calibri" w:cs="Calibri"/>
          <w:color w:val="auto"/>
          <w:sz w:val="22"/>
          <w:szCs w:val="22"/>
        </w:rPr>
        <w:fldChar w:fldCharType="end"/>
      </w:r>
      <w:r w:rsidRPr="009A25EE">
        <w:rPr>
          <w:rFonts w:ascii="Calibri" w:hAnsi="Calibri" w:cs="Calibri"/>
          <w:color w:val="auto"/>
          <w:sz w:val="22"/>
          <w:szCs w:val="22"/>
        </w:rPr>
        <w:t xml:space="preserve">: (1) </w:t>
      </w:r>
      <w:r w:rsidRPr="00AB139A">
        <w:rPr>
          <w:rFonts w:ascii="Calibri" w:hAnsi="Calibri" w:cs="Calibri"/>
          <w:iCs/>
          <w:color w:val="auto"/>
          <w:sz w:val="22"/>
          <w:szCs w:val="22"/>
        </w:rPr>
        <w:t>monthly total energy output</w:t>
      </w:r>
      <w:r w:rsidRPr="00A875DB">
        <w:rPr>
          <w:rFonts w:ascii="Calibri" w:hAnsi="Calibri" w:cs="Calibri"/>
          <w:iCs/>
          <w:color w:val="auto"/>
          <w:sz w:val="22"/>
          <w:szCs w:val="22"/>
        </w:rPr>
        <w:t xml:space="preserve"> and (2) </w:t>
      </w:r>
      <w:r w:rsidRPr="00AB139A">
        <w:rPr>
          <w:rFonts w:ascii="Calibri" w:hAnsi="Calibri" w:cs="Calibri"/>
          <w:iCs/>
          <w:color w:val="auto"/>
          <w:sz w:val="22"/>
          <w:szCs w:val="22"/>
        </w:rPr>
        <w:t>monthly maximum output</w:t>
      </w:r>
      <w:r w:rsidRPr="00A875DB">
        <w:rPr>
          <w:rFonts w:ascii="Calibri" w:hAnsi="Calibri" w:cs="Calibri"/>
          <w:iCs/>
          <w:color w:val="auto"/>
          <w:sz w:val="22"/>
          <w:szCs w:val="22"/>
        </w:rPr>
        <w:t xml:space="preserve">, as drawn from historical data consistent with each weather year; and (3) </w:t>
      </w:r>
      <w:r w:rsidRPr="00AB139A">
        <w:rPr>
          <w:rFonts w:ascii="Calibri" w:hAnsi="Calibri" w:cs="Calibri"/>
          <w:iCs/>
          <w:color w:val="auto"/>
          <w:sz w:val="22"/>
          <w:szCs w:val="22"/>
        </w:rPr>
        <w:t>daily maximum output</w:t>
      </w:r>
      <w:r w:rsidRPr="00A875DB">
        <w:rPr>
          <w:rFonts w:ascii="Calibri" w:hAnsi="Calibri" w:cs="Calibri"/>
          <w:iCs/>
          <w:color w:val="auto"/>
          <w:sz w:val="22"/>
          <w:szCs w:val="22"/>
        </w:rPr>
        <w:t xml:space="preserve"> and (4) </w:t>
      </w:r>
      <w:r w:rsidRPr="00AB139A">
        <w:rPr>
          <w:rFonts w:ascii="Calibri" w:hAnsi="Calibri" w:cs="Calibri"/>
          <w:iCs/>
          <w:color w:val="auto"/>
          <w:sz w:val="22"/>
          <w:szCs w:val="22"/>
        </w:rPr>
        <w:t>daily minimum output</w:t>
      </w:r>
      <w:r w:rsidRPr="00A875DB">
        <w:rPr>
          <w:rFonts w:ascii="Calibri" w:hAnsi="Calibri" w:cs="Calibri"/>
          <w:iCs/>
          <w:color w:val="auto"/>
          <w:sz w:val="22"/>
          <w:szCs w:val="22"/>
        </w:rPr>
        <w:t>, as estimated from historical hourly data.</w:t>
      </w:r>
    </w:p>
    <w:p w14:paraId="23A9EA91" w14:textId="13D4869F" w:rsidR="004B58AD" w:rsidRPr="00BC61FF" w:rsidRDefault="004B58AD" w:rsidP="008B0478">
      <w:pPr>
        <w:pStyle w:val="BGNormal125"/>
        <w:spacing w:after="240"/>
        <w:rPr>
          <w:rFonts w:ascii="Calibri" w:hAnsi="Calibri" w:cs="Calibri"/>
          <w:color w:val="auto"/>
          <w:sz w:val="22"/>
          <w:szCs w:val="22"/>
        </w:rPr>
      </w:pPr>
      <w:r w:rsidRPr="00BC61FF">
        <w:rPr>
          <w:rFonts w:ascii="Calibri" w:hAnsi="Calibri" w:cs="Calibri"/>
          <w:color w:val="auto"/>
          <w:sz w:val="22"/>
          <w:szCs w:val="22"/>
        </w:rPr>
        <w:t xml:space="preserve">When developing hydro output profiles, SERVM will first schedule output up to the monthly maximum output into the peak hours but will schedule some output across all hours based on historically observed output during off-peak periods up to the total monthly output.  During emergencies, SERVM can schedule up to </w:t>
      </w:r>
      <w:r w:rsidR="00BC61FF" w:rsidRPr="00BC61FF">
        <w:rPr>
          <w:rFonts w:ascii="Calibri" w:hAnsi="Calibri" w:cs="Calibri"/>
          <w:color w:val="auto"/>
          <w:sz w:val="22"/>
          <w:szCs w:val="22"/>
        </w:rPr>
        <w:t xml:space="preserve">49.25 MW in drought conditions and 116.15 MW for all other months. </w:t>
      </w:r>
      <w:r w:rsidRPr="00BC61FF">
        <w:rPr>
          <w:rFonts w:ascii="Calibri" w:hAnsi="Calibri" w:cs="Calibri"/>
          <w:color w:val="auto"/>
          <w:sz w:val="22"/>
          <w:szCs w:val="22"/>
        </w:rPr>
        <w:t xml:space="preserve">   </w:t>
      </w:r>
    </w:p>
    <w:p w14:paraId="48987D90" w14:textId="75BF74BB" w:rsidR="004B58AD" w:rsidRPr="00BC61FF" w:rsidRDefault="004B58AD" w:rsidP="008B0478">
      <w:pPr>
        <w:pStyle w:val="Caption"/>
        <w:spacing w:after="0"/>
        <w:jc w:val="center"/>
        <w:rPr>
          <w:rFonts w:cs="Calibri"/>
          <w:b/>
          <w:bCs/>
          <w:i w:val="0"/>
          <w:iCs w:val="0"/>
          <w:color w:val="auto"/>
          <w:sz w:val="22"/>
          <w:szCs w:val="22"/>
        </w:rPr>
      </w:pPr>
      <w:bookmarkStart w:id="457" w:name="_Ref377480595"/>
      <w:r w:rsidRPr="00BC61FF">
        <w:rPr>
          <w:rFonts w:cs="Calibri"/>
          <w:b/>
          <w:bCs/>
          <w:i w:val="0"/>
          <w:iCs w:val="0"/>
          <w:color w:val="auto"/>
          <w:sz w:val="22"/>
          <w:szCs w:val="22"/>
        </w:rPr>
        <w:t>Figure A1-</w:t>
      </w:r>
      <w:r w:rsidRPr="00BC61FF">
        <w:rPr>
          <w:rFonts w:cs="Calibri"/>
          <w:b/>
          <w:bCs/>
          <w:i w:val="0"/>
          <w:iCs w:val="0"/>
          <w:noProof/>
          <w:color w:val="auto"/>
          <w:sz w:val="22"/>
          <w:szCs w:val="22"/>
        </w:rPr>
        <w:fldChar w:fldCharType="begin"/>
      </w:r>
      <w:r w:rsidRPr="00BC61FF">
        <w:rPr>
          <w:rFonts w:cs="Calibri"/>
          <w:b/>
          <w:bCs/>
          <w:i w:val="0"/>
          <w:iCs w:val="0"/>
          <w:noProof/>
          <w:color w:val="auto"/>
          <w:sz w:val="22"/>
          <w:szCs w:val="22"/>
        </w:rPr>
        <w:instrText xml:space="preserve"> SEQ Figure_A1- \* ARABIC </w:instrText>
      </w:r>
      <w:r w:rsidRPr="00BC61FF">
        <w:rPr>
          <w:rFonts w:cs="Calibri"/>
          <w:b/>
          <w:bCs/>
          <w:i w:val="0"/>
          <w:iCs w:val="0"/>
          <w:noProof/>
          <w:color w:val="auto"/>
          <w:sz w:val="22"/>
          <w:szCs w:val="22"/>
        </w:rPr>
        <w:fldChar w:fldCharType="separate"/>
      </w:r>
      <w:r w:rsidRPr="00BC61FF">
        <w:rPr>
          <w:rFonts w:cs="Calibri"/>
          <w:b/>
          <w:bCs/>
          <w:i w:val="0"/>
          <w:iCs w:val="0"/>
          <w:noProof/>
          <w:color w:val="auto"/>
          <w:sz w:val="22"/>
          <w:szCs w:val="22"/>
        </w:rPr>
        <w:t>5</w:t>
      </w:r>
      <w:r w:rsidRPr="00BC61FF">
        <w:rPr>
          <w:rFonts w:cs="Calibri"/>
          <w:b/>
          <w:bCs/>
          <w:i w:val="0"/>
          <w:iCs w:val="0"/>
          <w:noProof/>
          <w:color w:val="auto"/>
          <w:sz w:val="22"/>
          <w:szCs w:val="22"/>
        </w:rPr>
        <w:fldChar w:fldCharType="end"/>
      </w:r>
      <w:bookmarkEnd w:id="457"/>
      <w:r w:rsidR="00C042FC" w:rsidRPr="00BC61FF">
        <w:rPr>
          <w:rFonts w:cs="Calibri"/>
          <w:b/>
          <w:bCs/>
          <w:i w:val="0"/>
          <w:iCs w:val="0"/>
          <w:noProof/>
          <w:color w:val="auto"/>
          <w:sz w:val="22"/>
          <w:szCs w:val="22"/>
        </w:rPr>
        <w:t xml:space="preserve">. </w:t>
      </w:r>
      <w:r w:rsidRPr="00BC61FF">
        <w:rPr>
          <w:rFonts w:cs="Calibri"/>
          <w:b/>
          <w:bCs/>
          <w:i w:val="0"/>
          <w:iCs w:val="0"/>
          <w:color w:val="auto"/>
          <w:sz w:val="22"/>
          <w:szCs w:val="22"/>
        </w:rPr>
        <w:t>Hydro Annual Energy (left) and Average Hydro Daily Shape (right)</w:t>
      </w:r>
    </w:p>
    <w:p w14:paraId="1D15E2B1" w14:textId="187BC9FC" w:rsidR="004B58AD" w:rsidRPr="00BC61FF" w:rsidRDefault="00BC61FF" w:rsidP="004B58AD">
      <w:pPr>
        <w:pStyle w:val="BGInsertGraphic"/>
        <w:rPr>
          <w:color w:val="auto"/>
        </w:rPr>
      </w:pPr>
      <w:r>
        <w:rPr>
          <w:noProof/>
        </w:rPr>
        <w:drawing>
          <wp:inline distT="0" distB="0" distL="0" distR="0" wp14:anchorId="1948D3EA" wp14:editId="1C2D5922">
            <wp:extent cx="2934314" cy="24688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4314" cy="2468880"/>
                    </a:xfrm>
                    <a:prstGeom prst="rect">
                      <a:avLst/>
                    </a:prstGeom>
                    <a:noFill/>
                  </pic:spPr>
                </pic:pic>
              </a:graphicData>
            </a:graphic>
          </wp:inline>
        </w:drawing>
      </w:r>
      <w:r w:rsidR="004B58AD" w:rsidRPr="005E77B1">
        <w:t xml:space="preserve"> </w:t>
      </w:r>
      <w:r w:rsidRPr="00BC61FF">
        <w:rPr>
          <w:noProof/>
          <w:color w:val="auto"/>
        </w:rPr>
        <w:drawing>
          <wp:inline distT="0" distB="0" distL="0" distR="0" wp14:anchorId="453E9396" wp14:editId="2B8F551B">
            <wp:extent cx="2934313" cy="24688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4313" cy="2468880"/>
                    </a:xfrm>
                    <a:prstGeom prst="rect">
                      <a:avLst/>
                    </a:prstGeom>
                    <a:noFill/>
                  </pic:spPr>
                </pic:pic>
              </a:graphicData>
            </a:graphic>
          </wp:inline>
        </w:drawing>
      </w:r>
    </w:p>
    <w:p w14:paraId="6BA670EC" w14:textId="77777777" w:rsidR="004B58AD" w:rsidRPr="00BC61FF" w:rsidRDefault="004B58AD" w:rsidP="004B58AD">
      <w:pPr>
        <w:pStyle w:val="BGInsertGraphic"/>
        <w:jc w:val="left"/>
        <w:rPr>
          <w:rFonts w:ascii="Calibri" w:hAnsi="Calibri" w:cs="Calibri"/>
          <w:i/>
          <w:color w:val="auto"/>
          <w:sz w:val="16"/>
        </w:rPr>
      </w:pPr>
      <w:r w:rsidRPr="00BC61FF">
        <w:rPr>
          <w:rFonts w:ascii="Calibri" w:hAnsi="Calibri" w:cs="Calibri"/>
          <w:b/>
          <w:color w:val="auto"/>
          <w:sz w:val="24"/>
          <w:szCs w:val="24"/>
        </w:rPr>
        <w:t xml:space="preserve"> </w:t>
      </w:r>
      <w:r w:rsidRPr="00BC61FF">
        <w:rPr>
          <w:rFonts w:ascii="Calibri" w:hAnsi="Calibri" w:cs="Calibri"/>
          <w:i/>
          <w:color w:val="auto"/>
          <w:sz w:val="16"/>
        </w:rPr>
        <w:t xml:space="preserve">Sources and Notes: </w:t>
      </w:r>
    </w:p>
    <w:p w14:paraId="6B46F8A8" w14:textId="32E187E2" w:rsidR="004B58AD" w:rsidRPr="00BC61FF" w:rsidRDefault="004B58AD" w:rsidP="00AB139A">
      <w:pPr>
        <w:pStyle w:val="BGNotesFiguresTables"/>
        <w:tabs>
          <w:tab w:val="left" w:pos="180"/>
          <w:tab w:val="left" w:pos="1260"/>
          <w:tab w:val="left" w:pos="8640"/>
        </w:tabs>
        <w:spacing w:before="0" w:after="240"/>
        <w:ind w:left="360" w:right="0" w:hanging="360"/>
        <w:jc w:val="left"/>
        <w:rPr>
          <w:rFonts w:cs="Calibri"/>
          <w:color w:val="auto"/>
        </w:rPr>
      </w:pPr>
      <w:r w:rsidRPr="00BC61FF">
        <w:rPr>
          <w:rFonts w:cs="Calibri"/>
          <w:color w:val="auto"/>
        </w:rPr>
        <w:tab/>
        <w:t xml:space="preserve">Monthly and annual energy data from </w:t>
      </w:r>
      <w:r w:rsidR="00BC61FF" w:rsidRPr="00BC61FF">
        <w:rPr>
          <w:rFonts w:cs="Calibri"/>
          <w:color w:val="auto"/>
        </w:rPr>
        <w:t>EIA form 923,</w:t>
      </w:r>
      <w:r w:rsidRPr="00BC61FF">
        <w:rPr>
          <w:rFonts w:cs="Calibri"/>
          <w:color w:val="auto"/>
        </w:rPr>
        <w:t xml:space="preserve"> peak shaving capability based on </w:t>
      </w:r>
      <w:r w:rsidR="00BC61FF" w:rsidRPr="00BC61FF">
        <w:rPr>
          <w:rFonts w:cs="Calibri"/>
          <w:color w:val="auto"/>
        </w:rPr>
        <w:t>eight</w:t>
      </w:r>
      <w:r w:rsidRPr="00BC61FF">
        <w:rPr>
          <w:rFonts w:cs="Calibri"/>
          <w:color w:val="auto"/>
        </w:rPr>
        <w:t xml:space="preserve"> years of historical hourly data from ERCOT.</w:t>
      </w:r>
    </w:p>
    <w:p w14:paraId="1CBE26AA" w14:textId="18EE6CE5" w:rsidR="004B58AD" w:rsidRDefault="004B58AD" w:rsidP="00FA0DFD">
      <w:pPr>
        <w:pStyle w:val="Heading3"/>
        <w:numPr>
          <w:ilvl w:val="0"/>
          <w:numId w:val="19"/>
        </w:numPr>
      </w:pPr>
      <w:bookmarkStart w:id="458" w:name="_Toc532834320"/>
      <w:bookmarkStart w:id="459" w:name="_Toc57193593"/>
      <w:bookmarkStart w:id="460" w:name="_Ref522195615"/>
      <w:bookmarkStart w:id="461" w:name="_Toc525079617"/>
      <w:bookmarkStart w:id="462" w:name="_Toc525851044"/>
      <w:bookmarkStart w:id="463" w:name="_Toc525938075"/>
      <w:bookmarkStart w:id="464" w:name="_Toc526279137"/>
      <w:bookmarkStart w:id="465" w:name="_Ref526341182"/>
      <w:bookmarkStart w:id="466" w:name="_Toc526437289"/>
      <w:bookmarkStart w:id="467" w:name="_Toc526437476"/>
      <w:bookmarkStart w:id="468" w:name="_Toc526439932"/>
      <w:bookmarkStart w:id="469" w:name="_Toc526440042"/>
      <w:bookmarkStart w:id="470" w:name="_Ref526448141"/>
      <w:bookmarkStart w:id="471" w:name="_Ref526448238"/>
      <w:r>
        <w:t>Fuel Prices</w:t>
      </w:r>
      <w:bookmarkEnd w:id="458"/>
      <w:bookmarkEnd w:id="459"/>
      <w:r>
        <w:t xml:space="preserve"> </w:t>
      </w:r>
      <w:bookmarkEnd w:id="460"/>
      <w:bookmarkEnd w:id="461"/>
      <w:bookmarkEnd w:id="462"/>
      <w:bookmarkEnd w:id="463"/>
      <w:bookmarkEnd w:id="464"/>
      <w:bookmarkEnd w:id="465"/>
      <w:bookmarkEnd w:id="466"/>
      <w:bookmarkEnd w:id="467"/>
      <w:bookmarkEnd w:id="468"/>
      <w:bookmarkEnd w:id="469"/>
      <w:bookmarkEnd w:id="470"/>
      <w:bookmarkEnd w:id="471"/>
    </w:p>
    <w:p w14:paraId="45DE154F" w14:textId="1B0BF020" w:rsidR="004B58AD" w:rsidRPr="00AB139A" w:rsidRDefault="004B58AD" w:rsidP="002A2715">
      <w:pPr>
        <w:pStyle w:val="BGNormal125"/>
        <w:spacing w:after="240"/>
        <w:rPr>
          <w:rFonts w:ascii="Calibri" w:hAnsi="Calibri" w:cs="Calibri"/>
          <w:color w:val="auto"/>
          <w:sz w:val="22"/>
          <w:szCs w:val="22"/>
        </w:rPr>
      </w:pPr>
      <w:r w:rsidRPr="00AB139A">
        <w:rPr>
          <w:rFonts w:ascii="Calibri" w:hAnsi="Calibri" w:cs="Calibri"/>
          <w:color w:val="auto"/>
          <w:sz w:val="22"/>
          <w:szCs w:val="22"/>
        </w:rPr>
        <w:t xml:space="preserve">We use </w:t>
      </w:r>
      <w:r w:rsidR="00502431">
        <w:rPr>
          <w:rFonts w:ascii="Calibri" w:hAnsi="Calibri" w:cs="Calibri"/>
          <w:color w:val="auto"/>
          <w:sz w:val="22"/>
          <w:szCs w:val="22"/>
        </w:rPr>
        <w:t xml:space="preserve">the </w:t>
      </w:r>
      <w:r w:rsidRPr="00AB139A">
        <w:rPr>
          <w:rFonts w:ascii="Calibri" w:hAnsi="Calibri" w:cs="Calibri"/>
          <w:color w:val="auto"/>
          <w:sz w:val="22"/>
          <w:szCs w:val="22"/>
        </w:rPr>
        <w:t>20</w:t>
      </w:r>
      <w:r w:rsidR="00C407C7" w:rsidRPr="00AB139A">
        <w:rPr>
          <w:rFonts w:ascii="Calibri" w:hAnsi="Calibri" w:cs="Calibri"/>
          <w:color w:val="auto"/>
          <w:sz w:val="22"/>
          <w:szCs w:val="22"/>
        </w:rPr>
        <w:t>20</w:t>
      </w:r>
      <w:r w:rsidRPr="00AB139A">
        <w:rPr>
          <w:rFonts w:ascii="Calibri" w:hAnsi="Calibri" w:cs="Calibri"/>
          <w:color w:val="auto"/>
          <w:sz w:val="22"/>
          <w:szCs w:val="22"/>
        </w:rPr>
        <w:t xml:space="preserve"> A</w:t>
      </w:r>
      <w:r w:rsidR="00FF088B">
        <w:rPr>
          <w:rFonts w:ascii="Calibri" w:hAnsi="Calibri" w:cs="Calibri"/>
          <w:color w:val="auto"/>
          <w:sz w:val="22"/>
          <w:szCs w:val="22"/>
        </w:rPr>
        <w:t>nnual Energy Outlook</w:t>
      </w:r>
      <w:r w:rsidRPr="00AB139A">
        <w:rPr>
          <w:rFonts w:ascii="Calibri" w:hAnsi="Calibri" w:cs="Calibri"/>
          <w:color w:val="auto"/>
          <w:sz w:val="22"/>
          <w:szCs w:val="22"/>
        </w:rPr>
        <w:t xml:space="preserve"> </w:t>
      </w:r>
      <w:r w:rsidR="00C407C7" w:rsidRPr="00AB139A">
        <w:rPr>
          <w:rFonts w:ascii="Calibri" w:hAnsi="Calibri" w:cs="Calibri"/>
          <w:color w:val="auto"/>
          <w:sz w:val="22"/>
          <w:szCs w:val="22"/>
        </w:rPr>
        <w:t>Low</w:t>
      </w:r>
      <w:r w:rsidRPr="00AB139A">
        <w:rPr>
          <w:rFonts w:ascii="Calibri" w:hAnsi="Calibri" w:cs="Calibri"/>
          <w:color w:val="auto"/>
          <w:sz w:val="22"/>
          <w:szCs w:val="22"/>
        </w:rPr>
        <w:t xml:space="preserve"> </w:t>
      </w:r>
      <w:r w:rsidR="00C407C7" w:rsidRPr="00AB139A">
        <w:rPr>
          <w:rFonts w:ascii="Calibri" w:hAnsi="Calibri" w:cs="Calibri"/>
          <w:color w:val="auto"/>
          <w:sz w:val="22"/>
          <w:szCs w:val="22"/>
        </w:rPr>
        <w:t>Economic Growth</w:t>
      </w:r>
      <w:r w:rsidRPr="00AB139A">
        <w:rPr>
          <w:rFonts w:ascii="Calibri" w:hAnsi="Calibri" w:cs="Calibri"/>
          <w:color w:val="auto"/>
          <w:sz w:val="22"/>
          <w:szCs w:val="22"/>
        </w:rPr>
        <w:t xml:space="preserve"> </w:t>
      </w:r>
      <w:r w:rsidR="00502431">
        <w:rPr>
          <w:rFonts w:ascii="Calibri" w:hAnsi="Calibri" w:cs="Calibri"/>
          <w:color w:val="auto"/>
          <w:sz w:val="22"/>
          <w:szCs w:val="22"/>
        </w:rPr>
        <w:t xml:space="preserve">case </w:t>
      </w:r>
      <w:r w:rsidRPr="00AB139A">
        <w:rPr>
          <w:rFonts w:ascii="Calibri" w:hAnsi="Calibri" w:cs="Calibri"/>
          <w:color w:val="auto"/>
          <w:sz w:val="22"/>
          <w:szCs w:val="22"/>
        </w:rPr>
        <w:t xml:space="preserve">for our gas price future inputs.  These gas prices </w:t>
      </w:r>
      <w:r w:rsidR="00C407C7" w:rsidRPr="00AB139A">
        <w:rPr>
          <w:rFonts w:ascii="Calibri" w:hAnsi="Calibri" w:cs="Calibri"/>
          <w:color w:val="auto"/>
          <w:sz w:val="22"/>
          <w:szCs w:val="22"/>
        </w:rPr>
        <w:t xml:space="preserve">are </w:t>
      </w:r>
      <w:r w:rsidRPr="00AB139A">
        <w:rPr>
          <w:rFonts w:ascii="Calibri" w:hAnsi="Calibri" w:cs="Calibri"/>
          <w:color w:val="auto"/>
          <w:sz w:val="22"/>
          <w:szCs w:val="22"/>
        </w:rPr>
        <w:t xml:space="preserve">consistent with fuel prices used in other ERCOT analysis, and are comparable to gas price forwards, as shown in </w:t>
      </w:r>
      <w:r w:rsidRPr="00AB139A">
        <w:rPr>
          <w:rFonts w:ascii="Calibri" w:hAnsi="Calibri" w:cs="Calibri"/>
          <w:color w:val="auto"/>
          <w:sz w:val="22"/>
          <w:szCs w:val="22"/>
        </w:rPr>
        <w:fldChar w:fldCharType="begin"/>
      </w:r>
      <w:r w:rsidRPr="00AB139A">
        <w:rPr>
          <w:rFonts w:ascii="Calibri" w:hAnsi="Calibri" w:cs="Calibri"/>
          <w:color w:val="auto"/>
          <w:sz w:val="22"/>
          <w:szCs w:val="22"/>
        </w:rPr>
        <w:instrText xml:space="preserve"> REF _Ref377115714 \h </w:instrText>
      </w:r>
      <w:r w:rsidR="00C042FC" w:rsidRPr="00AB139A">
        <w:rPr>
          <w:rFonts w:ascii="Calibri" w:hAnsi="Calibri" w:cs="Calibri"/>
          <w:color w:val="auto"/>
          <w:sz w:val="22"/>
          <w:szCs w:val="22"/>
        </w:rPr>
        <w:instrText xml:space="preserve"> \* MERGEFORMAT </w:instrText>
      </w:r>
      <w:r w:rsidRPr="00AB139A">
        <w:rPr>
          <w:rFonts w:ascii="Calibri" w:hAnsi="Calibri" w:cs="Calibri"/>
          <w:color w:val="auto"/>
          <w:sz w:val="22"/>
          <w:szCs w:val="22"/>
        </w:rPr>
      </w:r>
      <w:r w:rsidRPr="00AB139A">
        <w:rPr>
          <w:rFonts w:ascii="Calibri" w:hAnsi="Calibri" w:cs="Calibri"/>
          <w:color w:val="auto"/>
          <w:sz w:val="22"/>
          <w:szCs w:val="22"/>
        </w:rPr>
        <w:fldChar w:fldCharType="separate"/>
      </w:r>
      <w:r w:rsidRPr="00AB139A">
        <w:rPr>
          <w:rFonts w:ascii="Calibri" w:hAnsi="Calibri" w:cs="Calibri"/>
          <w:color w:val="auto"/>
          <w:sz w:val="22"/>
          <w:szCs w:val="22"/>
        </w:rPr>
        <w:t>Figure A1-</w:t>
      </w:r>
      <w:r w:rsidRPr="00AB139A">
        <w:rPr>
          <w:rFonts w:ascii="Calibri" w:hAnsi="Calibri" w:cs="Calibri"/>
          <w:noProof/>
          <w:color w:val="auto"/>
          <w:sz w:val="22"/>
          <w:szCs w:val="22"/>
        </w:rPr>
        <w:t>6</w:t>
      </w:r>
      <w:r w:rsidRPr="00AB139A">
        <w:rPr>
          <w:rFonts w:ascii="Calibri" w:hAnsi="Calibri" w:cs="Calibri"/>
          <w:color w:val="auto"/>
          <w:sz w:val="22"/>
          <w:szCs w:val="22"/>
        </w:rPr>
        <w:fldChar w:fldCharType="end"/>
      </w:r>
      <w:r w:rsidRPr="00AB139A">
        <w:rPr>
          <w:rFonts w:ascii="Calibri" w:hAnsi="Calibri" w:cs="Calibri"/>
          <w:color w:val="auto"/>
          <w:sz w:val="22"/>
          <w:szCs w:val="22"/>
        </w:rPr>
        <w:t xml:space="preserve">. </w:t>
      </w:r>
      <w:r w:rsidRPr="00AB139A" w:rsidDel="00CE7642">
        <w:rPr>
          <w:rFonts w:ascii="Calibri" w:hAnsi="Calibri" w:cs="Calibri"/>
          <w:color w:val="auto"/>
          <w:sz w:val="22"/>
          <w:szCs w:val="22"/>
        </w:rPr>
        <w:t xml:space="preserve"> </w:t>
      </w:r>
      <w:r w:rsidRPr="00AB139A">
        <w:rPr>
          <w:rFonts w:ascii="Calibri" w:hAnsi="Calibri" w:cs="Calibri"/>
          <w:color w:val="auto"/>
          <w:sz w:val="22"/>
          <w:szCs w:val="22"/>
        </w:rPr>
        <w:t>Alternative gas prices are explored as sensitivities, but do not make a substantial difference in results.  We estimate monthly fuel prices for ERCOT coal units based on the average 201</w:t>
      </w:r>
      <w:r w:rsidR="00C407C7" w:rsidRPr="00AB139A">
        <w:rPr>
          <w:rFonts w:ascii="Calibri" w:hAnsi="Calibri" w:cs="Calibri"/>
          <w:color w:val="auto"/>
          <w:sz w:val="22"/>
          <w:szCs w:val="22"/>
        </w:rPr>
        <w:t>9</w:t>
      </w:r>
      <w:r w:rsidRPr="00AB139A">
        <w:rPr>
          <w:rFonts w:ascii="Calibri" w:hAnsi="Calibri" w:cs="Calibri"/>
          <w:color w:val="auto"/>
          <w:sz w:val="22"/>
          <w:szCs w:val="22"/>
        </w:rPr>
        <w:t xml:space="preserve"> historical prices.  For external coal units and all oil-fired plants, we use futures prices for the year 202</w:t>
      </w:r>
      <w:r w:rsidR="00C407C7" w:rsidRPr="00AB139A">
        <w:rPr>
          <w:rFonts w:ascii="Calibri" w:hAnsi="Calibri" w:cs="Calibri"/>
          <w:color w:val="auto"/>
          <w:sz w:val="22"/>
          <w:szCs w:val="22"/>
        </w:rPr>
        <w:t>4</w:t>
      </w:r>
      <w:r w:rsidRPr="00AB139A">
        <w:rPr>
          <w:rFonts w:ascii="Calibri" w:hAnsi="Calibri" w:cs="Calibri"/>
          <w:color w:val="auto"/>
          <w:sz w:val="22"/>
          <w:szCs w:val="22"/>
        </w:rPr>
        <w:t xml:space="preserve"> and after applying a delivered fuel price basis.  We use U.S. Gulf Coast and Powder River Basin as the market price points for historical and futures prices as shown in </w:t>
      </w:r>
      <w:r w:rsidRPr="00AB139A">
        <w:rPr>
          <w:rFonts w:ascii="Calibri" w:hAnsi="Calibri" w:cs="Calibri"/>
          <w:color w:val="auto"/>
          <w:sz w:val="22"/>
          <w:szCs w:val="22"/>
        </w:rPr>
        <w:fldChar w:fldCharType="begin"/>
      </w:r>
      <w:r w:rsidRPr="00AB139A">
        <w:rPr>
          <w:rFonts w:ascii="Calibri" w:hAnsi="Calibri" w:cs="Calibri"/>
          <w:color w:val="auto"/>
          <w:sz w:val="22"/>
          <w:szCs w:val="22"/>
        </w:rPr>
        <w:instrText xml:space="preserve"> REF _Ref377115714 \h </w:instrText>
      </w:r>
      <w:r w:rsidR="00C042FC" w:rsidRPr="00AB139A">
        <w:rPr>
          <w:rFonts w:ascii="Calibri" w:hAnsi="Calibri" w:cs="Calibri"/>
          <w:color w:val="auto"/>
          <w:sz w:val="22"/>
          <w:szCs w:val="22"/>
        </w:rPr>
        <w:instrText xml:space="preserve"> \* MERGEFORMAT </w:instrText>
      </w:r>
      <w:r w:rsidRPr="00AB139A">
        <w:rPr>
          <w:rFonts w:ascii="Calibri" w:hAnsi="Calibri" w:cs="Calibri"/>
          <w:color w:val="auto"/>
          <w:sz w:val="22"/>
          <w:szCs w:val="22"/>
        </w:rPr>
      </w:r>
      <w:r w:rsidRPr="00AB139A">
        <w:rPr>
          <w:rFonts w:ascii="Calibri" w:hAnsi="Calibri" w:cs="Calibri"/>
          <w:color w:val="auto"/>
          <w:sz w:val="22"/>
          <w:szCs w:val="22"/>
        </w:rPr>
        <w:fldChar w:fldCharType="separate"/>
      </w:r>
      <w:r w:rsidRPr="00AB139A">
        <w:rPr>
          <w:rFonts w:ascii="Calibri" w:hAnsi="Calibri" w:cs="Calibri"/>
          <w:color w:val="auto"/>
          <w:sz w:val="22"/>
          <w:szCs w:val="22"/>
        </w:rPr>
        <w:t>Figure A1-</w:t>
      </w:r>
      <w:r w:rsidRPr="00AB139A">
        <w:rPr>
          <w:rFonts w:ascii="Calibri" w:hAnsi="Calibri" w:cs="Calibri"/>
          <w:noProof/>
          <w:color w:val="auto"/>
          <w:sz w:val="22"/>
          <w:szCs w:val="22"/>
        </w:rPr>
        <w:t>6</w:t>
      </w:r>
      <w:r w:rsidRPr="00AB139A">
        <w:rPr>
          <w:rFonts w:ascii="Calibri" w:hAnsi="Calibri" w:cs="Calibri"/>
          <w:color w:val="auto"/>
          <w:sz w:val="22"/>
          <w:szCs w:val="22"/>
        </w:rPr>
        <w:fldChar w:fldCharType="end"/>
      </w:r>
      <w:r w:rsidRPr="00AB139A">
        <w:rPr>
          <w:rFonts w:ascii="Calibri" w:hAnsi="Calibri" w:cs="Calibri"/>
          <w:color w:val="auto"/>
          <w:sz w:val="22"/>
          <w:szCs w:val="22"/>
        </w:rPr>
        <w:t>.</w:t>
      </w:r>
      <w:r w:rsidRPr="00AB139A">
        <w:rPr>
          <w:rStyle w:val="FootnoteReference"/>
          <w:rFonts w:ascii="Calibri" w:hAnsi="Calibri" w:cs="Calibri"/>
          <w:color w:val="auto"/>
          <w:sz w:val="22"/>
          <w:szCs w:val="22"/>
        </w:rPr>
        <w:footnoteReference w:id="52"/>
      </w:r>
      <w:r w:rsidRPr="00AB139A">
        <w:rPr>
          <w:rFonts w:ascii="Calibri" w:hAnsi="Calibri" w:cs="Calibri"/>
          <w:color w:val="auto"/>
          <w:sz w:val="22"/>
          <w:szCs w:val="22"/>
        </w:rPr>
        <w:t xml:space="preserve">  To estimate a delivered fuel price basis for each market, we calculated the historical difference between that market price point and prices as delivered to plants in that region and then escalated the delivered price basis with inflation to the year 202</w:t>
      </w:r>
      <w:r w:rsidR="00FF1741" w:rsidRPr="00AB139A">
        <w:rPr>
          <w:rFonts w:ascii="Calibri" w:hAnsi="Calibri" w:cs="Calibri"/>
          <w:color w:val="auto"/>
          <w:sz w:val="22"/>
          <w:szCs w:val="22"/>
        </w:rPr>
        <w:t>4</w:t>
      </w:r>
      <w:r w:rsidRPr="00AB139A">
        <w:rPr>
          <w:rFonts w:ascii="Calibri" w:hAnsi="Calibri" w:cs="Calibri"/>
          <w:color w:val="auto"/>
          <w:sz w:val="22"/>
          <w:szCs w:val="22"/>
        </w:rPr>
        <w:t>.</w:t>
      </w:r>
      <w:r w:rsidRPr="00AB139A">
        <w:rPr>
          <w:rStyle w:val="FootnoteReference"/>
          <w:rFonts w:ascii="Calibri" w:hAnsi="Calibri" w:cs="Calibri"/>
          <w:color w:val="auto"/>
          <w:sz w:val="22"/>
          <w:szCs w:val="22"/>
        </w:rPr>
        <w:footnoteReference w:id="53"/>
      </w:r>
      <w:r w:rsidRPr="00AB139A">
        <w:rPr>
          <w:rFonts w:ascii="Calibri" w:hAnsi="Calibri" w:cs="Calibri"/>
          <w:color w:val="auto"/>
          <w:sz w:val="22"/>
          <w:szCs w:val="22"/>
        </w:rPr>
        <w:t xml:space="preserve">  This locational basis is inclusive of both market price basis as well as a delivery charge and therefore may be positive or negative overall as shown in </w:t>
      </w:r>
      <w:r w:rsidRPr="00AB139A">
        <w:rPr>
          <w:rFonts w:ascii="Calibri" w:hAnsi="Calibri" w:cs="Calibri"/>
          <w:color w:val="auto"/>
          <w:sz w:val="22"/>
          <w:szCs w:val="22"/>
        </w:rPr>
        <w:fldChar w:fldCharType="begin"/>
      </w:r>
      <w:r w:rsidRPr="00AB139A">
        <w:rPr>
          <w:rFonts w:ascii="Calibri" w:hAnsi="Calibri" w:cs="Calibri"/>
          <w:color w:val="auto"/>
          <w:sz w:val="22"/>
          <w:szCs w:val="22"/>
        </w:rPr>
        <w:instrText xml:space="preserve"> REF _Ref377116049 \h </w:instrText>
      </w:r>
      <w:r w:rsidR="00C042FC" w:rsidRPr="00AB139A">
        <w:rPr>
          <w:rFonts w:ascii="Calibri" w:hAnsi="Calibri" w:cs="Calibri"/>
          <w:color w:val="auto"/>
          <w:sz w:val="22"/>
          <w:szCs w:val="22"/>
        </w:rPr>
        <w:instrText xml:space="preserve"> \* MERGEFORMAT </w:instrText>
      </w:r>
      <w:r w:rsidRPr="00AB139A">
        <w:rPr>
          <w:rFonts w:ascii="Calibri" w:hAnsi="Calibri" w:cs="Calibri"/>
          <w:color w:val="auto"/>
          <w:sz w:val="22"/>
          <w:szCs w:val="22"/>
        </w:rPr>
      </w:r>
      <w:r w:rsidRPr="00AB139A">
        <w:rPr>
          <w:rFonts w:ascii="Calibri" w:hAnsi="Calibri" w:cs="Calibri"/>
          <w:color w:val="auto"/>
          <w:sz w:val="22"/>
          <w:szCs w:val="22"/>
        </w:rPr>
        <w:fldChar w:fldCharType="separate"/>
      </w:r>
      <w:r w:rsidRPr="00AB139A">
        <w:rPr>
          <w:rFonts w:ascii="Calibri" w:hAnsi="Calibri" w:cs="Calibri"/>
          <w:color w:val="auto"/>
          <w:sz w:val="22"/>
          <w:szCs w:val="22"/>
        </w:rPr>
        <w:t>Table A1-</w:t>
      </w:r>
      <w:r w:rsidRPr="00AB139A">
        <w:rPr>
          <w:rFonts w:ascii="Calibri" w:hAnsi="Calibri" w:cs="Calibri"/>
          <w:noProof/>
          <w:color w:val="auto"/>
          <w:sz w:val="22"/>
          <w:szCs w:val="22"/>
        </w:rPr>
        <w:t>5</w:t>
      </w:r>
      <w:r w:rsidRPr="00AB139A">
        <w:rPr>
          <w:rFonts w:ascii="Calibri" w:hAnsi="Calibri" w:cs="Calibri"/>
          <w:color w:val="auto"/>
          <w:sz w:val="22"/>
          <w:szCs w:val="22"/>
        </w:rPr>
        <w:fldChar w:fldCharType="end"/>
      </w:r>
      <w:r w:rsidRPr="00AB139A">
        <w:rPr>
          <w:rFonts w:ascii="Calibri" w:hAnsi="Calibri" w:cs="Calibri"/>
          <w:color w:val="auto"/>
          <w:sz w:val="22"/>
          <w:szCs w:val="22"/>
        </w:rPr>
        <w:t>.</w:t>
      </w:r>
    </w:p>
    <w:p w14:paraId="73E45176" w14:textId="75757432" w:rsidR="004B58AD" w:rsidRDefault="004B58AD" w:rsidP="008B0478">
      <w:pPr>
        <w:pStyle w:val="Caption"/>
        <w:spacing w:after="0"/>
        <w:jc w:val="center"/>
      </w:pPr>
      <w:bookmarkStart w:id="472" w:name="_Ref377115714"/>
      <w:bookmarkStart w:id="473" w:name="_Hlk56774133"/>
      <w:r w:rsidRPr="00CC3C91">
        <w:rPr>
          <w:rFonts w:cs="Calibri"/>
          <w:b/>
          <w:bCs/>
          <w:i w:val="0"/>
          <w:iCs w:val="0"/>
          <w:color w:val="auto"/>
          <w:sz w:val="22"/>
          <w:szCs w:val="22"/>
        </w:rPr>
        <w:t>Figure A1-</w:t>
      </w:r>
      <w:r w:rsidRPr="00CC3C91">
        <w:rPr>
          <w:rFonts w:cs="Calibri"/>
          <w:b/>
          <w:bCs/>
          <w:i w:val="0"/>
          <w:iCs w:val="0"/>
          <w:noProof/>
          <w:color w:val="auto"/>
          <w:sz w:val="22"/>
          <w:szCs w:val="22"/>
        </w:rPr>
        <w:fldChar w:fldCharType="begin"/>
      </w:r>
      <w:r w:rsidRPr="00CC3C91">
        <w:rPr>
          <w:rFonts w:cs="Calibri"/>
          <w:b/>
          <w:bCs/>
          <w:i w:val="0"/>
          <w:iCs w:val="0"/>
          <w:noProof/>
          <w:color w:val="auto"/>
          <w:sz w:val="22"/>
          <w:szCs w:val="22"/>
        </w:rPr>
        <w:instrText xml:space="preserve"> SEQ Figure_A1- \* ARABIC </w:instrText>
      </w:r>
      <w:r w:rsidRPr="00CC3C91">
        <w:rPr>
          <w:rFonts w:cs="Calibri"/>
          <w:b/>
          <w:bCs/>
          <w:i w:val="0"/>
          <w:iCs w:val="0"/>
          <w:noProof/>
          <w:color w:val="auto"/>
          <w:sz w:val="22"/>
          <w:szCs w:val="22"/>
        </w:rPr>
        <w:fldChar w:fldCharType="separate"/>
      </w:r>
      <w:r w:rsidRPr="00CC3C91">
        <w:rPr>
          <w:rFonts w:cs="Calibri"/>
          <w:b/>
          <w:bCs/>
          <w:i w:val="0"/>
          <w:iCs w:val="0"/>
          <w:noProof/>
          <w:color w:val="auto"/>
          <w:sz w:val="22"/>
          <w:szCs w:val="22"/>
        </w:rPr>
        <w:t>6</w:t>
      </w:r>
      <w:r w:rsidRPr="00CC3C91">
        <w:rPr>
          <w:rFonts w:cs="Calibri"/>
          <w:b/>
          <w:bCs/>
          <w:i w:val="0"/>
          <w:iCs w:val="0"/>
          <w:noProof/>
          <w:color w:val="auto"/>
          <w:sz w:val="22"/>
          <w:szCs w:val="22"/>
        </w:rPr>
        <w:fldChar w:fldCharType="end"/>
      </w:r>
      <w:bookmarkEnd w:id="472"/>
      <w:r w:rsidR="00C042FC" w:rsidRPr="00CC3C91">
        <w:rPr>
          <w:rFonts w:cs="Calibri"/>
          <w:b/>
          <w:bCs/>
          <w:i w:val="0"/>
          <w:iCs w:val="0"/>
          <w:noProof/>
          <w:color w:val="auto"/>
          <w:sz w:val="22"/>
          <w:szCs w:val="22"/>
        </w:rPr>
        <w:t xml:space="preserve">. </w:t>
      </w:r>
      <w:r w:rsidRPr="00CC3C91">
        <w:rPr>
          <w:rFonts w:cs="Calibri"/>
          <w:b/>
          <w:bCs/>
          <w:i w:val="0"/>
          <w:iCs w:val="0"/>
          <w:color w:val="auto"/>
          <w:sz w:val="22"/>
          <w:szCs w:val="22"/>
        </w:rPr>
        <w:t>Historical and Futures Prices for Gas, Coal, and No. 2 Distillate</w:t>
      </w:r>
      <w:bookmarkEnd w:id="473"/>
      <w:r w:rsidR="008B0478">
        <w:rPr>
          <w:rFonts w:cs="Calibri"/>
          <w:b/>
          <w:bCs/>
          <w:i w:val="0"/>
          <w:iCs w:val="0"/>
          <w:noProof/>
          <w:color w:val="auto"/>
          <w:sz w:val="22"/>
          <w:szCs w:val="22"/>
        </w:rPr>
        <w:drawing>
          <wp:inline distT="0" distB="0" distL="0" distR="0" wp14:anchorId="7849E748" wp14:editId="4F006C28">
            <wp:extent cx="6167883" cy="4470400"/>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0812" cy="4472523"/>
                    </a:xfrm>
                    <a:prstGeom prst="rect">
                      <a:avLst/>
                    </a:prstGeom>
                    <a:noFill/>
                  </pic:spPr>
                </pic:pic>
              </a:graphicData>
            </a:graphic>
          </wp:inline>
        </w:drawing>
      </w:r>
    </w:p>
    <w:p w14:paraId="19160CF0" w14:textId="77777777" w:rsidR="004B58AD" w:rsidRPr="00AB139A" w:rsidRDefault="004B58AD" w:rsidP="004B58AD">
      <w:pPr>
        <w:pStyle w:val="BGNotesFiguresTables"/>
        <w:keepNext/>
        <w:tabs>
          <w:tab w:val="left" w:pos="270"/>
          <w:tab w:val="left" w:pos="540"/>
          <w:tab w:val="left" w:pos="900"/>
          <w:tab w:val="left" w:pos="9090"/>
          <w:tab w:val="left" w:pos="9360"/>
        </w:tabs>
        <w:spacing w:before="0"/>
        <w:ind w:left="446" w:right="0" w:hanging="360"/>
        <w:jc w:val="left"/>
        <w:rPr>
          <w:rFonts w:cs="Calibri"/>
          <w:i/>
          <w:color w:val="auto"/>
        </w:rPr>
      </w:pPr>
      <w:r w:rsidRPr="00AB139A">
        <w:rPr>
          <w:rFonts w:cs="Calibri"/>
          <w:i/>
          <w:color w:val="auto"/>
        </w:rPr>
        <w:t xml:space="preserve">Sources and Notes: </w:t>
      </w:r>
    </w:p>
    <w:p w14:paraId="7DFB0A68" w14:textId="77777777" w:rsidR="004B58AD" w:rsidRPr="00AB139A" w:rsidRDefault="004B58AD" w:rsidP="004B58AD">
      <w:pPr>
        <w:pStyle w:val="sourcesandnotes"/>
        <w:tabs>
          <w:tab w:val="clear" w:pos="450"/>
          <w:tab w:val="left" w:pos="540"/>
          <w:tab w:val="left" w:pos="900"/>
          <w:tab w:val="left" w:pos="1980"/>
          <w:tab w:val="left" w:pos="8820"/>
          <w:tab w:val="left" w:pos="9360"/>
        </w:tabs>
        <w:ind w:right="0"/>
        <w:jc w:val="left"/>
        <w:rPr>
          <w:rFonts w:ascii="Calibri" w:hAnsi="Calibri" w:cs="Calibri"/>
          <w:color w:val="auto"/>
        </w:rPr>
      </w:pPr>
      <w:r w:rsidRPr="00AB139A">
        <w:rPr>
          <w:rFonts w:ascii="Calibri" w:hAnsi="Calibri" w:cs="Calibri"/>
          <w:color w:val="auto"/>
        </w:rPr>
        <w:t xml:space="preserve">No. 2 prices escalated using a linear relationship with WTI Cushing and escalated with WTI futures.  </w:t>
      </w:r>
    </w:p>
    <w:p w14:paraId="22CB32F7" w14:textId="2945B050" w:rsidR="004B58AD" w:rsidRPr="00AB139A" w:rsidRDefault="004B58AD" w:rsidP="004B58AD">
      <w:pPr>
        <w:pStyle w:val="sourcesandnotes"/>
        <w:tabs>
          <w:tab w:val="clear" w:pos="450"/>
          <w:tab w:val="left" w:pos="540"/>
          <w:tab w:val="left" w:pos="900"/>
          <w:tab w:val="left" w:pos="1980"/>
          <w:tab w:val="left" w:pos="8820"/>
          <w:tab w:val="left" w:pos="9360"/>
        </w:tabs>
        <w:ind w:right="0"/>
        <w:jc w:val="left"/>
        <w:rPr>
          <w:rFonts w:ascii="Calibri" w:hAnsi="Calibri" w:cs="Calibri"/>
          <w:color w:val="auto"/>
        </w:rPr>
      </w:pPr>
      <w:r w:rsidRPr="00AB139A">
        <w:rPr>
          <w:rFonts w:ascii="Calibri" w:hAnsi="Calibri" w:cs="Calibri"/>
          <w:color w:val="auto"/>
        </w:rPr>
        <w:t>Prices for the base case a</w:t>
      </w:r>
      <w:r w:rsidR="002E5E90" w:rsidRPr="00AB139A">
        <w:rPr>
          <w:rFonts w:ascii="Calibri" w:hAnsi="Calibri" w:cs="Calibri"/>
          <w:color w:val="auto"/>
        </w:rPr>
        <w:t xml:space="preserve">re </w:t>
      </w:r>
      <w:r w:rsidRPr="00AB139A">
        <w:rPr>
          <w:rFonts w:ascii="Calibri" w:hAnsi="Calibri" w:cs="Calibri"/>
          <w:color w:val="auto"/>
        </w:rPr>
        <w:t>from the 20</w:t>
      </w:r>
      <w:r w:rsidR="00C407C7" w:rsidRPr="00AB139A">
        <w:rPr>
          <w:rFonts w:ascii="Calibri" w:hAnsi="Calibri" w:cs="Calibri"/>
          <w:color w:val="auto"/>
        </w:rPr>
        <w:t>20</w:t>
      </w:r>
      <w:r w:rsidRPr="00AB139A">
        <w:rPr>
          <w:rFonts w:ascii="Calibri" w:hAnsi="Calibri" w:cs="Calibri"/>
          <w:color w:val="auto"/>
        </w:rPr>
        <w:t xml:space="preserve"> Annual Energy Outlook (AEO) Low </w:t>
      </w:r>
      <w:r w:rsidR="00C407C7" w:rsidRPr="00AB139A">
        <w:rPr>
          <w:rFonts w:ascii="Calibri" w:hAnsi="Calibri" w:cs="Calibri"/>
          <w:color w:val="auto"/>
        </w:rPr>
        <w:t xml:space="preserve">Economic Growth </w:t>
      </w:r>
      <w:r w:rsidRPr="00AB139A">
        <w:rPr>
          <w:rFonts w:ascii="Calibri" w:hAnsi="Calibri" w:cs="Calibri"/>
          <w:color w:val="auto"/>
        </w:rPr>
        <w:t>Case</w:t>
      </w:r>
      <w:proofErr w:type="gramStart"/>
      <w:r w:rsidRPr="00AB139A">
        <w:rPr>
          <w:rFonts w:ascii="Calibri" w:hAnsi="Calibri" w:cs="Calibri"/>
          <w:color w:val="auto"/>
        </w:rPr>
        <w:t>,</w:t>
      </w:r>
      <w:r w:rsidR="007911C9" w:rsidRPr="00AB139A">
        <w:rPr>
          <w:rFonts w:ascii="Calibri" w:hAnsi="Calibri" w:cs="Calibri"/>
          <w:color w:val="auto"/>
        </w:rPr>
        <w:t>.</w:t>
      </w:r>
      <w:proofErr w:type="gramEnd"/>
    </w:p>
    <w:p w14:paraId="4B23BD3B" w14:textId="1981C61C" w:rsidR="00C042FC" w:rsidRDefault="004B58AD" w:rsidP="00FF088B">
      <w:pPr>
        <w:pStyle w:val="sourcesandnotes"/>
        <w:tabs>
          <w:tab w:val="clear" w:pos="450"/>
          <w:tab w:val="left" w:pos="540"/>
          <w:tab w:val="left" w:pos="900"/>
          <w:tab w:val="left" w:pos="1980"/>
          <w:tab w:val="left" w:pos="8820"/>
          <w:tab w:val="left" w:pos="9360"/>
        </w:tabs>
        <w:spacing w:after="240"/>
        <w:ind w:right="0"/>
        <w:jc w:val="left"/>
        <w:rPr>
          <w:rFonts w:ascii="Calibri" w:hAnsi="Calibri" w:cs="Calibri"/>
          <w:color w:val="auto"/>
        </w:rPr>
      </w:pPr>
      <w:r w:rsidRPr="00AB139A">
        <w:rPr>
          <w:rFonts w:ascii="Calibri" w:hAnsi="Calibri" w:cs="Calibri"/>
          <w:color w:val="auto"/>
        </w:rPr>
        <w:t xml:space="preserve">Natural gas and coal historical prices and coal futures prices from </w:t>
      </w:r>
      <w:r w:rsidR="00FF1741" w:rsidRPr="00AB139A">
        <w:rPr>
          <w:rFonts w:ascii="Calibri" w:hAnsi="Calibri" w:cs="Calibri"/>
          <w:color w:val="auto"/>
        </w:rPr>
        <w:t>Bloomberg, SNL Energy, and EIA</w:t>
      </w:r>
      <w:r w:rsidRPr="00AB139A">
        <w:rPr>
          <w:rFonts w:ascii="Calibri" w:hAnsi="Calibri" w:cs="Calibri"/>
          <w:color w:val="auto"/>
        </w:rPr>
        <w:t xml:space="preserve">. </w:t>
      </w:r>
      <w:bookmarkStart w:id="474" w:name="_Ref377116049"/>
    </w:p>
    <w:p w14:paraId="2299D60C" w14:textId="03670D7E" w:rsidR="000F0C8B" w:rsidRDefault="000F0C8B" w:rsidP="000F0C8B"/>
    <w:p w14:paraId="237D57C4" w14:textId="0E5D8C9B" w:rsidR="000F0C8B" w:rsidRDefault="000F0C8B" w:rsidP="000F0C8B"/>
    <w:p w14:paraId="35E7C8D0" w14:textId="77777777" w:rsidR="000F0C8B" w:rsidRPr="00AB139A" w:rsidRDefault="000F0C8B" w:rsidP="000F0C8B"/>
    <w:p w14:paraId="044ED710" w14:textId="61938BC9" w:rsidR="004B58AD" w:rsidRPr="00CC3C91" w:rsidRDefault="004B58AD" w:rsidP="00CC3C91">
      <w:pPr>
        <w:pStyle w:val="Caption"/>
        <w:spacing w:before="240"/>
        <w:jc w:val="center"/>
        <w:rPr>
          <w:b/>
          <w:bCs/>
          <w:i w:val="0"/>
          <w:iCs w:val="0"/>
          <w:color w:val="auto"/>
          <w:sz w:val="22"/>
          <w:szCs w:val="22"/>
        </w:rPr>
      </w:pPr>
      <w:r w:rsidRPr="00CC3C91">
        <w:rPr>
          <w:rFonts w:cs="Calibri"/>
          <w:b/>
          <w:bCs/>
          <w:i w:val="0"/>
          <w:iCs w:val="0"/>
          <w:color w:val="auto"/>
          <w:sz w:val="22"/>
          <w:szCs w:val="22"/>
        </w:rPr>
        <w:t>Table A1-</w:t>
      </w:r>
      <w:r w:rsidRPr="00CC3C91">
        <w:rPr>
          <w:rFonts w:cs="Calibri"/>
          <w:b/>
          <w:bCs/>
          <w:i w:val="0"/>
          <w:iCs w:val="0"/>
          <w:noProof/>
          <w:color w:val="auto"/>
          <w:sz w:val="22"/>
          <w:szCs w:val="22"/>
        </w:rPr>
        <w:fldChar w:fldCharType="begin"/>
      </w:r>
      <w:r w:rsidRPr="00CC3C91">
        <w:rPr>
          <w:rFonts w:cs="Calibri"/>
          <w:b/>
          <w:bCs/>
          <w:i w:val="0"/>
          <w:iCs w:val="0"/>
          <w:noProof/>
          <w:color w:val="auto"/>
          <w:sz w:val="22"/>
          <w:szCs w:val="22"/>
        </w:rPr>
        <w:instrText xml:space="preserve"> SEQ Table_A1- \* ARABIC </w:instrText>
      </w:r>
      <w:r w:rsidRPr="00CC3C91">
        <w:rPr>
          <w:rFonts w:cs="Calibri"/>
          <w:b/>
          <w:bCs/>
          <w:i w:val="0"/>
          <w:iCs w:val="0"/>
          <w:noProof/>
          <w:color w:val="auto"/>
          <w:sz w:val="22"/>
          <w:szCs w:val="22"/>
        </w:rPr>
        <w:fldChar w:fldCharType="separate"/>
      </w:r>
      <w:r w:rsidRPr="00CC3C91">
        <w:rPr>
          <w:rFonts w:cs="Calibri"/>
          <w:b/>
          <w:bCs/>
          <w:i w:val="0"/>
          <w:iCs w:val="0"/>
          <w:noProof/>
          <w:color w:val="auto"/>
          <w:sz w:val="22"/>
          <w:szCs w:val="22"/>
        </w:rPr>
        <w:t>5</w:t>
      </w:r>
      <w:r w:rsidRPr="00CC3C91">
        <w:rPr>
          <w:rFonts w:cs="Calibri"/>
          <w:b/>
          <w:bCs/>
          <w:i w:val="0"/>
          <w:iCs w:val="0"/>
          <w:noProof/>
          <w:color w:val="auto"/>
          <w:sz w:val="22"/>
          <w:szCs w:val="22"/>
        </w:rPr>
        <w:fldChar w:fldCharType="end"/>
      </w:r>
      <w:bookmarkEnd w:id="474"/>
      <w:r w:rsidR="00C042FC" w:rsidRPr="00CC3C91">
        <w:rPr>
          <w:rFonts w:cs="Calibri"/>
          <w:b/>
          <w:bCs/>
          <w:i w:val="0"/>
          <w:iCs w:val="0"/>
          <w:noProof/>
          <w:color w:val="auto"/>
          <w:sz w:val="22"/>
          <w:szCs w:val="22"/>
        </w:rPr>
        <w:t xml:space="preserve">. </w:t>
      </w:r>
      <w:r w:rsidRPr="00CC3C91">
        <w:rPr>
          <w:b/>
          <w:bCs/>
          <w:i w:val="0"/>
          <w:iCs w:val="0"/>
          <w:color w:val="auto"/>
          <w:sz w:val="22"/>
          <w:szCs w:val="22"/>
        </w:rPr>
        <w:t>ERCOT 202</w:t>
      </w:r>
      <w:r w:rsidR="00CC3C91" w:rsidRPr="00CC3C91">
        <w:rPr>
          <w:b/>
          <w:bCs/>
          <w:i w:val="0"/>
          <w:iCs w:val="0"/>
          <w:color w:val="auto"/>
          <w:sz w:val="22"/>
          <w:szCs w:val="22"/>
        </w:rPr>
        <w:t>4</w:t>
      </w:r>
      <w:r w:rsidRPr="00CC3C91">
        <w:rPr>
          <w:b/>
          <w:bCs/>
          <w:i w:val="0"/>
          <w:iCs w:val="0"/>
          <w:color w:val="auto"/>
          <w:sz w:val="22"/>
          <w:szCs w:val="22"/>
        </w:rPr>
        <w:t xml:space="preserve"> Delivered Fuel Prices</w:t>
      </w:r>
    </w:p>
    <w:tbl>
      <w:tblPr>
        <w:tblW w:w="3760" w:type="dxa"/>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300"/>
        <w:gridCol w:w="1220"/>
        <w:gridCol w:w="1240"/>
      </w:tblGrid>
      <w:tr w:rsidR="00CC3C91" w:rsidRPr="00CC3C91" w14:paraId="09E5CD64" w14:textId="77777777" w:rsidTr="00CC3C91">
        <w:trPr>
          <w:trHeight w:val="915"/>
          <w:jc w:val="center"/>
        </w:trPr>
        <w:tc>
          <w:tcPr>
            <w:tcW w:w="130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18D7A25B" w14:textId="77777777" w:rsidR="00CC3C91" w:rsidRPr="00CC3C91" w:rsidRDefault="00CC3C91" w:rsidP="00CC3C91">
            <w:pPr>
              <w:spacing w:after="0" w:line="240" w:lineRule="auto"/>
              <w:jc w:val="center"/>
              <w:textAlignment w:val="center"/>
              <w:rPr>
                <w:rFonts w:ascii="Arial" w:eastAsia="Times New Roman" w:hAnsi="Arial" w:cs="Arial"/>
                <w:kern w:val="0"/>
                <w:sz w:val="36"/>
                <w:szCs w:val="36"/>
              </w:rPr>
            </w:pPr>
            <w:r w:rsidRPr="00CC3C91">
              <w:rPr>
                <w:rFonts w:eastAsia="Times New Roman" w:cs="Arial"/>
                <w:b/>
                <w:bCs/>
                <w:color w:val="000000"/>
              </w:rPr>
              <w:t>Coal Fuel Price ($/MMBtu)</w:t>
            </w:r>
          </w:p>
        </w:tc>
        <w:tc>
          <w:tcPr>
            <w:tcW w:w="122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237C4105" w14:textId="77777777" w:rsidR="00CC3C91" w:rsidRPr="00CC3C91" w:rsidRDefault="00CC3C91" w:rsidP="00CC3C91">
            <w:pPr>
              <w:spacing w:after="0" w:line="240" w:lineRule="auto"/>
              <w:jc w:val="center"/>
              <w:textAlignment w:val="center"/>
              <w:rPr>
                <w:rFonts w:ascii="Arial" w:eastAsia="Times New Roman" w:hAnsi="Arial" w:cs="Arial"/>
                <w:kern w:val="0"/>
                <w:sz w:val="36"/>
                <w:szCs w:val="36"/>
              </w:rPr>
            </w:pPr>
            <w:r w:rsidRPr="00CC3C91">
              <w:rPr>
                <w:rFonts w:eastAsia="Times New Roman" w:cs="Arial"/>
                <w:b/>
                <w:bCs/>
                <w:color w:val="000000"/>
              </w:rPr>
              <w:t>Gas Fuel Price ($/MMBtu)</w:t>
            </w:r>
          </w:p>
        </w:tc>
        <w:tc>
          <w:tcPr>
            <w:tcW w:w="1240" w:type="dxa"/>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0D72CFD" w14:textId="77777777" w:rsidR="00CC3C91" w:rsidRPr="00CC3C91" w:rsidRDefault="00CC3C91" w:rsidP="00CC3C91">
            <w:pPr>
              <w:spacing w:after="0" w:line="240" w:lineRule="auto"/>
              <w:jc w:val="center"/>
              <w:textAlignment w:val="center"/>
              <w:rPr>
                <w:rFonts w:ascii="Arial" w:eastAsia="Times New Roman" w:hAnsi="Arial" w:cs="Arial"/>
                <w:kern w:val="0"/>
                <w:sz w:val="36"/>
                <w:szCs w:val="36"/>
              </w:rPr>
            </w:pPr>
            <w:r w:rsidRPr="00CC3C91">
              <w:rPr>
                <w:rFonts w:eastAsia="Times New Roman" w:cs="Arial"/>
                <w:b/>
                <w:bCs/>
                <w:color w:val="000000"/>
              </w:rPr>
              <w:t>Diesel Fuel Price ($/MMBtu)</w:t>
            </w:r>
          </w:p>
        </w:tc>
      </w:tr>
      <w:tr w:rsidR="00CC3C91" w:rsidRPr="00CC3C91" w14:paraId="36B187E2" w14:textId="77777777" w:rsidTr="00CC3C91">
        <w:trPr>
          <w:jc w:val="center"/>
        </w:trPr>
        <w:tc>
          <w:tcPr>
            <w:tcW w:w="1300" w:type="dxa"/>
            <w:tcBorders>
              <w:top w:val="single" w:sz="4" w:space="0" w:color="auto"/>
            </w:tcBorders>
            <w:shd w:val="clear" w:color="auto" w:fill="D9D9D9" w:themeFill="background1" w:themeFillShade="D9"/>
            <w:tcMar>
              <w:top w:w="15" w:type="dxa"/>
              <w:left w:w="15" w:type="dxa"/>
              <w:bottom w:w="0" w:type="dxa"/>
              <w:right w:w="15" w:type="dxa"/>
            </w:tcMar>
            <w:vAlign w:val="center"/>
            <w:hideMark/>
          </w:tcPr>
          <w:p w14:paraId="500522F5" w14:textId="77777777" w:rsidR="00CC3C91" w:rsidRPr="00CC3C91" w:rsidRDefault="00CC3C91" w:rsidP="00CC3C91">
            <w:pPr>
              <w:spacing w:after="0" w:line="240" w:lineRule="auto"/>
              <w:jc w:val="center"/>
              <w:textAlignment w:val="center"/>
              <w:rPr>
                <w:rFonts w:ascii="Arial" w:eastAsia="Times New Roman" w:hAnsi="Arial" w:cs="Arial"/>
                <w:kern w:val="0"/>
                <w:sz w:val="36"/>
                <w:szCs w:val="36"/>
              </w:rPr>
            </w:pPr>
            <w:r w:rsidRPr="00CC3C91">
              <w:rPr>
                <w:rFonts w:eastAsia="Times New Roman" w:cs="Arial"/>
                <w:color w:val="000000"/>
              </w:rPr>
              <w:t>1.65</w:t>
            </w:r>
          </w:p>
        </w:tc>
        <w:tc>
          <w:tcPr>
            <w:tcW w:w="1220" w:type="dxa"/>
            <w:tcBorders>
              <w:top w:val="single" w:sz="4" w:space="0" w:color="auto"/>
            </w:tcBorders>
            <w:shd w:val="clear" w:color="auto" w:fill="D9D9D9" w:themeFill="background1" w:themeFillShade="D9"/>
            <w:tcMar>
              <w:top w:w="15" w:type="dxa"/>
              <w:left w:w="15" w:type="dxa"/>
              <w:bottom w:w="0" w:type="dxa"/>
              <w:right w:w="15" w:type="dxa"/>
            </w:tcMar>
            <w:vAlign w:val="center"/>
            <w:hideMark/>
          </w:tcPr>
          <w:p w14:paraId="701B0298" w14:textId="77777777" w:rsidR="00CC3C91" w:rsidRPr="00CC3C91" w:rsidRDefault="00CC3C91" w:rsidP="00CC3C91">
            <w:pPr>
              <w:spacing w:after="0" w:line="240" w:lineRule="auto"/>
              <w:jc w:val="center"/>
              <w:textAlignment w:val="center"/>
              <w:rPr>
                <w:rFonts w:ascii="Arial" w:eastAsia="Times New Roman" w:hAnsi="Arial" w:cs="Arial"/>
                <w:kern w:val="0"/>
                <w:sz w:val="36"/>
                <w:szCs w:val="36"/>
              </w:rPr>
            </w:pPr>
            <w:r w:rsidRPr="00CC3C91">
              <w:rPr>
                <w:rFonts w:eastAsia="Times New Roman" w:cs="Arial"/>
                <w:color w:val="000000"/>
              </w:rPr>
              <w:t>2.96</w:t>
            </w:r>
          </w:p>
        </w:tc>
        <w:tc>
          <w:tcPr>
            <w:tcW w:w="1240" w:type="dxa"/>
            <w:tcBorders>
              <w:top w:val="single" w:sz="4" w:space="0" w:color="auto"/>
            </w:tcBorders>
            <w:shd w:val="clear" w:color="auto" w:fill="D9D9D9" w:themeFill="background1" w:themeFillShade="D9"/>
            <w:tcMar>
              <w:top w:w="15" w:type="dxa"/>
              <w:left w:w="15" w:type="dxa"/>
              <w:bottom w:w="0" w:type="dxa"/>
              <w:right w:w="15" w:type="dxa"/>
            </w:tcMar>
            <w:vAlign w:val="center"/>
            <w:hideMark/>
          </w:tcPr>
          <w:p w14:paraId="573F6925" w14:textId="77777777" w:rsidR="00CC3C91" w:rsidRPr="00CC3C91" w:rsidRDefault="00CC3C91" w:rsidP="00CC3C91">
            <w:pPr>
              <w:spacing w:after="0" w:line="240" w:lineRule="auto"/>
              <w:jc w:val="center"/>
              <w:textAlignment w:val="center"/>
              <w:rPr>
                <w:rFonts w:ascii="Arial" w:eastAsia="Times New Roman" w:hAnsi="Arial" w:cs="Arial"/>
                <w:kern w:val="0"/>
                <w:sz w:val="36"/>
                <w:szCs w:val="36"/>
              </w:rPr>
            </w:pPr>
            <w:r w:rsidRPr="00CC3C91">
              <w:rPr>
                <w:rFonts w:eastAsia="Times New Roman" w:cs="Arial"/>
                <w:color w:val="000000"/>
              </w:rPr>
              <w:t>11.14</w:t>
            </w:r>
          </w:p>
        </w:tc>
      </w:tr>
    </w:tbl>
    <w:p w14:paraId="5F9D35EF" w14:textId="60F04856" w:rsidR="004B58AD" w:rsidRPr="00C042FC" w:rsidRDefault="004B58AD" w:rsidP="004B58AD">
      <w:pPr>
        <w:pStyle w:val="BGInsertGraphic"/>
        <w:keepNext/>
        <w:spacing w:before="0"/>
        <w:rPr>
          <w:rFonts w:ascii="Calibri" w:hAnsi="Calibri" w:cs="Calibri"/>
          <w:color w:val="C00000"/>
        </w:rPr>
      </w:pPr>
      <w:r w:rsidRPr="00C042FC" w:rsidDel="004E5172">
        <w:rPr>
          <w:rFonts w:ascii="Calibri" w:hAnsi="Calibri" w:cs="Calibri"/>
          <w:color w:val="C00000"/>
        </w:rPr>
        <w:t xml:space="preserve"> </w:t>
      </w:r>
    </w:p>
    <w:p w14:paraId="2D2B09B6" w14:textId="77777777" w:rsidR="004B58AD" w:rsidRPr="00AB139A" w:rsidRDefault="004B58AD" w:rsidP="004B58AD">
      <w:pPr>
        <w:pStyle w:val="BGInsertGraphic"/>
        <w:keepNext/>
        <w:spacing w:before="0"/>
        <w:ind w:left="1800" w:right="1260" w:hanging="270"/>
        <w:jc w:val="left"/>
        <w:rPr>
          <w:rFonts w:ascii="Calibri" w:hAnsi="Calibri" w:cs="Calibri"/>
          <w:color w:val="auto"/>
          <w:sz w:val="16"/>
        </w:rPr>
      </w:pPr>
      <w:r w:rsidRPr="00AB139A">
        <w:rPr>
          <w:rFonts w:ascii="Calibri" w:hAnsi="Calibri" w:cs="Calibri"/>
          <w:i/>
          <w:iCs/>
          <w:color w:val="auto"/>
          <w:sz w:val="16"/>
          <w:szCs w:val="16"/>
        </w:rPr>
        <w:t xml:space="preserve">Sources and Notes: </w:t>
      </w:r>
    </w:p>
    <w:p w14:paraId="67205691" w14:textId="4BF130FD" w:rsidR="004B58AD" w:rsidRPr="00AB139A" w:rsidRDefault="004B58AD" w:rsidP="00C042FC">
      <w:pPr>
        <w:spacing w:after="0"/>
        <w:ind w:left="1800" w:right="1260" w:hanging="270"/>
        <w:rPr>
          <w:rFonts w:cs="Calibri"/>
        </w:rPr>
      </w:pPr>
      <w:r w:rsidRPr="00AB139A">
        <w:rPr>
          <w:rFonts w:cs="Calibri"/>
          <w:iCs/>
          <w:sz w:val="16"/>
          <w:szCs w:val="16"/>
        </w:rPr>
        <w:t>Coal Fuel Price is averaged from 201</w:t>
      </w:r>
      <w:r w:rsidR="00FF1741" w:rsidRPr="00AB139A">
        <w:rPr>
          <w:rFonts w:cs="Calibri"/>
          <w:iCs/>
          <w:sz w:val="16"/>
          <w:szCs w:val="16"/>
        </w:rPr>
        <w:t>9</w:t>
      </w:r>
      <w:r w:rsidRPr="00AB139A">
        <w:rPr>
          <w:rFonts w:cs="Calibri"/>
          <w:iCs/>
          <w:sz w:val="16"/>
          <w:szCs w:val="16"/>
        </w:rPr>
        <w:t xml:space="preserve"> EIA 923 and FERC Form 1 data.</w:t>
      </w:r>
    </w:p>
    <w:p w14:paraId="5EA5F581" w14:textId="141748A3" w:rsidR="004B58AD" w:rsidRPr="00AB139A" w:rsidRDefault="004B58AD" w:rsidP="004B58AD">
      <w:pPr>
        <w:pStyle w:val="BGInsertGraphic"/>
        <w:keepNext/>
        <w:spacing w:before="0"/>
        <w:ind w:left="1800" w:right="1260" w:hanging="270"/>
        <w:jc w:val="left"/>
        <w:rPr>
          <w:rFonts w:ascii="Calibri" w:hAnsi="Calibri" w:cs="Calibri"/>
          <w:iCs/>
          <w:color w:val="auto"/>
          <w:sz w:val="16"/>
          <w:szCs w:val="16"/>
        </w:rPr>
      </w:pPr>
      <w:r w:rsidRPr="00AB139A">
        <w:rPr>
          <w:rFonts w:ascii="Calibri" w:hAnsi="Calibri" w:cs="Calibri"/>
          <w:iCs/>
          <w:color w:val="auto"/>
          <w:sz w:val="16"/>
          <w:szCs w:val="16"/>
        </w:rPr>
        <w:t>Gas Fuel Price from the 20</w:t>
      </w:r>
      <w:r w:rsidR="00FF1741" w:rsidRPr="00AB139A">
        <w:rPr>
          <w:rFonts w:ascii="Calibri" w:hAnsi="Calibri" w:cs="Calibri"/>
          <w:iCs/>
          <w:color w:val="auto"/>
          <w:sz w:val="16"/>
          <w:szCs w:val="16"/>
        </w:rPr>
        <w:t>20</w:t>
      </w:r>
      <w:r w:rsidRPr="00AB139A">
        <w:rPr>
          <w:rFonts w:ascii="Calibri" w:hAnsi="Calibri" w:cs="Calibri"/>
          <w:iCs/>
          <w:color w:val="auto"/>
          <w:sz w:val="16"/>
          <w:szCs w:val="16"/>
        </w:rPr>
        <w:t xml:space="preserve">AEO </w:t>
      </w:r>
      <w:r w:rsidR="00FF1741" w:rsidRPr="00AB139A">
        <w:rPr>
          <w:rFonts w:ascii="Calibri" w:hAnsi="Calibri" w:cs="Calibri"/>
          <w:iCs/>
          <w:color w:val="auto"/>
          <w:sz w:val="16"/>
          <w:szCs w:val="16"/>
        </w:rPr>
        <w:t>Low Economic Growth</w:t>
      </w:r>
      <w:r w:rsidRPr="00AB139A">
        <w:rPr>
          <w:rFonts w:ascii="Calibri" w:hAnsi="Calibri" w:cs="Calibri"/>
          <w:iCs/>
          <w:color w:val="auto"/>
          <w:sz w:val="16"/>
          <w:szCs w:val="16"/>
        </w:rPr>
        <w:t xml:space="preserve"> Case.</w:t>
      </w:r>
    </w:p>
    <w:p w14:paraId="1FC8473B" w14:textId="795B4A04" w:rsidR="004B58AD" w:rsidRDefault="004B58AD" w:rsidP="00FA0DFD">
      <w:pPr>
        <w:pStyle w:val="Heading2"/>
        <w:numPr>
          <w:ilvl w:val="0"/>
          <w:numId w:val="17"/>
        </w:numPr>
      </w:pPr>
      <w:bookmarkStart w:id="475" w:name="_Ref522192972"/>
      <w:bookmarkStart w:id="476" w:name="_Toc525079618"/>
      <w:bookmarkStart w:id="477" w:name="_Toc525851045"/>
      <w:bookmarkStart w:id="478" w:name="_Toc525938076"/>
      <w:bookmarkStart w:id="479" w:name="_Toc526279138"/>
      <w:bookmarkStart w:id="480" w:name="_Toc526437290"/>
      <w:bookmarkStart w:id="481" w:name="_Toc526437477"/>
      <w:bookmarkStart w:id="482" w:name="_Toc526439933"/>
      <w:bookmarkStart w:id="483" w:name="_Toc526440043"/>
      <w:bookmarkStart w:id="484" w:name="_Toc532834321"/>
      <w:bookmarkStart w:id="485" w:name="_Toc57193594"/>
      <w:r>
        <w:t>Demand-Side Resources</w:t>
      </w:r>
      <w:bookmarkEnd w:id="475"/>
      <w:bookmarkEnd w:id="476"/>
      <w:bookmarkEnd w:id="477"/>
      <w:bookmarkEnd w:id="478"/>
      <w:bookmarkEnd w:id="479"/>
      <w:bookmarkEnd w:id="480"/>
      <w:bookmarkEnd w:id="481"/>
      <w:bookmarkEnd w:id="482"/>
      <w:bookmarkEnd w:id="483"/>
      <w:bookmarkEnd w:id="484"/>
      <w:bookmarkEnd w:id="485"/>
    </w:p>
    <w:p w14:paraId="61617574" w14:textId="77777777" w:rsidR="004B58AD" w:rsidRPr="006D161E" w:rsidRDefault="004B58AD" w:rsidP="002A2715">
      <w:pPr>
        <w:pStyle w:val="BGNormal125"/>
        <w:spacing w:after="240"/>
        <w:rPr>
          <w:rFonts w:ascii="Calibri" w:hAnsi="Calibri" w:cs="Calibri"/>
          <w:color w:val="auto"/>
          <w:sz w:val="22"/>
          <w:szCs w:val="22"/>
        </w:rPr>
      </w:pPr>
      <w:r w:rsidRPr="006D161E">
        <w:rPr>
          <w:rFonts w:ascii="Calibri" w:hAnsi="Calibri" w:cs="Calibri"/>
          <w:color w:val="auto"/>
          <w:sz w:val="22"/>
          <w:szCs w:val="22"/>
        </w:rPr>
        <w:t>Several types of demand response participate directly or indirectly in ERCOT’s market, including: Emergency Response Service (ERS), Load Resources, and Price Responsive Demand.  These various types differ from each other in whether they are triggered by price-based or emergency actions, and restrictions on availability and call hours. Below we describe the assumptions and modeling approach for each type of resource.</w:t>
      </w:r>
    </w:p>
    <w:p w14:paraId="72E3C6DE" w14:textId="44C1CF4B" w:rsidR="004B58AD" w:rsidRDefault="004B58AD" w:rsidP="00FA0DFD">
      <w:pPr>
        <w:pStyle w:val="Heading3"/>
        <w:numPr>
          <w:ilvl w:val="0"/>
          <w:numId w:val="20"/>
        </w:numPr>
      </w:pPr>
      <w:bookmarkStart w:id="486" w:name="_Toc526279139"/>
      <w:bookmarkStart w:id="487" w:name="_Toc526437291"/>
      <w:bookmarkStart w:id="488" w:name="_Toc526437478"/>
      <w:bookmarkStart w:id="489" w:name="_Toc526439934"/>
      <w:bookmarkStart w:id="490" w:name="_Toc526440044"/>
      <w:bookmarkStart w:id="491" w:name="_Ref526444187"/>
      <w:bookmarkStart w:id="492" w:name="_Toc532834322"/>
      <w:bookmarkStart w:id="493" w:name="_Toc57193595"/>
      <w:bookmarkStart w:id="494" w:name="_Ref524990962"/>
      <w:bookmarkStart w:id="495" w:name="_Toc525079619"/>
      <w:bookmarkStart w:id="496" w:name="_Toc525851046"/>
      <w:bookmarkStart w:id="497" w:name="_Toc525938077"/>
      <w:r>
        <w:t>Emergency Response Service</w:t>
      </w:r>
      <w:bookmarkEnd w:id="486"/>
      <w:bookmarkEnd w:id="487"/>
      <w:bookmarkEnd w:id="488"/>
      <w:bookmarkEnd w:id="489"/>
      <w:bookmarkEnd w:id="490"/>
      <w:bookmarkEnd w:id="491"/>
      <w:bookmarkEnd w:id="492"/>
      <w:bookmarkEnd w:id="493"/>
      <w:r>
        <w:t xml:space="preserve"> </w:t>
      </w:r>
      <w:bookmarkEnd w:id="494"/>
      <w:bookmarkEnd w:id="495"/>
      <w:bookmarkEnd w:id="496"/>
      <w:bookmarkEnd w:id="497"/>
    </w:p>
    <w:p w14:paraId="275129C9" w14:textId="7F8DFA4D" w:rsidR="004B58AD" w:rsidRDefault="004B58AD" w:rsidP="00FF088B">
      <w:pPr>
        <w:pStyle w:val="BGNormal150"/>
        <w:spacing w:after="240"/>
        <w:rPr>
          <w:rFonts w:ascii="Calibri" w:hAnsi="Calibri" w:cs="Calibri"/>
          <w:color w:val="auto"/>
          <w:sz w:val="22"/>
          <w:szCs w:val="22"/>
        </w:rPr>
      </w:pPr>
      <w:r w:rsidRPr="00AC50C1">
        <w:rPr>
          <w:rFonts w:ascii="Calibri" w:hAnsi="Calibri" w:cs="Calibri"/>
          <w:color w:val="auto"/>
          <w:sz w:val="22"/>
          <w:szCs w:val="22"/>
        </w:rPr>
        <w:t>Emergency Response Service (ERS) includes two types of products, 10-minute and 30-minute</w:t>
      </w:r>
      <w:r w:rsidR="00FB59ED" w:rsidRPr="00AC50C1">
        <w:rPr>
          <w:rFonts w:ascii="Calibri" w:hAnsi="Calibri" w:cs="Calibri"/>
          <w:color w:val="auto"/>
          <w:sz w:val="22"/>
          <w:szCs w:val="22"/>
        </w:rPr>
        <w:t xml:space="preserve"> (weather sensitive and non-weather sensitive)</w:t>
      </w:r>
      <w:r w:rsidRPr="00AC50C1">
        <w:rPr>
          <w:rFonts w:ascii="Calibri" w:hAnsi="Calibri" w:cs="Calibri"/>
          <w:color w:val="auto"/>
          <w:sz w:val="22"/>
          <w:szCs w:val="22"/>
        </w:rPr>
        <w:t xml:space="preserve"> ERS, with the quantity of each product available changing by time of day and season as shown in </w:t>
      </w:r>
      <w:r w:rsidRPr="00AC50C1">
        <w:rPr>
          <w:rFonts w:ascii="Calibri" w:hAnsi="Calibri" w:cs="Calibri"/>
          <w:color w:val="auto"/>
          <w:sz w:val="22"/>
          <w:szCs w:val="22"/>
        </w:rPr>
        <w:fldChar w:fldCharType="begin"/>
      </w:r>
      <w:r w:rsidRPr="00AC50C1">
        <w:rPr>
          <w:rFonts w:ascii="Calibri" w:hAnsi="Calibri" w:cs="Calibri"/>
          <w:color w:val="auto"/>
          <w:sz w:val="22"/>
          <w:szCs w:val="22"/>
        </w:rPr>
        <w:instrText xml:space="preserve"> REF _Ref377119099 \h </w:instrText>
      </w:r>
      <w:r w:rsidR="00C042FC" w:rsidRPr="00AC50C1">
        <w:rPr>
          <w:rFonts w:ascii="Calibri" w:hAnsi="Calibri" w:cs="Calibri"/>
          <w:color w:val="auto"/>
          <w:sz w:val="22"/>
          <w:szCs w:val="22"/>
        </w:rPr>
        <w:instrText xml:space="preserve"> \* MERGEFORMAT </w:instrText>
      </w:r>
      <w:r w:rsidRPr="00AC50C1">
        <w:rPr>
          <w:rFonts w:ascii="Calibri" w:hAnsi="Calibri" w:cs="Calibri"/>
          <w:color w:val="auto"/>
          <w:sz w:val="22"/>
          <w:szCs w:val="22"/>
        </w:rPr>
      </w:r>
      <w:r w:rsidRPr="00AC50C1">
        <w:rPr>
          <w:rFonts w:ascii="Calibri" w:hAnsi="Calibri" w:cs="Calibri"/>
          <w:color w:val="auto"/>
          <w:sz w:val="22"/>
          <w:szCs w:val="22"/>
        </w:rPr>
        <w:fldChar w:fldCharType="separate"/>
      </w:r>
      <w:r w:rsidRPr="00AC50C1">
        <w:rPr>
          <w:rFonts w:ascii="Calibri" w:hAnsi="Calibri" w:cs="Calibri"/>
          <w:color w:val="auto"/>
          <w:sz w:val="22"/>
          <w:szCs w:val="22"/>
        </w:rPr>
        <w:t>Table A1-</w:t>
      </w:r>
      <w:r w:rsidRPr="00AC50C1">
        <w:rPr>
          <w:rFonts w:ascii="Calibri" w:hAnsi="Calibri" w:cs="Calibri"/>
          <w:noProof/>
          <w:color w:val="auto"/>
          <w:sz w:val="22"/>
          <w:szCs w:val="22"/>
        </w:rPr>
        <w:t>6</w:t>
      </w:r>
      <w:r w:rsidRPr="00AC50C1">
        <w:rPr>
          <w:rFonts w:ascii="Calibri" w:hAnsi="Calibri" w:cs="Calibri"/>
          <w:color w:val="auto"/>
          <w:sz w:val="22"/>
          <w:szCs w:val="22"/>
        </w:rPr>
        <w:fldChar w:fldCharType="end"/>
      </w:r>
      <w:r w:rsidRPr="00AC50C1">
        <w:rPr>
          <w:rFonts w:ascii="Calibri" w:hAnsi="Calibri" w:cs="Calibri"/>
          <w:color w:val="auto"/>
          <w:sz w:val="22"/>
          <w:szCs w:val="22"/>
        </w:rPr>
        <w:t>.  The quantity of each product by time of day and season is proportional to the quantities most recently procured over the four seasons of year 20</w:t>
      </w:r>
      <w:r w:rsidR="00AC50C1" w:rsidRPr="00AC50C1">
        <w:rPr>
          <w:rFonts w:ascii="Calibri" w:hAnsi="Calibri" w:cs="Calibri"/>
          <w:color w:val="auto"/>
          <w:sz w:val="22"/>
          <w:szCs w:val="22"/>
        </w:rPr>
        <w:t>19</w:t>
      </w:r>
      <w:r w:rsidRPr="00AC50C1">
        <w:rPr>
          <w:rFonts w:ascii="Calibri" w:hAnsi="Calibri" w:cs="Calibri"/>
          <w:color w:val="auto"/>
          <w:sz w:val="22"/>
          <w:szCs w:val="22"/>
        </w:rPr>
        <w:t>, with the 202</w:t>
      </w:r>
      <w:r w:rsidR="00AC50C1" w:rsidRPr="00AC50C1">
        <w:rPr>
          <w:rFonts w:ascii="Calibri" w:hAnsi="Calibri" w:cs="Calibri"/>
          <w:color w:val="auto"/>
          <w:sz w:val="22"/>
          <w:szCs w:val="22"/>
        </w:rPr>
        <w:t>4</w:t>
      </w:r>
      <w:r w:rsidRPr="00AC50C1">
        <w:rPr>
          <w:rFonts w:ascii="Calibri" w:hAnsi="Calibri" w:cs="Calibri"/>
          <w:color w:val="auto"/>
          <w:sz w:val="22"/>
          <w:szCs w:val="22"/>
        </w:rPr>
        <w:t xml:space="preserve"> summer peak quantity assumption provided by ERCOT.</w:t>
      </w:r>
      <w:r w:rsidRPr="00AC50C1">
        <w:rPr>
          <w:rStyle w:val="FootnoteReference"/>
          <w:rFonts w:ascii="Calibri" w:hAnsi="Calibri" w:cs="Calibri"/>
          <w:color w:val="auto"/>
          <w:sz w:val="22"/>
          <w:szCs w:val="22"/>
        </w:rPr>
        <w:footnoteReference w:id="54"/>
      </w:r>
      <w:r w:rsidRPr="00AC50C1">
        <w:rPr>
          <w:rFonts w:ascii="Calibri" w:hAnsi="Calibri" w:cs="Calibri"/>
          <w:color w:val="auto"/>
          <w:sz w:val="22"/>
          <w:szCs w:val="22"/>
        </w:rPr>
        <w:t xml:space="preserve">  Demand resources enrolled under ERS are dispatchable by ERCOT during emergencies, but cannot be called </w:t>
      </w:r>
      <w:r w:rsidRPr="00CC3C91">
        <w:rPr>
          <w:rFonts w:ascii="Calibri" w:hAnsi="Calibri" w:cs="Calibri"/>
          <w:color w:val="auto"/>
          <w:sz w:val="22"/>
          <w:szCs w:val="22"/>
        </w:rPr>
        <w:t>outside their contracted hours and cannot be called for more than t</w:t>
      </w:r>
      <w:r w:rsidR="00CC3C91" w:rsidRPr="00CC3C91">
        <w:rPr>
          <w:rFonts w:ascii="Calibri" w:hAnsi="Calibri" w:cs="Calibri"/>
          <w:color w:val="auto"/>
          <w:sz w:val="22"/>
          <w:szCs w:val="22"/>
        </w:rPr>
        <w:t>w</w:t>
      </w:r>
      <w:r w:rsidRPr="00CC3C91">
        <w:rPr>
          <w:rFonts w:ascii="Calibri" w:hAnsi="Calibri" w:cs="Calibri"/>
          <w:color w:val="auto"/>
          <w:sz w:val="22"/>
          <w:szCs w:val="22"/>
        </w:rPr>
        <w:t>e</w:t>
      </w:r>
      <w:r w:rsidR="00CC3C91" w:rsidRPr="00CC3C91">
        <w:rPr>
          <w:rFonts w:ascii="Calibri" w:hAnsi="Calibri" w:cs="Calibri"/>
          <w:color w:val="auto"/>
          <w:sz w:val="22"/>
          <w:szCs w:val="22"/>
        </w:rPr>
        <w:t>nty-four</w:t>
      </w:r>
      <w:r w:rsidRPr="00CC3C91">
        <w:rPr>
          <w:rFonts w:ascii="Calibri" w:hAnsi="Calibri" w:cs="Calibri"/>
          <w:color w:val="auto"/>
          <w:sz w:val="22"/>
          <w:szCs w:val="22"/>
        </w:rPr>
        <w:t xml:space="preserve"> hours total per season.</w:t>
      </w:r>
      <w:r w:rsidRPr="00CC3C91">
        <w:rPr>
          <w:rStyle w:val="FootnoteReference"/>
          <w:rFonts w:ascii="Calibri" w:hAnsi="Calibri" w:cs="Calibri"/>
          <w:color w:val="auto"/>
          <w:sz w:val="22"/>
          <w:szCs w:val="22"/>
        </w:rPr>
        <w:footnoteReference w:id="55"/>
      </w:r>
    </w:p>
    <w:p w14:paraId="04C84ADF" w14:textId="12ECF9E6" w:rsidR="000F0C8B" w:rsidRDefault="000F0C8B" w:rsidP="000F0C8B">
      <w:pPr>
        <w:pStyle w:val="BGNormal150"/>
        <w:spacing w:after="240"/>
        <w:rPr>
          <w:rFonts w:ascii="Calibri" w:hAnsi="Calibri" w:cs="Calibri"/>
          <w:color w:val="auto"/>
          <w:sz w:val="22"/>
          <w:szCs w:val="22"/>
        </w:rPr>
      </w:pPr>
    </w:p>
    <w:p w14:paraId="283B9877" w14:textId="2DD9F747" w:rsidR="000F0C8B" w:rsidRDefault="000F0C8B" w:rsidP="000F0C8B">
      <w:pPr>
        <w:pStyle w:val="BGNormal150"/>
        <w:spacing w:after="240"/>
        <w:rPr>
          <w:rFonts w:ascii="Calibri" w:hAnsi="Calibri" w:cs="Calibri"/>
          <w:color w:val="auto"/>
          <w:sz w:val="22"/>
          <w:szCs w:val="22"/>
        </w:rPr>
      </w:pPr>
    </w:p>
    <w:p w14:paraId="1DF0350A" w14:textId="3F53DD08" w:rsidR="000F0C8B" w:rsidRDefault="000F0C8B" w:rsidP="000F0C8B">
      <w:pPr>
        <w:pStyle w:val="BGNormal150"/>
        <w:spacing w:after="240"/>
        <w:rPr>
          <w:rFonts w:ascii="Calibri" w:hAnsi="Calibri" w:cs="Calibri"/>
          <w:color w:val="auto"/>
          <w:sz w:val="22"/>
          <w:szCs w:val="22"/>
        </w:rPr>
      </w:pPr>
    </w:p>
    <w:p w14:paraId="0F53573F" w14:textId="77777777" w:rsidR="000F0C8B" w:rsidRPr="00AC50C1" w:rsidRDefault="000F0C8B" w:rsidP="000F0C8B">
      <w:pPr>
        <w:pStyle w:val="BGNormal150"/>
        <w:spacing w:after="240"/>
        <w:rPr>
          <w:rFonts w:ascii="Calibri" w:hAnsi="Calibri" w:cs="Calibri"/>
          <w:color w:val="auto"/>
          <w:sz w:val="28"/>
          <w:szCs w:val="28"/>
        </w:rPr>
      </w:pPr>
    </w:p>
    <w:p w14:paraId="6FBCD6AA" w14:textId="77B465A7" w:rsidR="004B58AD" w:rsidRPr="00AC50C1" w:rsidRDefault="004B58AD" w:rsidP="00C042FC">
      <w:pPr>
        <w:pStyle w:val="Caption"/>
        <w:jc w:val="center"/>
        <w:rPr>
          <w:b/>
          <w:bCs/>
          <w:i w:val="0"/>
          <w:iCs w:val="0"/>
          <w:color w:val="auto"/>
          <w:sz w:val="22"/>
          <w:szCs w:val="22"/>
        </w:rPr>
      </w:pPr>
      <w:bookmarkStart w:id="498" w:name="_Ref377119099"/>
      <w:r w:rsidRPr="00AC50C1">
        <w:rPr>
          <w:b/>
          <w:bCs/>
          <w:i w:val="0"/>
          <w:iCs w:val="0"/>
          <w:color w:val="auto"/>
          <w:sz w:val="22"/>
          <w:szCs w:val="22"/>
        </w:rPr>
        <w:t>Table A1-</w:t>
      </w:r>
      <w:r w:rsidRPr="00AC50C1">
        <w:rPr>
          <w:b/>
          <w:bCs/>
          <w:i w:val="0"/>
          <w:iCs w:val="0"/>
          <w:noProof/>
          <w:color w:val="auto"/>
          <w:sz w:val="22"/>
          <w:szCs w:val="22"/>
        </w:rPr>
        <w:fldChar w:fldCharType="begin"/>
      </w:r>
      <w:r w:rsidRPr="00AC50C1">
        <w:rPr>
          <w:b/>
          <w:bCs/>
          <w:i w:val="0"/>
          <w:iCs w:val="0"/>
          <w:noProof/>
          <w:color w:val="auto"/>
          <w:sz w:val="22"/>
          <w:szCs w:val="22"/>
        </w:rPr>
        <w:instrText xml:space="preserve"> SEQ Table_A1- \* ARABIC </w:instrText>
      </w:r>
      <w:r w:rsidRPr="00AC50C1">
        <w:rPr>
          <w:b/>
          <w:bCs/>
          <w:i w:val="0"/>
          <w:iCs w:val="0"/>
          <w:noProof/>
          <w:color w:val="auto"/>
          <w:sz w:val="22"/>
          <w:szCs w:val="22"/>
        </w:rPr>
        <w:fldChar w:fldCharType="separate"/>
      </w:r>
      <w:r w:rsidRPr="00AC50C1">
        <w:rPr>
          <w:b/>
          <w:bCs/>
          <w:i w:val="0"/>
          <w:iCs w:val="0"/>
          <w:noProof/>
          <w:color w:val="auto"/>
          <w:sz w:val="22"/>
          <w:szCs w:val="22"/>
        </w:rPr>
        <w:t>6</w:t>
      </w:r>
      <w:r w:rsidRPr="00AC50C1">
        <w:rPr>
          <w:b/>
          <w:bCs/>
          <w:i w:val="0"/>
          <w:iCs w:val="0"/>
          <w:noProof/>
          <w:color w:val="auto"/>
          <w:sz w:val="22"/>
          <w:szCs w:val="22"/>
        </w:rPr>
        <w:fldChar w:fldCharType="end"/>
      </w:r>
      <w:bookmarkEnd w:id="498"/>
      <w:r w:rsidR="00C042FC" w:rsidRPr="00AC50C1">
        <w:rPr>
          <w:b/>
          <w:bCs/>
          <w:i w:val="0"/>
          <w:iCs w:val="0"/>
          <w:noProof/>
          <w:color w:val="auto"/>
          <w:sz w:val="22"/>
          <w:szCs w:val="22"/>
        </w:rPr>
        <w:t xml:space="preserve">. </w:t>
      </w:r>
      <w:r w:rsidRPr="00AC50C1">
        <w:rPr>
          <w:b/>
          <w:bCs/>
          <w:i w:val="0"/>
          <w:iCs w:val="0"/>
          <w:color w:val="auto"/>
          <w:sz w:val="22"/>
          <w:szCs w:val="22"/>
        </w:rPr>
        <w:t>Assumed ERS Quantities Available in 202</w:t>
      </w:r>
      <w:r w:rsidR="00AC50C1" w:rsidRPr="00AC50C1">
        <w:rPr>
          <w:b/>
          <w:bCs/>
          <w:i w:val="0"/>
          <w:iCs w:val="0"/>
          <w:color w:val="auto"/>
          <w:sz w:val="22"/>
          <w:szCs w:val="22"/>
        </w:rPr>
        <w:t>4</w:t>
      </w:r>
    </w:p>
    <w:p w14:paraId="3A841F02" w14:textId="7F6B79BA" w:rsidR="004B58AD" w:rsidRDefault="00AC50C1" w:rsidP="004B58AD">
      <w:pPr>
        <w:pStyle w:val="BGInsertGraphic"/>
        <w:keepNext/>
        <w:ind w:left="540" w:hanging="540"/>
      </w:pPr>
      <w:r>
        <w:rPr>
          <w:noProof/>
        </w:rPr>
        <w:drawing>
          <wp:inline distT="0" distB="0" distL="0" distR="0" wp14:anchorId="561B7CB6" wp14:editId="6D3C6458">
            <wp:extent cx="5244785" cy="4518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1675" cy="4523961"/>
                    </a:xfrm>
                    <a:prstGeom prst="rect">
                      <a:avLst/>
                    </a:prstGeom>
                    <a:noFill/>
                  </pic:spPr>
                </pic:pic>
              </a:graphicData>
            </a:graphic>
          </wp:inline>
        </w:drawing>
      </w:r>
    </w:p>
    <w:p w14:paraId="79A67540" w14:textId="77777777" w:rsidR="004B58AD" w:rsidRPr="00AC50C1" w:rsidRDefault="004B58AD" w:rsidP="004B58AD">
      <w:pPr>
        <w:pStyle w:val="BGNotesFiguresTables"/>
        <w:keepNext/>
        <w:tabs>
          <w:tab w:val="left" w:pos="1170"/>
          <w:tab w:val="left" w:pos="1350"/>
        </w:tabs>
        <w:spacing w:before="0"/>
        <w:ind w:right="994" w:hanging="446"/>
        <w:rPr>
          <w:color w:val="auto"/>
        </w:rPr>
      </w:pPr>
      <w:r w:rsidRPr="00AC50C1">
        <w:rPr>
          <w:i/>
          <w:color w:val="auto"/>
        </w:rPr>
        <w:t>Sources and Notes:</w:t>
      </w:r>
      <w:r w:rsidRPr="00AC50C1">
        <w:rPr>
          <w:color w:val="auto"/>
        </w:rPr>
        <w:t xml:space="preserve"> </w:t>
      </w:r>
    </w:p>
    <w:p w14:paraId="01ED1D2D" w14:textId="4D96567D" w:rsidR="004B58AD" w:rsidRPr="00AC50C1" w:rsidRDefault="004B58AD" w:rsidP="004B58AD">
      <w:pPr>
        <w:pStyle w:val="BGNotesFiguresTables"/>
        <w:keepNext/>
        <w:tabs>
          <w:tab w:val="left" w:pos="1170"/>
        </w:tabs>
        <w:spacing w:before="0"/>
        <w:ind w:right="994" w:hanging="446"/>
        <w:rPr>
          <w:color w:val="auto"/>
        </w:rPr>
      </w:pPr>
      <w:r w:rsidRPr="00AC50C1">
        <w:rPr>
          <w:color w:val="auto"/>
        </w:rPr>
        <w:tab/>
        <w:t>Total available ERS MW for 202</w:t>
      </w:r>
      <w:r w:rsidR="00AC50C1" w:rsidRPr="00AC50C1">
        <w:rPr>
          <w:color w:val="auto"/>
        </w:rPr>
        <w:t>4</w:t>
      </w:r>
      <w:r w:rsidRPr="00AC50C1">
        <w:rPr>
          <w:color w:val="auto"/>
        </w:rPr>
        <w:t xml:space="preserve"> June-Sept. TP4 provided by ERCOT staff.</w:t>
      </w:r>
    </w:p>
    <w:p w14:paraId="008503D2" w14:textId="7BA5CCC3" w:rsidR="004B58AD" w:rsidRPr="00AC50C1" w:rsidRDefault="004B58AD" w:rsidP="002A2715">
      <w:pPr>
        <w:pStyle w:val="BGNotesFiguresTables"/>
        <w:keepNext/>
        <w:tabs>
          <w:tab w:val="left" w:pos="1170"/>
        </w:tabs>
        <w:spacing w:before="0" w:after="240"/>
        <w:ind w:right="994" w:hanging="446"/>
        <w:rPr>
          <w:color w:val="auto"/>
        </w:rPr>
      </w:pPr>
      <w:r w:rsidRPr="00AC50C1">
        <w:rPr>
          <w:color w:val="auto"/>
        </w:rPr>
        <w:tab/>
        <w:t>ERS 10-min and 30-min MW for other contract periods scaled proportionally to the 202</w:t>
      </w:r>
      <w:r w:rsidR="00AC50C1" w:rsidRPr="00AC50C1">
        <w:rPr>
          <w:color w:val="auto"/>
        </w:rPr>
        <w:t>4</w:t>
      </w:r>
      <w:r w:rsidRPr="00AC50C1">
        <w:rPr>
          <w:color w:val="auto"/>
        </w:rPr>
        <w:t xml:space="preserve"> LTRA summer quantity (7</w:t>
      </w:r>
      <w:r w:rsidR="00AC50C1" w:rsidRPr="00AC50C1">
        <w:rPr>
          <w:color w:val="auto"/>
        </w:rPr>
        <w:t>67</w:t>
      </w:r>
      <w:r w:rsidRPr="00AC50C1">
        <w:rPr>
          <w:color w:val="auto"/>
        </w:rPr>
        <w:t xml:space="preserve"> MW), based on availability in 201</w:t>
      </w:r>
      <w:r w:rsidR="00AC50C1" w:rsidRPr="00AC50C1">
        <w:rPr>
          <w:color w:val="auto"/>
        </w:rPr>
        <w:t>9</w:t>
      </w:r>
      <w:r w:rsidRPr="00AC50C1">
        <w:rPr>
          <w:color w:val="auto"/>
        </w:rPr>
        <w:t>, from ERCOT (20</w:t>
      </w:r>
      <w:r w:rsidR="00AB139A">
        <w:rPr>
          <w:color w:val="auto"/>
        </w:rPr>
        <w:t>20</w:t>
      </w:r>
      <w:r w:rsidRPr="00AC50C1">
        <w:rPr>
          <w:color w:val="auto"/>
        </w:rPr>
        <w:t>a).</w:t>
      </w:r>
    </w:p>
    <w:p w14:paraId="5ED9FD6B" w14:textId="48DCB380" w:rsidR="004B58AD" w:rsidRDefault="004B58AD" w:rsidP="002A2715">
      <w:pPr>
        <w:pStyle w:val="Heading3"/>
        <w:numPr>
          <w:ilvl w:val="0"/>
          <w:numId w:val="20"/>
        </w:numPr>
        <w:spacing w:before="240"/>
      </w:pPr>
      <w:bookmarkStart w:id="499" w:name="_Toc526279140"/>
      <w:bookmarkStart w:id="500" w:name="_Toc526437292"/>
      <w:bookmarkStart w:id="501" w:name="_Toc526437479"/>
      <w:bookmarkStart w:id="502" w:name="_Toc526439935"/>
      <w:bookmarkStart w:id="503" w:name="_Toc526440045"/>
      <w:bookmarkStart w:id="504" w:name="_Ref526444226"/>
      <w:bookmarkStart w:id="505" w:name="_Toc532834323"/>
      <w:bookmarkStart w:id="506" w:name="_Toc57193596"/>
      <w:bookmarkStart w:id="507" w:name="_Ref524990986"/>
      <w:bookmarkStart w:id="508" w:name="_Toc525079620"/>
      <w:bookmarkStart w:id="509" w:name="_Toc525851047"/>
      <w:bookmarkStart w:id="510" w:name="_Toc525938078"/>
      <w:r>
        <w:t>Load Resources Providing Ancillary Services</w:t>
      </w:r>
      <w:bookmarkEnd w:id="499"/>
      <w:bookmarkEnd w:id="500"/>
      <w:bookmarkEnd w:id="501"/>
      <w:bookmarkEnd w:id="502"/>
      <w:bookmarkEnd w:id="503"/>
      <w:bookmarkEnd w:id="504"/>
      <w:bookmarkEnd w:id="505"/>
      <w:bookmarkEnd w:id="506"/>
      <w:r>
        <w:t xml:space="preserve"> </w:t>
      </w:r>
      <w:bookmarkEnd w:id="507"/>
      <w:bookmarkEnd w:id="508"/>
      <w:bookmarkEnd w:id="509"/>
      <w:bookmarkEnd w:id="510"/>
    </w:p>
    <w:p w14:paraId="6BDBD0DC" w14:textId="37A2A635" w:rsidR="004B58AD" w:rsidRPr="00606856" w:rsidRDefault="004B58AD" w:rsidP="00AB139A">
      <w:pPr>
        <w:pStyle w:val="BGNormal125"/>
        <w:spacing w:after="240"/>
        <w:rPr>
          <w:rFonts w:ascii="Calibri" w:hAnsi="Calibri" w:cs="Calibri"/>
          <w:color w:val="auto"/>
          <w:sz w:val="22"/>
          <w:szCs w:val="22"/>
        </w:rPr>
      </w:pPr>
      <w:r w:rsidRPr="00606856">
        <w:rPr>
          <w:rFonts w:ascii="Calibri" w:hAnsi="Calibri" w:cs="Calibri"/>
          <w:color w:val="auto"/>
          <w:sz w:val="22"/>
          <w:szCs w:val="22"/>
        </w:rPr>
        <w:t xml:space="preserve">Consistent with ERCOT’s published minimum Responsive Reserve Service (RRS) requirements, we model </w:t>
      </w:r>
      <w:r w:rsidRPr="00606856" w:rsidDel="00212975">
        <w:rPr>
          <w:rFonts w:ascii="Calibri" w:hAnsi="Calibri" w:cs="Calibri"/>
          <w:color w:val="auto"/>
          <w:sz w:val="22"/>
          <w:szCs w:val="22"/>
        </w:rPr>
        <w:t>1,</w:t>
      </w:r>
      <w:r w:rsidRPr="00606856">
        <w:rPr>
          <w:rFonts w:ascii="Calibri" w:hAnsi="Calibri" w:cs="Calibri"/>
          <w:color w:val="auto"/>
          <w:sz w:val="22"/>
          <w:szCs w:val="22"/>
        </w:rPr>
        <w:t>1</w:t>
      </w:r>
      <w:r w:rsidR="00606856" w:rsidRPr="00606856">
        <w:rPr>
          <w:rFonts w:ascii="Calibri" w:hAnsi="Calibri" w:cs="Calibri"/>
          <w:color w:val="auto"/>
          <w:sz w:val="22"/>
          <w:szCs w:val="22"/>
        </w:rPr>
        <w:t>72</w:t>
      </w:r>
      <w:r w:rsidRPr="00606856">
        <w:rPr>
          <w:rFonts w:ascii="Calibri" w:hAnsi="Calibri" w:cs="Calibri"/>
          <w:color w:val="auto"/>
          <w:sz w:val="22"/>
          <w:szCs w:val="22"/>
        </w:rPr>
        <w:t xml:space="preserve"> MW of non-controllable load resources (LRs) that actively participate in the RRS market.</w:t>
      </w:r>
      <w:r w:rsidRPr="00606856">
        <w:rPr>
          <w:rStyle w:val="FootnoteReference"/>
          <w:rFonts w:ascii="Calibri" w:hAnsi="Calibri" w:cs="Calibri"/>
          <w:color w:val="auto"/>
          <w:sz w:val="22"/>
          <w:szCs w:val="22"/>
        </w:rPr>
        <w:footnoteReference w:id="56"/>
      </w:r>
      <w:r w:rsidRPr="00606856">
        <w:rPr>
          <w:rFonts w:ascii="Calibri" w:hAnsi="Calibri" w:cs="Calibri"/>
          <w:color w:val="auto"/>
          <w:sz w:val="22"/>
          <w:szCs w:val="22"/>
        </w:rPr>
        <w:t xml:space="preserve">  All 1,</w:t>
      </w:r>
      <w:r w:rsidR="00606856" w:rsidRPr="00606856">
        <w:rPr>
          <w:rFonts w:ascii="Calibri" w:hAnsi="Calibri" w:cs="Calibri"/>
          <w:color w:val="auto"/>
          <w:sz w:val="22"/>
          <w:szCs w:val="22"/>
        </w:rPr>
        <w:t>172</w:t>
      </w:r>
      <w:r w:rsidRPr="00606856">
        <w:rPr>
          <w:rFonts w:ascii="Calibri" w:hAnsi="Calibri" w:cs="Calibri"/>
          <w:color w:val="auto"/>
          <w:sz w:val="22"/>
          <w:szCs w:val="22"/>
        </w:rPr>
        <w:t xml:space="preserve"> MW are modeled as responsive to Energy Emergency Alert, Level 2.</w:t>
      </w:r>
      <w:bookmarkStart w:id="511" w:name="_Ref377129702"/>
      <w:bookmarkEnd w:id="511"/>
    </w:p>
    <w:p w14:paraId="6AE875EA" w14:textId="05E872CB" w:rsidR="004B58AD" w:rsidRDefault="004B58AD" w:rsidP="00FA0DFD">
      <w:pPr>
        <w:pStyle w:val="Heading3"/>
        <w:numPr>
          <w:ilvl w:val="0"/>
          <w:numId w:val="20"/>
        </w:numPr>
      </w:pPr>
      <w:bookmarkStart w:id="512" w:name="_Toc526279141"/>
      <w:bookmarkStart w:id="513" w:name="_Toc526437293"/>
      <w:bookmarkStart w:id="514" w:name="_Toc526437480"/>
      <w:bookmarkStart w:id="515" w:name="_Toc526439936"/>
      <w:bookmarkStart w:id="516" w:name="_Toc526440046"/>
      <w:bookmarkStart w:id="517" w:name="_Toc532834324"/>
      <w:bookmarkStart w:id="518" w:name="_Toc57193597"/>
      <w:bookmarkStart w:id="519" w:name="_Toc525079621"/>
      <w:bookmarkStart w:id="520" w:name="_Toc525851048"/>
      <w:bookmarkStart w:id="521" w:name="_Toc525938079"/>
      <w:r>
        <w:t>Price Responsive Demand</w:t>
      </w:r>
      <w:bookmarkEnd w:id="512"/>
      <w:bookmarkEnd w:id="513"/>
      <w:bookmarkEnd w:id="514"/>
      <w:bookmarkEnd w:id="515"/>
      <w:bookmarkEnd w:id="516"/>
      <w:bookmarkEnd w:id="517"/>
      <w:r w:rsidR="00796F50">
        <w:t xml:space="preserve"> and 4 Coincident Peak</w:t>
      </w:r>
      <w:bookmarkEnd w:id="518"/>
      <w:r>
        <w:t xml:space="preserve"> </w:t>
      </w:r>
      <w:bookmarkEnd w:id="519"/>
      <w:bookmarkEnd w:id="520"/>
      <w:bookmarkEnd w:id="521"/>
    </w:p>
    <w:p w14:paraId="5BA0F871" w14:textId="62BC87CC" w:rsidR="00FE1E32" w:rsidRPr="00DA6653" w:rsidRDefault="00BC0BD3" w:rsidP="00DA6653">
      <w:pPr>
        <w:pStyle w:val="BGNormal125"/>
        <w:rPr>
          <w:rFonts w:ascii="Calibri" w:hAnsi="Calibri" w:cs="Calibri"/>
          <w:color w:val="auto"/>
          <w:sz w:val="22"/>
          <w:szCs w:val="22"/>
        </w:rPr>
      </w:pPr>
      <w:r w:rsidRPr="00DA6653">
        <w:rPr>
          <w:rFonts w:ascii="Calibri" w:hAnsi="Calibri" w:cs="Calibri"/>
          <w:color w:val="auto"/>
          <w:sz w:val="22"/>
          <w:szCs w:val="22"/>
        </w:rPr>
        <w:t xml:space="preserve">2019 historical demand response was used to develop modeling inputs to replicate stochastic </w:t>
      </w:r>
      <w:r w:rsidR="00DA6653" w:rsidRPr="00DA6653">
        <w:rPr>
          <w:rFonts w:ascii="Calibri" w:hAnsi="Calibri" w:cs="Calibri"/>
          <w:color w:val="auto"/>
          <w:sz w:val="22"/>
          <w:szCs w:val="22"/>
        </w:rPr>
        <w:t xml:space="preserve">demand-side </w:t>
      </w:r>
      <w:r w:rsidRPr="00DA6653">
        <w:rPr>
          <w:rFonts w:ascii="Calibri" w:hAnsi="Calibri" w:cs="Calibri"/>
          <w:color w:val="auto"/>
          <w:sz w:val="22"/>
          <w:szCs w:val="22"/>
        </w:rPr>
        <w:t xml:space="preserve">response </w:t>
      </w:r>
      <w:r w:rsidR="00DA6653" w:rsidRPr="00DA6653">
        <w:rPr>
          <w:rFonts w:ascii="Calibri" w:hAnsi="Calibri" w:cs="Calibri"/>
          <w:color w:val="auto"/>
          <w:sz w:val="22"/>
          <w:szCs w:val="22"/>
        </w:rPr>
        <w:t>for price responsive and 4-coincident peak demands</w:t>
      </w:r>
      <w:r w:rsidRPr="00DA6653">
        <w:rPr>
          <w:rFonts w:ascii="Calibri" w:hAnsi="Calibri" w:cs="Calibri"/>
          <w:color w:val="auto"/>
          <w:sz w:val="22"/>
          <w:szCs w:val="22"/>
        </w:rPr>
        <w:t>.</w:t>
      </w:r>
      <w:r w:rsidR="009C7344">
        <w:rPr>
          <w:rFonts w:ascii="Calibri" w:hAnsi="Calibri" w:cs="Calibri"/>
          <w:color w:val="auto"/>
          <w:sz w:val="22"/>
          <w:szCs w:val="22"/>
        </w:rPr>
        <w:t xml:space="preserve"> A comparison of historical and synthetic PRD calls is shown in Figure A1-7</w:t>
      </w:r>
      <w:r w:rsidRPr="00DA6653">
        <w:rPr>
          <w:rFonts w:ascii="Calibri" w:hAnsi="Calibri" w:cs="Calibri"/>
          <w:color w:val="auto"/>
          <w:sz w:val="22"/>
          <w:szCs w:val="22"/>
        </w:rPr>
        <w:t xml:space="preserve"> </w:t>
      </w:r>
      <w:r w:rsidR="00DA6653" w:rsidRPr="00DA6653">
        <w:rPr>
          <w:rFonts w:ascii="Calibri" w:hAnsi="Calibri" w:cs="Calibri"/>
          <w:color w:val="auto"/>
          <w:sz w:val="22"/>
          <w:szCs w:val="22"/>
        </w:rPr>
        <w:t>The aggregate of these shapes was used to gross up all 40 synthetic weather shapes.</w:t>
      </w:r>
    </w:p>
    <w:p w14:paraId="37CBB6A0" w14:textId="4144FA00" w:rsidR="00FE1E32" w:rsidRPr="00DA6653" w:rsidRDefault="00FE1E32">
      <w:pPr>
        <w:spacing w:before="300" w:after="0" w:line="300" w:lineRule="auto"/>
        <w:jc w:val="both"/>
      </w:pPr>
      <w:r w:rsidRPr="00DA6653">
        <w:t>To model th</w:t>
      </w:r>
      <w:r w:rsidR="00DA6653" w:rsidRPr="00DA6653">
        <w:t xml:space="preserve">e price responsive demand (PRD) </w:t>
      </w:r>
      <w:r w:rsidRPr="00DA6653">
        <w:t xml:space="preserve">in SERVM, a curtailable unit was be created that points to a price responsive demand curve.  The demand curve has 4 pricing points based on the segments above ($200, $400, $800, and $1,500).  For each of the 4 pricing points, 50 data points were created using the segment formulas specified.  Within SERVM, whenever price reached one of the specified threshold points, </w:t>
      </w:r>
      <w:proofErr w:type="gramStart"/>
      <w:r w:rsidRPr="00DA6653">
        <w:t>SERVM  randomly</w:t>
      </w:r>
      <w:proofErr w:type="gramEnd"/>
      <w:r w:rsidRPr="00DA6653">
        <w:t xml:space="preserve"> picked a DR value from that list of 50 data points. The Price Responsive Demand unit was available in all months.</w:t>
      </w:r>
    </w:p>
    <w:p w14:paraId="3E638E3C" w14:textId="1B547EA7" w:rsidR="00DA6653" w:rsidRDefault="00DA6653" w:rsidP="00DA6653">
      <w:pPr>
        <w:pStyle w:val="BGNormal125"/>
        <w:jc w:val="center"/>
        <w:rPr>
          <w:rFonts w:ascii="Calibri" w:hAnsi="Calibri" w:cs="Calibri"/>
          <w:b/>
          <w:bCs/>
          <w:color w:val="auto"/>
          <w:sz w:val="22"/>
          <w:szCs w:val="22"/>
        </w:rPr>
      </w:pPr>
      <w:r w:rsidRPr="00A550A2">
        <w:rPr>
          <w:rFonts w:ascii="Calibri" w:hAnsi="Calibri" w:cs="Calibri"/>
          <w:b/>
          <w:bCs/>
          <w:color w:val="auto"/>
          <w:sz w:val="22"/>
          <w:szCs w:val="22"/>
        </w:rPr>
        <w:t>Figure A1-</w:t>
      </w:r>
      <w:r w:rsidRPr="00A550A2">
        <w:rPr>
          <w:rFonts w:ascii="Calibri" w:hAnsi="Calibri" w:cs="Calibri"/>
          <w:b/>
          <w:bCs/>
          <w:noProof/>
          <w:color w:val="auto"/>
          <w:sz w:val="22"/>
          <w:szCs w:val="22"/>
        </w:rPr>
        <w:fldChar w:fldCharType="begin"/>
      </w:r>
      <w:r w:rsidRPr="00A550A2">
        <w:rPr>
          <w:rFonts w:ascii="Calibri" w:hAnsi="Calibri" w:cs="Calibri"/>
          <w:b/>
          <w:bCs/>
          <w:noProof/>
          <w:color w:val="auto"/>
          <w:sz w:val="22"/>
          <w:szCs w:val="22"/>
        </w:rPr>
        <w:instrText xml:space="preserve"> SEQ Figure_A1- \* ARABIC </w:instrText>
      </w:r>
      <w:r w:rsidRPr="00A550A2">
        <w:rPr>
          <w:rFonts w:ascii="Calibri" w:hAnsi="Calibri" w:cs="Calibri"/>
          <w:b/>
          <w:bCs/>
          <w:noProof/>
          <w:color w:val="auto"/>
          <w:sz w:val="22"/>
          <w:szCs w:val="22"/>
        </w:rPr>
        <w:fldChar w:fldCharType="separate"/>
      </w:r>
      <w:r w:rsidR="009C7344">
        <w:rPr>
          <w:rFonts w:ascii="Calibri" w:hAnsi="Calibri" w:cs="Calibri"/>
          <w:b/>
          <w:bCs/>
          <w:noProof/>
          <w:color w:val="auto"/>
          <w:sz w:val="22"/>
          <w:szCs w:val="22"/>
        </w:rPr>
        <w:t>7</w:t>
      </w:r>
      <w:r w:rsidRPr="00A550A2">
        <w:rPr>
          <w:rFonts w:ascii="Calibri" w:hAnsi="Calibri" w:cs="Calibri"/>
          <w:b/>
          <w:bCs/>
          <w:noProof/>
          <w:color w:val="auto"/>
          <w:sz w:val="22"/>
          <w:szCs w:val="22"/>
        </w:rPr>
        <w:fldChar w:fldCharType="end"/>
      </w:r>
      <w:r w:rsidRPr="00A550A2">
        <w:rPr>
          <w:rFonts w:ascii="Calibri" w:hAnsi="Calibri" w:cs="Calibri"/>
          <w:b/>
          <w:bCs/>
          <w:noProof/>
          <w:color w:val="auto"/>
          <w:sz w:val="22"/>
          <w:szCs w:val="22"/>
        </w:rPr>
        <w:t xml:space="preserve">. </w:t>
      </w:r>
      <w:r>
        <w:rPr>
          <w:rFonts w:ascii="Calibri" w:hAnsi="Calibri" w:cs="Calibri"/>
          <w:b/>
          <w:bCs/>
          <w:color w:val="auto"/>
          <w:sz w:val="22"/>
          <w:szCs w:val="22"/>
        </w:rPr>
        <w:t>Comparison of Historical and Synthetic PRD Calls</w:t>
      </w:r>
    </w:p>
    <w:p w14:paraId="7369D6D5" w14:textId="0E8B7336" w:rsidR="00DA6653" w:rsidRPr="008B0478" w:rsidRDefault="00DA6653" w:rsidP="008B0478">
      <w:pPr>
        <w:pStyle w:val="BGNormal125"/>
        <w:spacing w:before="0"/>
        <w:jc w:val="center"/>
        <w:rPr>
          <w:rFonts w:ascii="Calibri" w:hAnsi="Calibri" w:cs="Calibri"/>
          <w:b/>
          <w:bCs/>
          <w:color w:val="C00000"/>
          <w:sz w:val="22"/>
          <w:szCs w:val="22"/>
        </w:rPr>
      </w:pPr>
      <w:r>
        <w:rPr>
          <w:rFonts w:ascii="Calibri" w:hAnsi="Calibri" w:cs="Calibri"/>
          <w:b/>
          <w:bCs/>
          <w:noProof/>
          <w:color w:val="C00000"/>
          <w:sz w:val="22"/>
          <w:szCs w:val="22"/>
        </w:rPr>
        <w:drawing>
          <wp:inline distT="0" distB="0" distL="0" distR="0" wp14:anchorId="1B137984" wp14:editId="55296D48">
            <wp:extent cx="5852795" cy="42068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2795" cy="4206875"/>
                    </a:xfrm>
                    <a:prstGeom prst="rect">
                      <a:avLst/>
                    </a:prstGeom>
                    <a:noFill/>
                  </pic:spPr>
                </pic:pic>
              </a:graphicData>
            </a:graphic>
          </wp:inline>
        </w:drawing>
      </w:r>
    </w:p>
    <w:p w14:paraId="7B2C23B4" w14:textId="202E6463" w:rsidR="00BC0BD3" w:rsidRDefault="00BC0BD3" w:rsidP="00AB139A">
      <w:pPr>
        <w:spacing w:before="300" w:after="0" w:line="300" w:lineRule="auto"/>
        <w:jc w:val="both"/>
      </w:pPr>
      <w:r w:rsidRPr="00DA6653">
        <w:t>This stochastic representation in 2020 modeling differs from the discrete representation in the 2018 study, as shown in Figure A1-</w:t>
      </w:r>
      <w:r w:rsidR="009C7344">
        <w:t>8</w:t>
      </w:r>
      <w:r w:rsidRPr="00DA6653">
        <w:t xml:space="preserve">. </w:t>
      </w:r>
    </w:p>
    <w:p w14:paraId="2ECDFC03" w14:textId="26F5A98A" w:rsidR="000F0C8B" w:rsidRDefault="000F0C8B" w:rsidP="00AB139A">
      <w:pPr>
        <w:spacing w:before="300" w:after="0" w:line="300" w:lineRule="auto"/>
        <w:jc w:val="both"/>
      </w:pPr>
    </w:p>
    <w:p w14:paraId="3975CD81" w14:textId="77777777" w:rsidR="000F0C8B" w:rsidRPr="00DA6653" w:rsidRDefault="000F0C8B" w:rsidP="00AB139A">
      <w:pPr>
        <w:spacing w:before="300" w:after="0" w:line="300" w:lineRule="auto"/>
        <w:jc w:val="both"/>
      </w:pPr>
    </w:p>
    <w:p w14:paraId="739570A3" w14:textId="6E156B31" w:rsidR="00BC0BD3" w:rsidRDefault="00BC0BD3" w:rsidP="00BC0BD3">
      <w:pPr>
        <w:pStyle w:val="BGNormal125"/>
        <w:jc w:val="center"/>
        <w:rPr>
          <w:rFonts w:ascii="Calibri" w:hAnsi="Calibri" w:cs="Calibri"/>
          <w:b/>
          <w:bCs/>
          <w:color w:val="auto"/>
          <w:sz w:val="22"/>
          <w:szCs w:val="22"/>
        </w:rPr>
      </w:pPr>
      <w:r w:rsidRPr="00A550A2">
        <w:rPr>
          <w:rFonts w:ascii="Calibri" w:hAnsi="Calibri" w:cs="Calibri"/>
          <w:b/>
          <w:bCs/>
          <w:color w:val="auto"/>
          <w:sz w:val="22"/>
          <w:szCs w:val="22"/>
        </w:rPr>
        <w:t>Figure A1-</w:t>
      </w:r>
      <w:r w:rsidRPr="00A550A2">
        <w:rPr>
          <w:rFonts w:ascii="Calibri" w:hAnsi="Calibri" w:cs="Calibri"/>
          <w:b/>
          <w:bCs/>
          <w:noProof/>
          <w:color w:val="auto"/>
          <w:sz w:val="22"/>
          <w:szCs w:val="22"/>
        </w:rPr>
        <w:fldChar w:fldCharType="begin"/>
      </w:r>
      <w:r w:rsidRPr="00A550A2">
        <w:rPr>
          <w:rFonts w:ascii="Calibri" w:hAnsi="Calibri" w:cs="Calibri"/>
          <w:b/>
          <w:bCs/>
          <w:noProof/>
          <w:color w:val="auto"/>
          <w:sz w:val="22"/>
          <w:szCs w:val="22"/>
        </w:rPr>
        <w:instrText xml:space="preserve"> SEQ Figure_A1- \* ARABIC </w:instrText>
      </w:r>
      <w:r w:rsidRPr="00A550A2">
        <w:rPr>
          <w:rFonts w:ascii="Calibri" w:hAnsi="Calibri" w:cs="Calibri"/>
          <w:b/>
          <w:bCs/>
          <w:noProof/>
          <w:color w:val="auto"/>
          <w:sz w:val="22"/>
          <w:szCs w:val="22"/>
        </w:rPr>
        <w:fldChar w:fldCharType="separate"/>
      </w:r>
      <w:r w:rsidR="009C7344">
        <w:rPr>
          <w:rFonts w:ascii="Calibri" w:hAnsi="Calibri" w:cs="Calibri"/>
          <w:b/>
          <w:bCs/>
          <w:noProof/>
          <w:color w:val="auto"/>
          <w:sz w:val="22"/>
          <w:szCs w:val="22"/>
        </w:rPr>
        <w:t>8</w:t>
      </w:r>
      <w:r w:rsidRPr="00A550A2">
        <w:rPr>
          <w:rFonts w:ascii="Calibri" w:hAnsi="Calibri" w:cs="Calibri"/>
          <w:b/>
          <w:bCs/>
          <w:noProof/>
          <w:color w:val="auto"/>
          <w:sz w:val="22"/>
          <w:szCs w:val="22"/>
        </w:rPr>
        <w:fldChar w:fldCharType="end"/>
      </w:r>
      <w:r w:rsidRPr="00A550A2">
        <w:rPr>
          <w:rFonts w:ascii="Calibri" w:hAnsi="Calibri" w:cs="Calibri"/>
          <w:b/>
          <w:bCs/>
          <w:noProof/>
          <w:color w:val="auto"/>
          <w:sz w:val="22"/>
          <w:szCs w:val="22"/>
        </w:rPr>
        <w:t xml:space="preserve">. </w:t>
      </w:r>
      <w:r>
        <w:rPr>
          <w:rFonts w:ascii="Calibri" w:hAnsi="Calibri" w:cs="Calibri"/>
          <w:b/>
          <w:bCs/>
          <w:color w:val="auto"/>
          <w:sz w:val="22"/>
          <w:szCs w:val="22"/>
        </w:rPr>
        <w:t>PRD Modeling Comparison Between 2018 and 2020 Studies</w:t>
      </w:r>
    </w:p>
    <w:p w14:paraId="1A45BB84" w14:textId="24E24B60" w:rsidR="00BC0BD3" w:rsidRDefault="00BC0BD3" w:rsidP="000F0C8B">
      <w:pPr>
        <w:pStyle w:val="BGNormal125"/>
        <w:spacing w:before="0"/>
        <w:jc w:val="center"/>
        <w:rPr>
          <w:rFonts w:ascii="Calibri" w:hAnsi="Calibri" w:cs="Calibri"/>
          <w:b/>
          <w:bCs/>
          <w:color w:val="auto"/>
          <w:sz w:val="22"/>
          <w:szCs w:val="22"/>
        </w:rPr>
      </w:pPr>
      <w:r w:rsidRPr="00BC0BD3">
        <w:rPr>
          <w:rFonts w:ascii="Calibri" w:hAnsi="Calibri" w:cs="Calibri"/>
          <w:b/>
          <w:bCs/>
          <w:noProof/>
          <w:color w:val="auto"/>
          <w:sz w:val="22"/>
          <w:szCs w:val="22"/>
        </w:rPr>
        <w:drawing>
          <wp:inline distT="0" distB="0" distL="0" distR="0" wp14:anchorId="18725E45" wp14:editId="76973FF9">
            <wp:extent cx="5736833" cy="4352921"/>
            <wp:effectExtent l="0" t="0" r="0" b="0"/>
            <wp:docPr id="37"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C3D0E6-B8A3-4615-8881-FA27BE0B73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C3D0E6-B8A3-4615-8881-FA27BE0B737E}"/>
                        </a:ext>
                      </a:extLst>
                    </pic:cNvPr>
                    <pic:cNvPicPr>
                      <a:picLocks noChangeAspect="1"/>
                    </pic:cNvPicPr>
                  </pic:nvPicPr>
                  <pic:blipFill>
                    <a:blip r:embed="rId72"/>
                    <a:stretch>
                      <a:fillRect/>
                    </a:stretch>
                  </pic:blipFill>
                  <pic:spPr>
                    <a:xfrm>
                      <a:off x="0" y="0"/>
                      <a:ext cx="5736833" cy="4352921"/>
                    </a:xfrm>
                    <a:prstGeom prst="rect">
                      <a:avLst/>
                    </a:prstGeom>
                  </pic:spPr>
                </pic:pic>
              </a:graphicData>
            </a:graphic>
          </wp:inline>
        </w:drawing>
      </w:r>
    </w:p>
    <w:p w14:paraId="7B12370C" w14:textId="7632F63A" w:rsidR="00FE1E32" w:rsidRPr="00DA6653" w:rsidRDefault="00BC1EC7" w:rsidP="00C75766">
      <w:pPr>
        <w:pStyle w:val="BGNormal125"/>
        <w:jc w:val="left"/>
        <w:rPr>
          <w:rFonts w:ascii="Calibri" w:hAnsi="Calibri" w:cs="Calibri"/>
          <w:color w:val="auto"/>
          <w:sz w:val="22"/>
          <w:szCs w:val="22"/>
        </w:rPr>
      </w:pPr>
      <w:r w:rsidRPr="00DA6653">
        <w:rPr>
          <w:rFonts w:ascii="Calibri" w:hAnsi="Calibri" w:cs="Calibri"/>
          <w:color w:val="auto"/>
          <w:sz w:val="22"/>
          <w:szCs w:val="22"/>
        </w:rPr>
        <w:t xml:space="preserve">Similarly, 4CP was modeled as a load responsive unit. </w:t>
      </w:r>
      <w:r w:rsidR="009C7344">
        <w:rPr>
          <w:rFonts w:ascii="Calibri" w:hAnsi="Calibri" w:cs="Calibri"/>
          <w:color w:val="auto"/>
          <w:sz w:val="22"/>
          <w:szCs w:val="22"/>
        </w:rPr>
        <w:t xml:space="preserve">A comparison of historical and synthetic 4CP calls is provided below in Figure A1-9. </w:t>
      </w:r>
      <w:r w:rsidR="009142DE" w:rsidRPr="00DA6653">
        <w:rPr>
          <w:rFonts w:ascii="Calibri" w:hAnsi="Calibri" w:cs="Calibri"/>
          <w:color w:val="auto"/>
          <w:sz w:val="22"/>
          <w:szCs w:val="22"/>
        </w:rPr>
        <w:t>Historical hourly 4CP was calculated as the sum of the following 4CP programs:</w:t>
      </w:r>
    </w:p>
    <w:p w14:paraId="75852D27" w14:textId="0BD897B9" w:rsidR="009142DE" w:rsidRPr="00DA6653" w:rsidRDefault="009142DE" w:rsidP="00AB139A">
      <w:pPr>
        <w:pStyle w:val="BGNormal125"/>
        <w:numPr>
          <w:ilvl w:val="1"/>
          <w:numId w:val="27"/>
        </w:numPr>
        <w:spacing w:before="0"/>
        <w:ind w:left="720"/>
        <w:jc w:val="left"/>
        <w:rPr>
          <w:rFonts w:ascii="Calibri" w:hAnsi="Calibri" w:cs="Calibri"/>
          <w:color w:val="auto"/>
          <w:sz w:val="22"/>
          <w:szCs w:val="22"/>
        </w:rPr>
      </w:pPr>
      <w:r w:rsidRPr="00DA6653">
        <w:rPr>
          <w:rFonts w:ascii="Calibri" w:hAnsi="Calibri" w:cs="Calibri"/>
          <w:color w:val="auto"/>
          <w:sz w:val="22"/>
          <w:szCs w:val="22"/>
        </w:rPr>
        <w:t>4CP Competitive</w:t>
      </w:r>
    </w:p>
    <w:p w14:paraId="0F414B6F" w14:textId="4FEF4814" w:rsidR="009142DE" w:rsidRPr="00DA6653" w:rsidRDefault="009142DE" w:rsidP="00C75766">
      <w:pPr>
        <w:pStyle w:val="BGNormal125"/>
        <w:numPr>
          <w:ilvl w:val="1"/>
          <w:numId w:val="27"/>
        </w:numPr>
        <w:spacing w:before="0"/>
        <w:ind w:left="720"/>
        <w:jc w:val="left"/>
        <w:rPr>
          <w:rFonts w:ascii="Calibri" w:hAnsi="Calibri" w:cs="Calibri"/>
          <w:color w:val="auto"/>
          <w:sz w:val="22"/>
          <w:szCs w:val="22"/>
        </w:rPr>
      </w:pPr>
      <w:r w:rsidRPr="00DA6653">
        <w:rPr>
          <w:rFonts w:ascii="Calibri" w:hAnsi="Calibri" w:cs="Calibri"/>
          <w:color w:val="auto"/>
          <w:sz w:val="22"/>
          <w:szCs w:val="22"/>
        </w:rPr>
        <w:t>4CP NOIE</w:t>
      </w:r>
    </w:p>
    <w:p w14:paraId="46C3398D" w14:textId="42532ABD" w:rsidR="009142DE" w:rsidRDefault="009142DE" w:rsidP="00C75766">
      <w:pPr>
        <w:pStyle w:val="BGNormal125"/>
        <w:rPr>
          <w:rFonts w:ascii="Calibri" w:hAnsi="Calibri" w:cs="Calibri"/>
          <w:color w:val="auto"/>
          <w:sz w:val="22"/>
          <w:szCs w:val="22"/>
        </w:rPr>
      </w:pPr>
      <w:r w:rsidRPr="00DA6653">
        <w:rPr>
          <w:rFonts w:ascii="Calibri" w:hAnsi="Calibri" w:cs="Calibri"/>
          <w:color w:val="auto"/>
          <w:sz w:val="22"/>
          <w:szCs w:val="22"/>
        </w:rPr>
        <w:t xml:space="preserve">To model this unit in SERVM, a curtailable unit </w:t>
      </w:r>
      <w:r w:rsidR="00BC0BD3" w:rsidRPr="00DA6653">
        <w:rPr>
          <w:rFonts w:ascii="Calibri" w:hAnsi="Calibri" w:cs="Calibri"/>
          <w:color w:val="auto"/>
          <w:sz w:val="22"/>
          <w:szCs w:val="22"/>
        </w:rPr>
        <w:t>was</w:t>
      </w:r>
      <w:r w:rsidRPr="00DA6653">
        <w:rPr>
          <w:rFonts w:ascii="Calibri" w:hAnsi="Calibri" w:cs="Calibri"/>
          <w:color w:val="auto"/>
          <w:sz w:val="22"/>
          <w:szCs w:val="22"/>
        </w:rPr>
        <w:t xml:space="preserve"> created that poin</w:t>
      </w:r>
      <w:r w:rsidR="00BC0BD3" w:rsidRPr="00DA6653">
        <w:rPr>
          <w:rFonts w:ascii="Calibri" w:hAnsi="Calibri" w:cs="Calibri"/>
          <w:color w:val="auto"/>
          <w:sz w:val="22"/>
          <w:szCs w:val="22"/>
        </w:rPr>
        <w:t>ted</w:t>
      </w:r>
      <w:r w:rsidRPr="00DA6653">
        <w:rPr>
          <w:rFonts w:ascii="Calibri" w:hAnsi="Calibri" w:cs="Calibri"/>
          <w:color w:val="auto"/>
          <w:sz w:val="22"/>
          <w:szCs w:val="22"/>
        </w:rPr>
        <w:t xml:space="preserve"> to a load responsive demand curve. The demand curve </w:t>
      </w:r>
      <w:r w:rsidR="00BC0BD3" w:rsidRPr="00DA6653">
        <w:rPr>
          <w:rFonts w:ascii="Calibri" w:hAnsi="Calibri" w:cs="Calibri"/>
          <w:color w:val="auto"/>
          <w:sz w:val="22"/>
          <w:szCs w:val="22"/>
        </w:rPr>
        <w:t>had</w:t>
      </w:r>
      <w:r w:rsidRPr="00DA6653">
        <w:rPr>
          <w:rFonts w:ascii="Calibri" w:hAnsi="Calibri" w:cs="Calibri"/>
          <w:color w:val="auto"/>
          <w:sz w:val="22"/>
          <w:szCs w:val="22"/>
        </w:rPr>
        <w:t xml:space="preserve"> 4 load points based on the segments above (66,000, 67,000, </w:t>
      </w:r>
      <w:r w:rsidR="00BC0BD3" w:rsidRPr="00DA6653">
        <w:rPr>
          <w:rFonts w:ascii="Calibri" w:hAnsi="Calibri" w:cs="Calibri"/>
          <w:color w:val="auto"/>
          <w:sz w:val="22"/>
          <w:szCs w:val="22"/>
        </w:rPr>
        <w:t>72,000, and 74,000 MW). For each of the 4 load points, 50 data points were created using the segment formulas specified. Within SERVM, whenever load reached one of the specified threshold points, SERVM randomly picked a DR value from that list of 50 data points. The 4 CP un</w:t>
      </w:r>
      <w:r w:rsidR="00DA6653" w:rsidRPr="00DA6653">
        <w:rPr>
          <w:rFonts w:ascii="Calibri" w:hAnsi="Calibri" w:cs="Calibri"/>
          <w:color w:val="auto"/>
          <w:sz w:val="22"/>
          <w:szCs w:val="22"/>
        </w:rPr>
        <w:t>it</w:t>
      </w:r>
      <w:r w:rsidR="00BC0BD3" w:rsidRPr="00DA6653">
        <w:rPr>
          <w:rFonts w:ascii="Calibri" w:hAnsi="Calibri" w:cs="Calibri"/>
          <w:color w:val="auto"/>
          <w:sz w:val="22"/>
          <w:szCs w:val="22"/>
        </w:rPr>
        <w:t xml:space="preserve"> was only available during the months of June to September. </w:t>
      </w:r>
    </w:p>
    <w:p w14:paraId="0B9B7E50" w14:textId="67497AE2" w:rsidR="000F0C8B" w:rsidRDefault="000F0C8B" w:rsidP="00C75766">
      <w:pPr>
        <w:pStyle w:val="BGNormal125"/>
        <w:rPr>
          <w:rFonts w:ascii="Calibri" w:hAnsi="Calibri" w:cs="Calibri"/>
          <w:color w:val="auto"/>
          <w:sz w:val="22"/>
          <w:szCs w:val="22"/>
        </w:rPr>
      </w:pPr>
    </w:p>
    <w:p w14:paraId="08FC164F" w14:textId="77777777" w:rsidR="000F0C8B" w:rsidRPr="00DA6653" w:rsidRDefault="000F0C8B" w:rsidP="00C75766">
      <w:pPr>
        <w:pStyle w:val="BGNormal125"/>
        <w:rPr>
          <w:rFonts w:ascii="Calibri" w:hAnsi="Calibri" w:cs="Calibri"/>
          <w:color w:val="auto"/>
          <w:sz w:val="22"/>
          <w:szCs w:val="22"/>
        </w:rPr>
      </w:pPr>
    </w:p>
    <w:p w14:paraId="2475F9A9" w14:textId="46BE24B8" w:rsidR="00DA6653" w:rsidRDefault="00DA6653" w:rsidP="00DA6653">
      <w:pPr>
        <w:pStyle w:val="BGNormal125"/>
        <w:jc w:val="center"/>
        <w:rPr>
          <w:rFonts w:ascii="Calibri" w:hAnsi="Calibri" w:cs="Calibri"/>
          <w:b/>
          <w:bCs/>
          <w:color w:val="auto"/>
          <w:sz w:val="22"/>
          <w:szCs w:val="22"/>
        </w:rPr>
      </w:pPr>
      <w:r w:rsidRPr="00A550A2">
        <w:rPr>
          <w:rFonts w:ascii="Calibri" w:hAnsi="Calibri" w:cs="Calibri"/>
          <w:b/>
          <w:bCs/>
          <w:color w:val="auto"/>
          <w:sz w:val="22"/>
          <w:szCs w:val="22"/>
        </w:rPr>
        <w:t>Figure A1-</w:t>
      </w:r>
      <w:r w:rsidRPr="00A550A2">
        <w:rPr>
          <w:rFonts w:ascii="Calibri" w:hAnsi="Calibri" w:cs="Calibri"/>
          <w:b/>
          <w:bCs/>
          <w:noProof/>
          <w:color w:val="auto"/>
          <w:sz w:val="22"/>
          <w:szCs w:val="22"/>
        </w:rPr>
        <w:fldChar w:fldCharType="begin"/>
      </w:r>
      <w:r w:rsidRPr="00A550A2">
        <w:rPr>
          <w:rFonts w:ascii="Calibri" w:hAnsi="Calibri" w:cs="Calibri"/>
          <w:b/>
          <w:bCs/>
          <w:noProof/>
          <w:color w:val="auto"/>
          <w:sz w:val="22"/>
          <w:szCs w:val="22"/>
        </w:rPr>
        <w:instrText xml:space="preserve"> SEQ Figure_A1- \* ARABIC </w:instrText>
      </w:r>
      <w:r w:rsidRPr="00A550A2">
        <w:rPr>
          <w:rFonts w:ascii="Calibri" w:hAnsi="Calibri" w:cs="Calibri"/>
          <w:b/>
          <w:bCs/>
          <w:noProof/>
          <w:color w:val="auto"/>
          <w:sz w:val="22"/>
          <w:szCs w:val="22"/>
        </w:rPr>
        <w:fldChar w:fldCharType="separate"/>
      </w:r>
      <w:r w:rsidR="009C7344">
        <w:rPr>
          <w:rFonts w:ascii="Calibri" w:hAnsi="Calibri" w:cs="Calibri"/>
          <w:b/>
          <w:bCs/>
          <w:noProof/>
          <w:color w:val="auto"/>
          <w:sz w:val="22"/>
          <w:szCs w:val="22"/>
        </w:rPr>
        <w:t>9</w:t>
      </w:r>
      <w:r w:rsidRPr="00A550A2">
        <w:rPr>
          <w:rFonts w:ascii="Calibri" w:hAnsi="Calibri" w:cs="Calibri"/>
          <w:b/>
          <w:bCs/>
          <w:noProof/>
          <w:color w:val="auto"/>
          <w:sz w:val="22"/>
          <w:szCs w:val="22"/>
        </w:rPr>
        <w:fldChar w:fldCharType="end"/>
      </w:r>
      <w:r w:rsidRPr="00A550A2">
        <w:rPr>
          <w:rFonts w:ascii="Calibri" w:hAnsi="Calibri" w:cs="Calibri"/>
          <w:b/>
          <w:bCs/>
          <w:noProof/>
          <w:color w:val="auto"/>
          <w:sz w:val="22"/>
          <w:szCs w:val="22"/>
        </w:rPr>
        <w:t xml:space="preserve">. </w:t>
      </w:r>
      <w:r>
        <w:rPr>
          <w:rFonts w:ascii="Calibri" w:hAnsi="Calibri" w:cs="Calibri"/>
          <w:b/>
          <w:bCs/>
          <w:color w:val="auto"/>
          <w:sz w:val="22"/>
          <w:szCs w:val="22"/>
        </w:rPr>
        <w:t>Comparison of Historical and Synthetic 4CP Calls</w:t>
      </w:r>
    </w:p>
    <w:p w14:paraId="07F6DC81" w14:textId="16CFA1D5" w:rsidR="00DA6653" w:rsidRPr="00FE1E32" w:rsidRDefault="00DA6653" w:rsidP="008B0478">
      <w:pPr>
        <w:pStyle w:val="BGNormal125"/>
        <w:spacing w:before="0"/>
        <w:rPr>
          <w:rFonts w:ascii="Calibri" w:hAnsi="Calibri" w:cs="Calibri"/>
          <w:color w:val="C00000"/>
          <w:sz w:val="22"/>
          <w:szCs w:val="22"/>
        </w:rPr>
      </w:pPr>
      <w:r>
        <w:rPr>
          <w:noProof/>
        </w:rPr>
        <w:drawing>
          <wp:inline distT="0" distB="0" distL="0" distR="0" wp14:anchorId="2145FE6C" wp14:editId="153E37B3">
            <wp:extent cx="5972810" cy="4333436"/>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2810" cy="4333436"/>
                    </a:xfrm>
                    <a:prstGeom prst="rect">
                      <a:avLst/>
                    </a:prstGeom>
                    <a:noFill/>
                  </pic:spPr>
                </pic:pic>
              </a:graphicData>
            </a:graphic>
          </wp:inline>
        </w:drawing>
      </w:r>
    </w:p>
    <w:p w14:paraId="23777E46" w14:textId="6F8D26D8" w:rsidR="004B58AD" w:rsidRDefault="004B58AD" w:rsidP="00FA0DFD">
      <w:pPr>
        <w:pStyle w:val="Heading2"/>
        <w:numPr>
          <w:ilvl w:val="0"/>
          <w:numId w:val="17"/>
        </w:numPr>
      </w:pPr>
      <w:bookmarkStart w:id="522" w:name="_Ref377131629"/>
      <w:bookmarkStart w:id="523" w:name="_Ref377132048"/>
      <w:bookmarkStart w:id="524" w:name="_Toc526279142"/>
      <w:bookmarkStart w:id="525" w:name="_Toc526437294"/>
      <w:bookmarkStart w:id="526" w:name="_Toc526437481"/>
      <w:bookmarkStart w:id="527" w:name="_Toc526439937"/>
      <w:bookmarkStart w:id="528" w:name="_Toc526440047"/>
      <w:bookmarkStart w:id="529" w:name="_Toc532834325"/>
      <w:bookmarkStart w:id="530" w:name="_Toc57193598"/>
      <w:bookmarkStart w:id="531" w:name="_Ref522569186"/>
      <w:bookmarkStart w:id="532" w:name="_Toc525079622"/>
      <w:bookmarkStart w:id="533" w:name="_Toc525851049"/>
      <w:bookmarkStart w:id="534" w:name="_Toc525938080"/>
      <w:bookmarkEnd w:id="522"/>
      <w:bookmarkEnd w:id="523"/>
      <w:r>
        <w:t>Transmission System Modeling and External Resource Overview</w:t>
      </w:r>
      <w:bookmarkEnd w:id="524"/>
      <w:bookmarkEnd w:id="525"/>
      <w:bookmarkEnd w:id="526"/>
      <w:bookmarkEnd w:id="527"/>
      <w:bookmarkEnd w:id="528"/>
      <w:bookmarkEnd w:id="529"/>
      <w:bookmarkEnd w:id="530"/>
      <w:r>
        <w:t xml:space="preserve"> </w:t>
      </w:r>
      <w:bookmarkEnd w:id="531"/>
      <w:bookmarkEnd w:id="532"/>
      <w:bookmarkEnd w:id="533"/>
      <w:bookmarkEnd w:id="534"/>
    </w:p>
    <w:p w14:paraId="3A33F9FA" w14:textId="77777777" w:rsidR="004B58AD" w:rsidRPr="00AF5E4D" w:rsidRDefault="004B58AD" w:rsidP="002A2715">
      <w:pPr>
        <w:pStyle w:val="BGNormal125"/>
        <w:spacing w:after="240"/>
        <w:rPr>
          <w:rFonts w:ascii="Calibri" w:hAnsi="Calibri" w:cs="Calibri"/>
          <w:color w:val="auto"/>
          <w:sz w:val="22"/>
          <w:szCs w:val="22"/>
        </w:rPr>
      </w:pPr>
      <w:r w:rsidRPr="00AF5E4D">
        <w:rPr>
          <w:rFonts w:ascii="Calibri" w:hAnsi="Calibri" w:cs="Calibri"/>
          <w:color w:val="auto"/>
          <w:sz w:val="22"/>
          <w:szCs w:val="22"/>
        </w:rPr>
        <w:t xml:space="preserve">This section provides an overview of the system interconnection topology, intertie availability, ERCOT and neighboring regions’ supply curves.  </w:t>
      </w:r>
    </w:p>
    <w:p w14:paraId="7709CEA6" w14:textId="53370EAF" w:rsidR="004B58AD" w:rsidRDefault="004B58AD" w:rsidP="00FA0DFD">
      <w:pPr>
        <w:pStyle w:val="Heading3"/>
        <w:numPr>
          <w:ilvl w:val="0"/>
          <w:numId w:val="21"/>
        </w:numPr>
      </w:pPr>
      <w:bookmarkStart w:id="535" w:name="_Toc526279143"/>
      <w:bookmarkStart w:id="536" w:name="_Toc526437295"/>
      <w:bookmarkStart w:id="537" w:name="_Toc526437482"/>
      <w:bookmarkStart w:id="538" w:name="_Toc526439938"/>
      <w:bookmarkStart w:id="539" w:name="_Toc526440048"/>
      <w:bookmarkStart w:id="540" w:name="_Toc532834326"/>
      <w:bookmarkStart w:id="541" w:name="_Toc57193599"/>
      <w:bookmarkStart w:id="542" w:name="_Toc525079623"/>
      <w:bookmarkStart w:id="543" w:name="_Toc525851050"/>
      <w:bookmarkStart w:id="544" w:name="_Toc525938081"/>
      <w:r>
        <w:t>Transmission Topology</w:t>
      </w:r>
      <w:bookmarkEnd w:id="535"/>
      <w:bookmarkEnd w:id="536"/>
      <w:bookmarkEnd w:id="537"/>
      <w:bookmarkEnd w:id="538"/>
      <w:bookmarkEnd w:id="539"/>
      <w:bookmarkEnd w:id="540"/>
      <w:bookmarkEnd w:id="541"/>
      <w:r>
        <w:t xml:space="preserve"> </w:t>
      </w:r>
      <w:bookmarkEnd w:id="542"/>
      <w:bookmarkEnd w:id="543"/>
      <w:bookmarkEnd w:id="544"/>
    </w:p>
    <w:p w14:paraId="4E49A68C" w14:textId="079392AB" w:rsidR="004B58AD" w:rsidRPr="00AF5E4D" w:rsidRDefault="004B58AD" w:rsidP="002A2715">
      <w:pPr>
        <w:pStyle w:val="BGNormal125"/>
        <w:spacing w:after="240"/>
        <w:rPr>
          <w:rFonts w:ascii="Calibri" w:hAnsi="Calibri" w:cs="Calibri"/>
          <w:color w:val="auto"/>
          <w:sz w:val="22"/>
          <w:szCs w:val="22"/>
        </w:rPr>
      </w:pPr>
      <w:r w:rsidRPr="00AF5E4D">
        <w:rPr>
          <w:rFonts w:ascii="Calibri" w:hAnsi="Calibri" w:cs="Calibri"/>
          <w:color w:val="auto"/>
          <w:sz w:val="22"/>
          <w:szCs w:val="22"/>
        </w:rPr>
        <w:t>ERCOT is a relatively islanded system with only 1,2</w:t>
      </w:r>
      <w:r w:rsidR="00AF5E4D" w:rsidRPr="00AF5E4D">
        <w:rPr>
          <w:rFonts w:ascii="Calibri" w:hAnsi="Calibri" w:cs="Calibri"/>
          <w:color w:val="auto"/>
          <w:sz w:val="22"/>
          <w:szCs w:val="22"/>
        </w:rPr>
        <w:t>2</w:t>
      </w:r>
      <w:r w:rsidRPr="00AF5E4D">
        <w:rPr>
          <w:rFonts w:ascii="Calibri" w:hAnsi="Calibri" w:cs="Calibri"/>
          <w:color w:val="auto"/>
          <w:sz w:val="22"/>
          <w:szCs w:val="22"/>
        </w:rPr>
        <w:t>0 MW of high voltage direct current (HVDC) interties; the majority of that intertie capacity is with SPP.</w:t>
      </w:r>
      <w:r w:rsidRPr="00AF5E4D">
        <w:rPr>
          <w:rStyle w:val="FootnoteReference"/>
          <w:rFonts w:ascii="Calibri" w:hAnsi="Calibri" w:cs="Calibri"/>
          <w:color w:val="auto"/>
          <w:sz w:val="22"/>
          <w:szCs w:val="22"/>
        </w:rPr>
        <w:footnoteReference w:id="57"/>
      </w:r>
      <w:r w:rsidRPr="00AF5E4D">
        <w:rPr>
          <w:rFonts w:ascii="Calibri" w:hAnsi="Calibri" w:cs="Calibri"/>
          <w:color w:val="auto"/>
          <w:sz w:val="22"/>
          <w:szCs w:val="22"/>
        </w:rPr>
        <w:t xml:space="preserve">  </w:t>
      </w:r>
      <w:proofErr w:type="gramStart"/>
      <w:r w:rsidRPr="00AF5E4D">
        <w:rPr>
          <w:rFonts w:ascii="Calibri" w:hAnsi="Calibri" w:cs="Calibri"/>
          <w:color w:val="auto"/>
          <w:sz w:val="22"/>
          <w:szCs w:val="22"/>
        </w:rPr>
        <w:t>As</w:t>
      </w:r>
      <w:proofErr w:type="gramEnd"/>
      <w:r w:rsidRPr="00AF5E4D">
        <w:rPr>
          <w:rFonts w:ascii="Calibri" w:hAnsi="Calibri" w:cs="Calibri"/>
          <w:color w:val="auto"/>
          <w:sz w:val="22"/>
          <w:szCs w:val="22"/>
        </w:rPr>
        <w:t xml:space="preserve"> described in Section </w:t>
      </w:r>
      <w:r w:rsidRPr="00AF5E4D">
        <w:rPr>
          <w:rFonts w:ascii="Calibri" w:hAnsi="Calibri" w:cs="Calibri"/>
          <w:color w:val="auto"/>
          <w:sz w:val="22"/>
          <w:szCs w:val="22"/>
        </w:rPr>
        <w:fldChar w:fldCharType="begin"/>
      </w:r>
      <w:r w:rsidRPr="00AF5E4D">
        <w:rPr>
          <w:rFonts w:ascii="Calibri" w:hAnsi="Calibri" w:cs="Calibri"/>
          <w:color w:val="auto"/>
          <w:sz w:val="22"/>
          <w:szCs w:val="22"/>
        </w:rPr>
        <w:instrText xml:space="preserve"> REF _Ref522573293 \w \h </w:instrText>
      </w:r>
      <w:r w:rsidR="00C042FC" w:rsidRPr="00AF5E4D">
        <w:rPr>
          <w:rFonts w:ascii="Calibri" w:hAnsi="Calibri" w:cs="Calibri"/>
          <w:color w:val="auto"/>
          <w:sz w:val="22"/>
          <w:szCs w:val="22"/>
        </w:rPr>
        <w:instrText xml:space="preserve"> \* MERGEFORMAT </w:instrText>
      </w:r>
      <w:r w:rsidRPr="00AF5E4D">
        <w:rPr>
          <w:rFonts w:ascii="Calibri" w:hAnsi="Calibri" w:cs="Calibri"/>
          <w:color w:val="auto"/>
          <w:sz w:val="22"/>
          <w:szCs w:val="22"/>
        </w:rPr>
      </w:r>
      <w:r w:rsidRPr="00AF5E4D">
        <w:rPr>
          <w:rFonts w:ascii="Calibri" w:hAnsi="Calibri" w:cs="Calibri"/>
          <w:color w:val="auto"/>
          <w:sz w:val="22"/>
          <w:szCs w:val="22"/>
        </w:rPr>
        <w:fldChar w:fldCharType="separate"/>
      </w:r>
      <w:r w:rsidRPr="00AF5E4D">
        <w:rPr>
          <w:rFonts w:ascii="Calibri" w:hAnsi="Calibri" w:cs="Calibri"/>
          <w:color w:val="auto"/>
          <w:sz w:val="22"/>
          <w:szCs w:val="22"/>
        </w:rPr>
        <w:t>II.A</w:t>
      </w:r>
      <w:r w:rsidRPr="00AF5E4D">
        <w:rPr>
          <w:rFonts w:ascii="Calibri" w:hAnsi="Calibri" w:cs="Calibri"/>
          <w:color w:val="auto"/>
          <w:sz w:val="22"/>
          <w:szCs w:val="22"/>
        </w:rPr>
        <w:fldChar w:fldCharType="end"/>
      </w:r>
      <w:r w:rsidRPr="00AF5E4D">
        <w:rPr>
          <w:rFonts w:ascii="Calibri" w:hAnsi="Calibri" w:cs="Calibri"/>
          <w:color w:val="auto"/>
          <w:sz w:val="22"/>
          <w:szCs w:val="22"/>
        </w:rPr>
        <w:t xml:space="preserve">, SERVM runs a multi-area economic dispatch and will schedule imports or exports from ERCOT depending on the relative cost of production compared to the neighboring systems.  During peaking conditions, ERCOT will generally import power due to the high internal prices, unless imports cannot be realized.  ERCOT may not be able to import during peak conditions because either: (a) the neighboring system experiences a simultaneous scarcity and will prioritize meeting its own load, or (b) insufficient intertie capability exists to support the desired imports.  The intertie capacities assumed for this study are shown in </w:t>
      </w:r>
      <w:r w:rsidRPr="00AF5E4D">
        <w:rPr>
          <w:rFonts w:ascii="Calibri" w:hAnsi="Calibri" w:cs="Calibri"/>
          <w:color w:val="auto"/>
          <w:sz w:val="22"/>
          <w:szCs w:val="22"/>
        </w:rPr>
        <w:fldChar w:fldCharType="begin"/>
      </w:r>
      <w:r w:rsidRPr="00AF5E4D">
        <w:rPr>
          <w:rFonts w:ascii="Calibri" w:hAnsi="Calibri" w:cs="Calibri"/>
          <w:color w:val="auto"/>
          <w:sz w:val="22"/>
          <w:szCs w:val="22"/>
        </w:rPr>
        <w:instrText xml:space="preserve"> REF _Ref377133210 \h  \* MERGEFORMAT </w:instrText>
      </w:r>
      <w:r w:rsidRPr="00AF5E4D">
        <w:rPr>
          <w:rFonts w:ascii="Calibri" w:hAnsi="Calibri" w:cs="Calibri"/>
          <w:color w:val="auto"/>
          <w:sz w:val="22"/>
          <w:szCs w:val="22"/>
        </w:rPr>
      </w:r>
      <w:r w:rsidRPr="00AF5E4D">
        <w:rPr>
          <w:rFonts w:ascii="Calibri" w:hAnsi="Calibri" w:cs="Calibri"/>
          <w:color w:val="auto"/>
          <w:sz w:val="22"/>
          <w:szCs w:val="22"/>
        </w:rPr>
        <w:fldChar w:fldCharType="separate"/>
      </w:r>
      <w:r w:rsidR="009C7344" w:rsidRPr="0009094A">
        <w:rPr>
          <w:rFonts w:ascii="Calibri" w:hAnsi="Calibri" w:cs="Calibri"/>
          <w:color w:val="auto"/>
          <w:sz w:val="22"/>
          <w:szCs w:val="22"/>
        </w:rPr>
        <w:t>Figure A1-10</w:t>
      </w:r>
      <w:r w:rsidRPr="00AF5E4D">
        <w:rPr>
          <w:rFonts w:ascii="Calibri" w:hAnsi="Calibri" w:cs="Calibri"/>
          <w:color w:val="auto"/>
          <w:sz w:val="22"/>
          <w:szCs w:val="22"/>
        </w:rPr>
        <w:fldChar w:fldCharType="end"/>
      </w:r>
      <w:r w:rsidRPr="00AF5E4D">
        <w:rPr>
          <w:rFonts w:ascii="Calibri" w:hAnsi="Calibri" w:cs="Calibri"/>
          <w:color w:val="auto"/>
          <w:sz w:val="22"/>
          <w:szCs w:val="22"/>
        </w:rPr>
        <w:t xml:space="preserve"> below.</w:t>
      </w:r>
    </w:p>
    <w:p w14:paraId="7A872697" w14:textId="436E6C35" w:rsidR="004B58AD" w:rsidRPr="00AF5E4D" w:rsidRDefault="004B58AD" w:rsidP="00C042FC">
      <w:pPr>
        <w:pStyle w:val="Caption"/>
        <w:jc w:val="center"/>
        <w:rPr>
          <w:rFonts w:cs="Calibri"/>
          <w:b/>
          <w:bCs/>
          <w:i w:val="0"/>
          <w:iCs w:val="0"/>
          <w:color w:val="auto"/>
          <w:sz w:val="22"/>
          <w:szCs w:val="22"/>
        </w:rPr>
      </w:pPr>
      <w:bookmarkStart w:id="545" w:name="_Ref377133210"/>
      <w:r w:rsidRPr="00AF5E4D">
        <w:rPr>
          <w:rFonts w:cs="Calibri"/>
          <w:b/>
          <w:bCs/>
          <w:i w:val="0"/>
          <w:iCs w:val="0"/>
          <w:color w:val="auto"/>
          <w:sz w:val="22"/>
          <w:szCs w:val="22"/>
        </w:rPr>
        <w:t>Figure A1-</w:t>
      </w:r>
      <w:r w:rsidRPr="00AF5E4D">
        <w:rPr>
          <w:rFonts w:cs="Calibri"/>
          <w:b/>
          <w:bCs/>
          <w:i w:val="0"/>
          <w:iCs w:val="0"/>
          <w:noProof/>
          <w:color w:val="auto"/>
          <w:sz w:val="22"/>
          <w:szCs w:val="22"/>
        </w:rPr>
        <w:fldChar w:fldCharType="begin"/>
      </w:r>
      <w:r w:rsidRPr="00AF5E4D">
        <w:rPr>
          <w:rFonts w:cs="Calibri"/>
          <w:b/>
          <w:bCs/>
          <w:i w:val="0"/>
          <w:iCs w:val="0"/>
          <w:noProof/>
          <w:color w:val="auto"/>
          <w:sz w:val="22"/>
          <w:szCs w:val="22"/>
        </w:rPr>
        <w:instrText xml:space="preserve"> SEQ Figure_A1- \* ARABIC </w:instrText>
      </w:r>
      <w:r w:rsidRPr="00AF5E4D">
        <w:rPr>
          <w:rFonts w:cs="Calibri"/>
          <w:b/>
          <w:bCs/>
          <w:i w:val="0"/>
          <w:iCs w:val="0"/>
          <w:noProof/>
          <w:color w:val="auto"/>
          <w:sz w:val="22"/>
          <w:szCs w:val="22"/>
        </w:rPr>
        <w:fldChar w:fldCharType="separate"/>
      </w:r>
      <w:r w:rsidR="009C7344">
        <w:rPr>
          <w:rFonts w:cs="Calibri"/>
          <w:b/>
          <w:bCs/>
          <w:i w:val="0"/>
          <w:iCs w:val="0"/>
          <w:noProof/>
          <w:color w:val="auto"/>
          <w:sz w:val="22"/>
          <w:szCs w:val="22"/>
        </w:rPr>
        <w:t>10</w:t>
      </w:r>
      <w:r w:rsidRPr="00AF5E4D">
        <w:rPr>
          <w:rFonts w:cs="Calibri"/>
          <w:b/>
          <w:bCs/>
          <w:i w:val="0"/>
          <w:iCs w:val="0"/>
          <w:noProof/>
          <w:color w:val="auto"/>
          <w:sz w:val="22"/>
          <w:szCs w:val="22"/>
        </w:rPr>
        <w:fldChar w:fldCharType="end"/>
      </w:r>
      <w:bookmarkEnd w:id="545"/>
      <w:r w:rsidR="00C042FC" w:rsidRPr="00AF5E4D">
        <w:rPr>
          <w:rFonts w:cs="Calibri"/>
          <w:b/>
          <w:bCs/>
          <w:i w:val="0"/>
          <w:iCs w:val="0"/>
          <w:noProof/>
          <w:color w:val="auto"/>
          <w:sz w:val="22"/>
          <w:szCs w:val="22"/>
        </w:rPr>
        <w:t xml:space="preserve">. </w:t>
      </w:r>
      <w:r w:rsidRPr="00AF5E4D">
        <w:rPr>
          <w:rFonts w:cs="Calibri"/>
          <w:b/>
          <w:bCs/>
          <w:i w:val="0"/>
          <w:iCs w:val="0"/>
          <w:color w:val="auto"/>
          <w:sz w:val="22"/>
          <w:szCs w:val="22"/>
        </w:rPr>
        <w:t>System Topology and Modeled Interties</w:t>
      </w:r>
    </w:p>
    <w:p w14:paraId="2DE077FA" w14:textId="48DB05AE" w:rsidR="004B58AD" w:rsidRDefault="00AF5E4D" w:rsidP="004B58AD">
      <w:pPr>
        <w:pStyle w:val="BGInsertGraphic"/>
      </w:pPr>
      <w:r>
        <w:rPr>
          <w:noProof/>
        </w:rPr>
        <w:drawing>
          <wp:inline distT="0" distB="0" distL="0" distR="0" wp14:anchorId="74CFC26C" wp14:editId="6D509E6F">
            <wp:extent cx="3676015" cy="3663950"/>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76015" cy="3663950"/>
                    </a:xfrm>
                    <a:prstGeom prst="rect">
                      <a:avLst/>
                    </a:prstGeom>
                    <a:noFill/>
                  </pic:spPr>
                </pic:pic>
              </a:graphicData>
            </a:graphic>
          </wp:inline>
        </w:drawing>
      </w:r>
    </w:p>
    <w:p w14:paraId="176774E2" w14:textId="77777777" w:rsidR="004B58AD" w:rsidRPr="00E112F9" w:rsidRDefault="004B58AD" w:rsidP="004B58AD">
      <w:pPr>
        <w:pStyle w:val="BGNotesFiguresTables"/>
        <w:keepNext/>
        <w:tabs>
          <w:tab w:val="left" w:pos="1170"/>
          <w:tab w:val="left" w:pos="1350"/>
          <w:tab w:val="left" w:pos="1980"/>
        </w:tabs>
        <w:spacing w:before="0"/>
        <w:ind w:left="2160" w:right="1710" w:hanging="360"/>
        <w:rPr>
          <w:color w:val="auto"/>
        </w:rPr>
      </w:pPr>
      <w:r w:rsidRPr="00E112F9">
        <w:rPr>
          <w:i/>
          <w:color w:val="auto"/>
        </w:rPr>
        <w:t>Sources and Notes:</w:t>
      </w:r>
      <w:r w:rsidRPr="00E112F9">
        <w:rPr>
          <w:color w:val="auto"/>
        </w:rPr>
        <w:t xml:space="preserve"> </w:t>
      </w:r>
    </w:p>
    <w:p w14:paraId="76FBCB61" w14:textId="274D8A34" w:rsidR="004B58AD" w:rsidRPr="00E456C6" w:rsidRDefault="004B58AD" w:rsidP="002A2715">
      <w:pPr>
        <w:pStyle w:val="BGNotesFiguresTables"/>
        <w:tabs>
          <w:tab w:val="left" w:pos="1170"/>
          <w:tab w:val="left" w:pos="1350"/>
          <w:tab w:val="left" w:pos="1980"/>
        </w:tabs>
        <w:spacing w:before="0" w:after="240"/>
        <w:ind w:left="2160" w:right="1710" w:hanging="360"/>
        <w:rPr>
          <w:color w:val="C00000"/>
        </w:rPr>
      </w:pPr>
      <w:r w:rsidRPr="00E112F9">
        <w:rPr>
          <w:color w:val="auto"/>
        </w:rPr>
        <w:tab/>
        <w:t>ERCOT intertie ratings from ERCOT</w:t>
      </w:r>
      <w:r w:rsidRPr="00C75766">
        <w:rPr>
          <w:color w:val="auto"/>
        </w:rPr>
        <w:t xml:space="preserve"> </w:t>
      </w:r>
      <w:r w:rsidRPr="00AB139A">
        <w:rPr>
          <w:color w:val="auto"/>
        </w:rPr>
        <w:t>(</w:t>
      </w:r>
      <w:r w:rsidR="007769D9" w:rsidRPr="00AB139A">
        <w:rPr>
          <w:color w:val="auto"/>
        </w:rPr>
        <w:t>2020e)</w:t>
      </w:r>
      <w:r w:rsidRPr="00E456C6">
        <w:rPr>
          <w:color w:val="C00000"/>
        </w:rPr>
        <w:t xml:space="preserve"> </w:t>
      </w:r>
    </w:p>
    <w:p w14:paraId="34B63ACE" w14:textId="77777777" w:rsidR="004B58AD" w:rsidRPr="00803293" w:rsidRDefault="004B58AD" w:rsidP="004B58AD">
      <w:pPr>
        <w:pStyle w:val="sourcesandnotes"/>
        <w:tabs>
          <w:tab w:val="left" w:pos="1890"/>
        </w:tabs>
        <w:ind w:left="2070" w:right="1530"/>
        <w:rPr>
          <w:i/>
        </w:rPr>
      </w:pPr>
    </w:p>
    <w:p w14:paraId="4DFAC056" w14:textId="3D937C9E" w:rsidR="004B58AD" w:rsidRDefault="004B58AD" w:rsidP="00FA0DFD">
      <w:pPr>
        <w:pStyle w:val="Heading3"/>
        <w:numPr>
          <w:ilvl w:val="0"/>
          <w:numId w:val="21"/>
        </w:numPr>
      </w:pPr>
      <w:bookmarkStart w:id="546" w:name="_Toc525079624"/>
      <w:bookmarkStart w:id="547" w:name="_Toc525851051"/>
      <w:bookmarkStart w:id="548" w:name="_Toc525938082"/>
      <w:bookmarkStart w:id="549" w:name="_Toc526279144"/>
      <w:bookmarkStart w:id="550" w:name="_Toc526437296"/>
      <w:bookmarkStart w:id="551" w:name="_Toc526437483"/>
      <w:bookmarkStart w:id="552" w:name="_Toc526439939"/>
      <w:bookmarkStart w:id="553" w:name="_Toc526440049"/>
      <w:bookmarkStart w:id="554" w:name="_Toc532834327"/>
      <w:bookmarkStart w:id="555" w:name="_Toc57193600"/>
      <w:r>
        <w:t>External Systems’ Resource Overview</w:t>
      </w:r>
      <w:bookmarkEnd w:id="546"/>
      <w:bookmarkEnd w:id="547"/>
      <w:bookmarkEnd w:id="548"/>
      <w:bookmarkEnd w:id="549"/>
      <w:bookmarkEnd w:id="550"/>
      <w:bookmarkEnd w:id="551"/>
      <w:bookmarkEnd w:id="552"/>
      <w:bookmarkEnd w:id="553"/>
      <w:bookmarkEnd w:id="554"/>
      <w:bookmarkEnd w:id="555"/>
    </w:p>
    <w:p w14:paraId="2A40880F" w14:textId="333B8D91" w:rsidR="000F0C8B" w:rsidRDefault="004B58AD" w:rsidP="000F0C8B">
      <w:r w:rsidRPr="00341A2F">
        <w:t>This section of our report provides an overview of the neighboring regions resource mixes.</w:t>
      </w:r>
      <w:r w:rsidRPr="00341A2F">
        <w:rPr>
          <w:rStyle w:val="FootnoteReference"/>
          <w:rFonts w:cs="Calibri"/>
        </w:rPr>
        <w:footnoteReference w:id="58"/>
      </w:r>
      <w:r w:rsidRPr="00341A2F">
        <w:t xml:space="preserve">  Appendix </w:t>
      </w:r>
      <w:r w:rsidRPr="00341A2F">
        <w:fldChar w:fldCharType="begin"/>
      </w:r>
      <w:r w:rsidRPr="00341A2F">
        <w:instrText xml:space="preserve"> REF _Ref526462940 \n \h </w:instrText>
      </w:r>
      <w:r w:rsidR="00E456C6" w:rsidRPr="00341A2F">
        <w:instrText xml:space="preserve"> \* MERGEFORMAT </w:instrText>
      </w:r>
      <w:r w:rsidRPr="00341A2F">
        <w:fldChar w:fldCharType="separate"/>
      </w:r>
      <w:r w:rsidRPr="00341A2F">
        <w:t>A</w:t>
      </w:r>
      <w:r w:rsidRPr="00341A2F">
        <w:fldChar w:fldCharType="end"/>
      </w:r>
      <w:r w:rsidRPr="00341A2F">
        <w:t>.</w:t>
      </w:r>
      <w:r w:rsidRPr="00341A2F">
        <w:fldChar w:fldCharType="begin"/>
      </w:r>
      <w:r w:rsidRPr="00341A2F">
        <w:instrText xml:space="preserve"> REF _Ref526462972 \n \h </w:instrText>
      </w:r>
      <w:r w:rsidR="00E456C6" w:rsidRPr="00341A2F">
        <w:instrText xml:space="preserve"> \* MERGEFORMAT </w:instrText>
      </w:r>
      <w:r w:rsidRPr="00341A2F">
        <w:fldChar w:fldCharType="separate"/>
      </w:r>
      <w:r w:rsidRPr="00341A2F">
        <w:t>1</w:t>
      </w:r>
      <w:r w:rsidRPr="00341A2F">
        <w:fldChar w:fldCharType="end"/>
      </w:r>
      <w:r w:rsidRPr="00341A2F">
        <w:t xml:space="preserve"> summarizes the supply resource mix that we model in ERCOT, SPP, Entergy, and Mexico. For the neighboring regions, we rely on public data sources for the fleet makeup and demand-response penetrations.</w:t>
      </w:r>
      <w:r w:rsidRPr="00341A2F">
        <w:rPr>
          <w:rStyle w:val="FootnoteReference"/>
          <w:rFonts w:cs="Calibri"/>
        </w:rPr>
        <w:footnoteReference w:id="59"/>
      </w:r>
      <w:r w:rsidRPr="00341A2F">
        <w:t xml:space="preserve">  </w:t>
      </w:r>
      <w:r w:rsidR="00DD3DB6">
        <w:t>As shown in Figure A1-1</w:t>
      </w:r>
      <w:r w:rsidR="009C7344">
        <w:t>1</w:t>
      </w:r>
      <w:r w:rsidR="00DD3DB6">
        <w:t>, w</w:t>
      </w:r>
      <w:r w:rsidRPr="00341A2F">
        <w:t xml:space="preserve">e model each external region </w:t>
      </w:r>
      <w:r w:rsidRPr="00341A2F">
        <w:rPr>
          <w:i/>
        </w:rPr>
        <w:t>at criterion</w:t>
      </w:r>
      <w:r w:rsidRPr="00341A2F">
        <w:t xml:space="preserve">, meaning that we treat them exactly at their respective reserve margin targets of </w:t>
      </w:r>
      <w:r w:rsidR="00341A2F" w:rsidRPr="00341A2F">
        <w:t>12.0</w:t>
      </w:r>
      <w:r w:rsidRPr="00341A2F">
        <w:t xml:space="preserve">%, </w:t>
      </w:r>
      <w:r w:rsidR="00341A2F" w:rsidRPr="00341A2F">
        <w:t>16.8</w:t>
      </w:r>
      <w:r w:rsidRPr="00341A2F">
        <w:t>%, and 15% for SPP, Entergy, and Mexico, respectively.</w:t>
      </w:r>
      <w:r w:rsidRPr="00341A2F">
        <w:rPr>
          <w:rStyle w:val="FootnoteReference"/>
          <w:rFonts w:cs="Calibri"/>
        </w:rPr>
        <w:footnoteReference w:id="60"/>
      </w:r>
      <w:r w:rsidRPr="00341A2F">
        <w:t xml:space="preserve">  Because these regions are currently capacity long, we adjusted their resource base downward by removing individual units of different resource types in order to maintain the current </w:t>
      </w:r>
      <w:r w:rsidRPr="006D161E">
        <w:t>overall resource mix.</w:t>
      </w:r>
    </w:p>
    <w:p w14:paraId="57350D38" w14:textId="77777777" w:rsidR="000F0C8B" w:rsidRPr="000F0C8B" w:rsidRDefault="000F0C8B" w:rsidP="000F0C8B"/>
    <w:p w14:paraId="5D7D52CB" w14:textId="145FA7AF" w:rsidR="004B58AD" w:rsidRPr="000F0C8B" w:rsidRDefault="004B58AD" w:rsidP="000F0C8B">
      <w:pPr>
        <w:spacing w:after="0"/>
        <w:jc w:val="center"/>
        <w:rPr>
          <w:b/>
          <w:bCs/>
        </w:rPr>
      </w:pPr>
      <w:r w:rsidRPr="000F0C8B">
        <w:rPr>
          <w:b/>
          <w:bCs/>
        </w:rPr>
        <w:t>Figure A1-</w:t>
      </w:r>
      <w:r w:rsidRPr="000F0C8B">
        <w:rPr>
          <w:b/>
          <w:bCs/>
          <w:noProof/>
        </w:rPr>
        <w:fldChar w:fldCharType="begin"/>
      </w:r>
      <w:r w:rsidRPr="000F0C8B">
        <w:rPr>
          <w:b/>
          <w:bCs/>
          <w:noProof/>
        </w:rPr>
        <w:instrText xml:space="preserve"> SEQ Figure_A1- \* ARABIC </w:instrText>
      </w:r>
      <w:r w:rsidRPr="000F0C8B">
        <w:rPr>
          <w:b/>
          <w:bCs/>
          <w:noProof/>
        </w:rPr>
        <w:fldChar w:fldCharType="separate"/>
      </w:r>
      <w:r w:rsidR="009C7344" w:rsidRPr="000F0C8B">
        <w:rPr>
          <w:b/>
          <w:bCs/>
          <w:noProof/>
        </w:rPr>
        <w:t>11</w:t>
      </w:r>
      <w:r w:rsidRPr="000F0C8B">
        <w:rPr>
          <w:b/>
          <w:bCs/>
          <w:noProof/>
        </w:rPr>
        <w:fldChar w:fldCharType="end"/>
      </w:r>
      <w:r w:rsidR="00E456C6" w:rsidRPr="000F0C8B">
        <w:rPr>
          <w:b/>
          <w:bCs/>
          <w:noProof/>
        </w:rPr>
        <w:t xml:space="preserve">. </w:t>
      </w:r>
      <w:r w:rsidRPr="000F0C8B">
        <w:rPr>
          <w:b/>
          <w:bCs/>
        </w:rPr>
        <w:t>Resource Mix for ERCOT and Neighboring System</w:t>
      </w:r>
    </w:p>
    <w:p w14:paraId="2BDE1D00" w14:textId="4FC744AB" w:rsidR="004B58AD" w:rsidRPr="005F4327" w:rsidRDefault="006D161E" w:rsidP="002A2715">
      <w:pPr>
        <w:pStyle w:val="BGInsertGraphic"/>
        <w:spacing w:before="0" w:after="240"/>
      </w:pPr>
      <w:r>
        <w:rPr>
          <w:noProof/>
        </w:rPr>
        <w:drawing>
          <wp:inline distT="0" distB="0" distL="0" distR="0" wp14:anchorId="60A73CF7" wp14:editId="3D004E43">
            <wp:extent cx="6132830" cy="410273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32830" cy="4102735"/>
                    </a:xfrm>
                    <a:prstGeom prst="rect">
                      <a:avLst/>
                    </a:prstGeom>
                    <a:noFill/>
                  </pic:spPr>
                </pic:pic>
              </a:graphicData>
            </a:graphic>
          </wp:inline>
        </w:drawing>
      </w:r>
    </w:p>
    <w:p w14:paraId="030B4805" w14:textId="24DAA02E" w:rsidR="004B58AD" w:rsidRDefault="004B58AD" w:rsidP="00FA0DFD">
      <w:pPr>
        <w:pStyle w:val="Heading3"/>
        <w:numPr>
          <w:ilvl w:val="0"/>
          <w:numId w:val="21"/>
        </w:numPr>
      </w:pPr>
      <w:bookmarkStart w:id="556" w:name="_Toc526279145"/>
      <w:bookmarkStart w:id="557" w:name="_Toc526437297"/>
      <w:bookmarkStart w:id="558" w:name="_Toc526437484"/>
      <w:bookmarkStart w:id="559" w:name="_Toc526439940"/>
      <w:bookmarkStart w:id="560" w:name="_Toc526440050"/>
      <w:bookmarkStart w:id="561" w:name="_Toc532834328"/>
      <w:bookmarkStart w:id="562" w:name="_Toc57193601"/>
      <w:bookmarkStart w:id="563" w:name="_Toc525079625"/>
      <w:bookmarkStart w:id="564" w:name="_Toc525851052"/>
      <w:bookmarkStart w:id="565" w:name="_Toc525938083"/>
      <w:r>
        <w:t>Availability of External Resources for ERCOT</w:t>
      </w:r>
      <w:bookmarkEnd w:id="556"/>
      <w:bookmarkEnd w:id="557"/>
      <w:bookmarkEnd w:id="558"/>
      <w:bookmarkEnd w:id="559"/>
      <w:bookmarkEnd w:id="560"/>
      <w:bookmarkEnd w:id="561"/>
      <w:bookmarkEnd w:id="562"/>
      <w:r>
        <w:t xml:space="preserve"> </w:t>
      </w:r>
      <w:bookmarkEnd w:id="563"/>
      <w:bookmarkEnd w:id="564"/>
      <w:bookmarkEnd w:id="565"/>
    </w:p>
    <w:p w14:paraId="5CAECDD3" w14:textId="793B548F" w:rsidR="004B58AD" w:rsidRPr="00B35DC0" w:rsidRDefault="004B58AD" w:rsidP="004B58AD">
      <w:pPr>
        <w:pStyle w:val="BGNormal125"/>
        <w:rPr>
          <w:rFonts w:ascii="Calibri" w:hAnsi="Calibri" w:cs="Calibri"/>
          <w:color w:val="auto"/>
          <w:sz w:val="22"/>
          <w:szCs w:val="22"/>
        </w:rPr>
      </w:pPr>
      <w:r w:rsidRPr="00341A2F">
        <w:rPr>
          <w:rFonts w:ascii="Calibri" w:hAnsi="Calibri" w:cs="Calibri"/>
          <w:color w:val="auto"/>
          <w:sz w:val="22"/>
          <w:szCs w:val="22"/>
        </w:rPr>
        <w:t xml:space="preserve">Imports to ERCOT depend on the conditions in the neighboring systems; even if transmission is available, ERCOT may not be able to import in emergency situations if the external region is peaking at the same time.  To provide intuition regarding anticipated prices and intertie flows during normal conditions, we summarize the ERCOT and neighboring regions’ supply curves in </w:t>
      </w:r>
      <w:r w:rsidRPr="00341A2F">
        <w:rPr>
          <w:rFonts w:ascii="Calibri" w:hAnsi="Calibri" w:cs="Calibri"/>
          <w:color w:val="auto"/>
          <w:sz w:val="22"/>
          <w:szCs w:val="22"/>
        </w:rPr>
        <w:fldChar w:fldCharType="begin"/>
      </w:r>
      <w:r w:rsidRPr="00341A2F">
        <w:rPr>
          <w:rFonts w:ascii="Calibri" w:hAnsi="Calibri" w:cs="Calibri"/>
          <w:color w:val="auto"/>
          <w:sz w:val="22"/>
          <w:szCs w:val="22"/>
        </w:rPr>
        <w:instrText xml:space="preserve"> REF _Ref377486557 \h  \* MERGEFORMAT </w:instrText>
      </w:r>
      <w:r w:rsidRPr="00341A2F">
        <w:rPr>
          <w:rFonts w:ascii="Calibri" w:hAnsi="Calibri" w:cs="Calibri"/>
          <w:color w:val="auto"/>
          <w:sz w:val="22"/>
          <w:szCs w:val="22"/>
        </w:rPr>
      </w:r>
      <w:r w:rsidRPr="00341A2F">
        <w:rPr>
          <w:rFonts w:ascii="Calibri" w:hAnsi="Calibri" w:cs="Calibri"/>
          <w:color w:val="auto"/>
          <w:sz w:val="22"/>
          <w:szCs w:val="22"/>
        </w:rPr>
        <w:fldChar w:fldCharType="separate"/>
      </w:r>
      <w:r w:rsidR="009C7344" w:rsidRPr="0009094A">
        <w:rPr>
          <w:rFonts w:ascii="Calibri" w:hAnsi="Calibri" w:cs="Calibri"/>
          <w:color w:val="auto"/>
          <w:sz w:val="22"/>
          <w:szCs w:val="22"/>
        </w:rPr>
        <w:t xml:space="preserve">Figure </w:t>
      </w:r>
      <w:r w:rsidR="009C7344" w:rsidRPr="0009094A">
        <w:rPr>
          <w:rFonts w:ascii="Calibri" w:hAnsi="Calibri" w:cs="Calibri"/>
          <w:noProof/>
          <w:color w:val="auto"/>
          <w:sz w:val="22"/>
          <w:szCs w:val="22"/>
        </w:rPr>
        <w:t>A1-12</w:t>
      </w:r>
      <w:r w:rsidRPr="00341A2F">
        <w:rPr>
          <w:rFonts w:ascii="Calibri" w:hAnsi="Calibri" w:cs="Calibri"/>
          <w:color w:val="auto"/>
          <w:sz w:val="22"/>
          <w:szCs w:val="22"/>
        </w:rPr>
        <w:fldChar w:fldCharType="end"/>
      </w:r>
      <w:r w:rsidRPr="00341A2F">
        <w:rPr>
          <w:rFonts w:ascii="Calibri" w:hAnsi="Calibri" w:cs="Calibri"/>
          <w:color w:val="auto"/>
          <w:sz w:val="22"/>
          <w:szCs w:val="22"/>
        </w:rPr>
        <w:t>.  The curve reports energy dispatch costs consistent with year 202</w:t>
      </w:r>
      <w:r w:rsidR="00341A2F" w:rsidRPr="00341A2F">
        <w:rPr>
          <w:rFonts w:ascii="Calibri" w:hAnsi="Calibri" w:cs="Calibri"/>
          <w:color w:val="auto"/>
          <w:sz w:val="22"/>
          <w:szCs w:val="22"/>
        </w:rPr>
        <w:t>4</w:t>
      </w:r>
      <w:r w:rsidRPr="00341A2F">
        <w:rPr>
          <w:rFonts w:ascii="Calibri" w:hAnsi="Calibri" w:cs="Calibri"/>
          <w:color w:val="auto"/>
          <w:sz w:val="22"/>
          <w:szCs w:val="22"/>
        </w:rPr>
        <w:t>, accounting for unit-specific heat rates, variable operations and maintenance (VOM) costs, and locational fuel prices from Appendix 1.</w:t>
      </w:r>
      <w:r w:rsidRPr="00341A2F">
        <w:rPr>
          <w:rFonts w:ascii="Calibri" w:hAnsi="Calibri" w:cs="Calibri"/>
          <w:color w:val="auto"/>
          <w:sz w:val="22"/>
          <w:szCs w:val="22"/>
        </w:rPr>
        <w:fldChar w:fldCharType="begin"/>
      </w:r>
      <w:r w:rsidRPr="00341A2F">
        <w:rPr>
          <w:rFonts w:ascii="Calibri" w:hAnsi="Calibri" w:cs="Calibri"/>
          <w:color w:val="auto"/>
          <w:sz w:val="22"/>
          <w:szCs w:val="22"/>
        </w:rPr>
        <w:instrText xml:space="preserve"> REF _Ref522192954 \n \h </w:instrText>
      </w:r>
      <w:r w:rsidR="00E456C6" w:rsidRPr="00341A2F">
        <w:rPr>
          <w:rFonts w:ascii="Calibri" w:hAnsi="Calibri" w:cs="Calibri"/>
          <w:color w:val="auto"/>
          <w:sz w:val="22"/>
          <w:szCs w:val="22"/>
        </w:rPr>
        <w:instrText xml:space="preserve"> \* MERGEFORMAT </w:instrText>
      </w:r>
      <w:r w:rsidRPr="00341A2F">
        <w:rPr>
          <w:rFonts w:ascii="Calibri" w:hAnsi="Calibri" w:cs="Calibri"/>
          <w:color w:val="auto"/>
          <w:sz w:val="22"/>
          <w:szCs w:val="22"/>
        </w:rPr>
      </w:r>
      <w:r w:rsidRPr="00341A2F">
        <w:rPr>
          <w:rFonts w:ascii="Calibri" w:hAnsi="Calibri" w:cs="Calibri"/>
          <w:color w:val="auto"/>
          <w:sz w:val="22"/>
          <w:szCs w:val="22"/>
        </w:rPr>
        <w:fldChar w:fldCharType="separate"/>
      </w:r>
      <w:r w:rsidRPr="00341A2F">
        <w:rPr>
          <w:rFonts w:ascii="Calibri" w:hAnsi="Calibri" w:cs="Calibri"/>
          <w:color w:val="auto"/>
          <w:sz w:val="22"/>
          <w:szCs w:val="22"/>
        </w:rPr>
        <w:t>0</w:t>
      </w:r>
      <w:r w:rsidRPr="00341A2F">
        <w:rPr>
          <w:rFonts w:ascii="Calibri" w:hAnsi="Calibri" w:cs="Calibri"/>
          <w:color w:val="auto"/>
          <w:sz w:val="22"/>
          <w:szCs w:val="22"/>
        </w:rPr>
        <w:fldChar w:fldCharType="end"/>
      </w:r>
      <w:r w:rsidRPr="00341A2F">
        <w:rPr>
          <w:rFonts w:ascii="Calibri" w:hAnsi="Calibri" w:cs="Calibri"/>
          <w:color w:val="auto"/>
          <w:sz w:val="22"/>
          <w:szCs w:val="22"/>
        </w:rPr>
        <w:t>.</w:t>
      </w:r>
      <w:r w:rsidRPr="00341A2F">
        <w:rPr>
          <w:rFonts w:ascii="Calibri" w:hAnsi="Calibri" w:cs="Calibri"/>
          <w:color w:val="auto"/>
          <w:sz w:val="22"/>
          <w:szCs w:val="22"/>
        </w:rPr>
        <w:fldChar w:fldCharType="begin"/>
      </w:r>
      <w:r w:rsidRPr="00341A2F">
        <w:rPr>
          <w:rFonts w:ascii="Calibri" w:hAnsi="Calibri" w:cs="Calibri"/>
          <w:color w:val="auto"/>
          <w:sz w:val="22"/>
          <w:szCs w:val="22"/>
        </w:rPr>
        <w:instrText xml:space="preserve"> REF _Ref526448141 \n \h </w:instrText>
      </w:r>
      <w:r w:rsidR="00E456C6" w:rsidRPr="00341A2F">
        <w:rPr>
          <w:rFonts w:ascii="Calibri" w:hAnsi="Calibri" w:cs="Calibri"/>
          <w:color w:val="auto"/>
          <w:sz w:val="22"/>
          <w:szCs w:val="22"/>
        </w:rPr>
        <w:instrText xml:space="preserve"> \* MERGEFORMAT </w:instrText>
      </w:r>
      <w:r w:rsidRPr="00341A2F">
        <w:rPr>
          <w:rFonts w:ascii="Calibri" w:hAnsi="Calibri" w:cs="Calibri"/>
          <w:color w:val="auto"/>
          <w:sz w:val="22"/>
          <w:szCs w:val="22"/>
        </w:rPr>
      </w:r>
      <w:r w:rsidRPr="00341A2F">
        <w:rPr>
          <w:rFonts w:ascii="Calibri" w:hAnsi="Calibri" w:cs="Calibri"/>
          <w:color w:val="auto"/>
          <w:sz w:val="22"/>
          <w:szCs w:val="22"/>
        </w:rPr>
        <w:fldChar w:fldCharType="separate"/>
      </w:r>
      <w:r w:rsidRPr="00341A2F">
        <w:rPr>
          <w:rFonts w:ascii="Calibri" w:hAnsi="Calibri" w:cs="Calibri"/>
          <w:color w:val="auto"/>
          <w:sz w:val="22"/>
          <w:szCs w:val="22"/>
        </w:rPr>
        <w:t>6</w:t>
      </w:r>
      <w:r w:rsidRPr="00341A2F">
        <w:rPr>
          <w:rFonts w:ascii="Calibri" w:hAnsi="Calibri" w:cs="Calibri"/>
          <w:color w:val="auto"/>
          <w:sz w:val="22"/>
          <w:szCs w:val="22"/>
        </w:rPr>
        <w:fldChar w:fldCharType="end"/>
      </w:r>
      <w:r w:rsidRPr="00341A2F">
        <w:rPr>
          <w:rFonts w:ascii="Calibri" w:hAnsi="Calibri" w:cs="Calibri"/>
          <w:color w:val="auto"/>
          <w:sz w:val="22"/>
          <w:szCs w:val="22"/>
        </w:rPr>
        <w:t>.  For ERCOT, we gathered unit-specific information representing heat rate curves, VOM, ancillary service capabilities, ramp rates, startup fuel, non-fuel startup costs, and run-time restrictions from ERCOT.  For external regions, we gathered unit-specific heat rates from public data sources, supplemented by class-average characteristics similar to those in ERCOT for other unit characteristics.</w:t>
      </w:r>
      <w:r w:rsidRPr="00341A2F">
        <w:rPr>
          <w:rStyle w:val="FootnoteReference"/>
          <w:rFonts w:ascii="Calibri" w:hAnsi="Calibri" w:cs="Calibri"/>
          <w:color w:val="auto"/>
          <w:sz w:val="22"/>
          <w:szCs w:val="22"/>
        </w:rPr>
        <w:footnoteReference w:id="61"/>
      </w:r>
      <w:r w:rsidR="00800AE5">
        <w:rPr>
          <w:rFonts w:ascii="Calibri" w:hAnsi="Calibri" w:cs="Calibri"/>
          <w:color w:val="auto"/>
          <w:sz w:val="22"/>
          <w:szCs w:val="22"/>
        </w:rPr>
        <w:t xml:space="preserve"> </w:t>
      </w:r>
      <w:r w:rsidRPr="00800AE5">
        <w:rPr>
          <w:rFonts w:ascii="Calibri" w:hAnsi="Calibri" w:cs="Calibri"/>
          <w:color w:val="auto"/>
          <w:sz w:val="22"/>
          <w:szCs w:val="22"/>
        </w:rPr>
        <w:t xml:space="preserve">For all thermal resources, we model </w:t>
      </w:r>
      <w:r w:rsidR="00800AE5" w:rsidRPr="00800AE5">
        <w:rPr>
          <w:rFonts w:ascii="Calibri" w:hAnsi="Calibri" w:cs="Calibri"/>
          <w:color w:val="auto"/>
          <w:sz w:val="22"/>
          <w:szCs w:val="22"/>
        </w:rPr>
        <w:t xml:space="preserve">a seasonal </w:t>
      </w:r>
      <w:r w:rsidR="00800AE5" w:rsidRPr="00DD3DB6">
        <w:rPr>
          <w:rFonts w:ascii="Calibri" w:hAnsi="Calibri" w:cs="Calibri"/>
          <w:color w:val="auto"/>
          <w:sz w:val="22"/>
          <w:szCs w:val="22"/>
        </w:rPr>
        <w:t>capacity value</w:t>
      </w:r>
      <w:r w:rsidRPr="006201CA">
        <w:rPr>
          <w:rFonts w:ascii="Calibri" w:hAnsi="Calibri" w:cs="Calibri"/>
          <w:color w:val="auto"/>
          <w:sz w:val="22"/>
          <w:szCs w:val="22"/>
        </w:rPr>
        <w:t xml:space="preserve"> which results in increased available capacity from the fleet during colder periods</w:t>
      </w:r>
      <w:r w:rsidRPr="00B35DC0" w:rsidDel="00006A7A">
        <w:rPr>
          <w:rFonts w:ascii="Calibri" w:hAnsi="Calibri" w:cs="Calibri"/>
          <w:color w:val="auto"/>
          <w:sz w:val="22"/>
          <w:szCs w:val="22"/>
        </w:rPr>
        <w:t>.</w:t>
      </w:r>
      <w:r w:rsidRPr="00B35DC0">
        <w:rPr>
          <w:rFonts w:ascii="Calibri" w:hAnsi="Calibri" w:cs="Calibri"/>
          <w:color w:val="auto"/>
          <w:sz w:val="22"/>
          <w:szCs w:val="22"/>
        </w:rPr>
        <w:t xml:space="preserve">  </w:t>
      </w:r>
    </w:p>
    <w:p w14:paraId="391B1036" w14:textId="530CB0C5" w:rsidR="004B58AD" w:rsidRPr="00AB139A" w:rsidRDefault="004B58AD" w:rsidP="002A2715">
      <w:pPr>
        <w:pStyle w:val="BGNormal125"/>
        <w:spacing w:after="240"/>
        <w:rPr>
          <w:rFonts w:ascii="Calibri" w:hAnsi="Calibri" w:cs="Calibri"/>
          <w:color w:val="auto"/>
          <w:sz w:val="22"/>
          <w:szCs w:val="22"/>
          <w:highlight w:val="cyan"/>
        </w:rPr>
      </w:pPr>
      <w:r w:rsidRPr="00AB139A">
        <w:rPr>
          <w:rFonts w:ascii="Calibri" w:hAnsi="Calibri" w:cs="Calibri"/>
          <w:color w:val="auto"/>
          <w:sz w:val="22"/>
          <w:szCs w:val="22"/>
        </w:rPr>
        <w:t xml:space="preserve">Overall, ERCOT’s supply curve is similar to Mexico’s but is relatively tight compared to SPP and Entergy.  </w:t>
      </w:r>
      <w:r w:rsidRPr="00DD3DB6">
        <w:rPr>
          <w:rFonts w:ascii="Calibri" w:hAnsi="Calibri" w:cs="Calibri"/>
          <w:color w:val="auto"/>
          <w:sz w:val="22"/>
          <w:szCs w:val="22"/>
        </w:rPr>
        <w:t>However, interchange will be limited because</w:t>
      </w:r>
      <w:r w:rsidRPr="006201CA">
        <w:rPr>
          <w:rFonts w:ascii="Calibri" w:hAnsi="Calibri" w:cs="Calibri"/>
          <w:color w:val="auto"/>
          <w:sz w:val="22"/>
          <w:szCs w:val="22"/>
        </w:rPr>
        <w:t xml:space="preserve"> of ERCOT’s relati</w:t>
      </w:r>
      <w:r w:rsidRPr="00B35DC0">
        <w:rPr>
          <w:rFonts w:ascii="Calibri" w:hAnsi="Calibri" w:cs="Calibri"/>
          <w:color w:val="auto"/>
          <w:sz w:val="22"/>
          <w:szCs w:val="22"/>
        </w:rPr>
        <w:t>vely small quantity of HVDC interties, having only 820 MW of interties with SPP and 4</w:t>
      </w:r>
      <w:r w:rsidR="00800AE5" w:rsidRPr="00B35DC0">
        <w:rPr>
          <w:rFonts w:ascii="Calibri" w:hAnsi="Calibri" w:cs="Calibri"/>
          <w:color w:val="auto"/>
          <w:sz w:val="22"/>
          <w:szCs w:val="22"/>
        </w:rPr>
        <w:t>00</w:t>
      </w:r>
      <w:r w:rsidRPr="006201CA">
        <w:rPr>
          <w:rFonts w:ascii="Calibri" w:hAnsi="Calibri" w:cs="Calibri"/>
          <w:color w:val="auto"/>
          <w:sz w:val="22"/>
          <w:szCs w:val="22"/>
        </w:rPr>
        <w:t xml:space="preserve"> </w:t>
      </w:r>
      <w:r w:rsidRPr="00DD3DB6">
        <w:rPr>
          <w:rFonts w:ascii="Calibri" w:hAnsi="Calibri" w:cs="Calibri"/>
          <w:color w:val="auto"/>
          <w:sz w:val="22"/>
          <w:szCs w:val="22"/>
        </w:rPr>
        <w:t>MW with Mexico.</w:t>
      </w:r>
      <w:r w:rsidRPr="00DD3DB6">
        <w:rPr>
          <w:rStyle w:val="FootnoteReference"/>
          <w:rFonts w:ascii="Calibri" w:hAnsi="Calibri" w:cs="Calibri"/>
          <w:color w:val="auto"/>
          <w:sz w:val="22"/>
          <w:szCs w:val="22"/>
        </w:rPr>
        <w:footnoteReference w:id="62"/>
      </w:r>
      <w:r w:rsidRPr="00DD3DB6">
        <w:rPr>
          <w:rFonts w:ascii="Calibri" w:hAnsi="Calibri" w:cs="Calibri"/>
          <w:color w:val="auto"/>
          <w:sz w:val="22"/>
          <w:szCs w:val="22"/>
        </w:rPr>
        <w:t xml:space="preserve">  </w:t>
      </w:r>
      <w:r w:rsidRPr="00AB139A">
        <w:rPr>
          <w:rFonts w:ascii="Calibri" w:hAnsi="Calibri" w:cs="Calibri"/>
          <w:color w:val="auto"/>
          <w:sz w:val="22"/>
          <w:szCs w:val="22"/>
        </w:rPr>
        <w:t xml:space="preserve">Some factors affecting the quantity and economic value of interchange include that: (a) SPP has more lower-cost coal that is somewhat cheaper than ERCOT-internal resources that are dominated by efficient but somewhat higher-cost gas </w:t>
      </w:r>
      <w:r w:rsidR="00A13CCF" w:rsidRPr="00AB139A">
        <w:rPr>
          <w:rFonts w:ascii="Calibri" w:hAnsi="Calibri" w:cs="Calibri"/>
          <w:color w:val="auto"/>
          <w:sz w:val="22"/>
          <w:szCs w:val="22"/>
        </w:rPr>
        <w:t>combined-cycles</w:t>
      </w:r>
      <w:r w:rsidRPr="00AB139A">
        <w:rPr>
          <w:rFonts w:ascii="Calibri" w:hAnsi="Calibri" w:cs="Calibri"/>
          <w:color w:val="auto"/>
          <w:sz w:val="22"/>
          <w:szCs w:val="22"/>
        </w:rPr>
        <w:t>, which will lead to ERCOT being a net importer, and (b) Mexico has a substantial proportion of relatively high-cost oil-fired peaking units, which will make such imports unlikely except at high prices in scarcity conditions.  Further, the regions experience some amount of load diversity that will change the relative economics of supply in each region and lead to inter-regional flows.</w:t>
      </w:r>
    </w:p>
    <w:p w14:paraId="500DC5FA" w14:textId="7427EE67" w:rsidR="004B58AD" w:rsidRPr="00800AE5" w:rsidRDefault="004B58AD" w:rsidP="002A2715">
      <w:pPr>
        <w:pStyle w:val="Caption"/>
        <w:spacing w:after="0"/>
        <w:jc w:val="center"/>
        <w:rPr>
          <w:rFonts w:cs="Calibri"/>
          <w:b/>
          <w:bCs/>
          <w:i w:val="0"/>
          <w:iCs w:val="0"/>
          <w:color w:val="auto"/>
          <w:sz w:val="22"/>
          <w:szCs w:val="22"/>
        </w:rPr>
      </w:pPr>
      <w:bookmarkStart w:id="566" w:name="_Ref377486557"/>
      <w:r w:rsidRPr="00800AE5">
        <w:rPr>
          <w:rFonts w:cs="Calibri"/>
          <w:b/>
          <w:bCs/>
          <w:i w:val="0"/>
          <w:iCs w:val="0"/>
          <w:color w:val="auto"/>
          <w:sz w:val="22"/>
          <w:szCs w:val="22"/>
        </w:rPr>
        <w:t>Figure A1-</w:t>
      </w:r>
      <w:r w:rsidRPr="00800AE5">
        <w:rPr>
          <w:rFonts w:cs="Calibri"/>
          <w:b/>
          <w:bCs/>
          <w:i w:val="0"/>
          <w:iCs w:val="0"/>
          <w:noProof/>
          <w:color w:val="auto"/>
          <w:sz w:val="22"/>
          <w:szCs w:val="22"/>
        </w:rPr>
        <w:fldChar w:fldCharType="begin"/>
      </w:r>
      <w:r w:rsidRPr="00800AE5">
        <w:rPr>
          <w:rFonts w:cs="Calibri"/>
          <w:b/>
          <w:bCs/>
          <w:i w:val="0"/>
          <w:iCs w:val="0"/>
          <w:noProof/>
          <w:color w:val="auto"/>
          <w:sz w:val="22"/>
          <w:szCs w:val="22"/>
        </w:rPr>
        <w:instrText xml:space="preserve"> SEQ Figure_A1- \* ARABIC </w:instrText>
      </w:r>
      <w:r w:rsidRPr="00800AE5">
        <w:rPr>
          <w:rFonts w:cs="Calibri"/>
          <w:b/>
          <w:bCs/>
          <w:i w:val="0"/>
          <w:iCs w:val="0"/>
          <w:noProof/>
          <w:color w:val="auto"/>
          <w:sz w:val="22"/>
          <w:szCs w:val="22"/>
        </w:rPr>
        <w:fldChar w:fldCharType="separate"/>
      </w:r>
      <w:r w:rsidR="009C7344">
        <w:rPr>
          <w:rFonts w:cs="Calibri"/>
          <w:b/>
          <w:bCs/>
          <w:i w:val="0"/>
          <w:iCs w:val="0"/>
          <w:noProof/>
          <w:color w:val="auto"/>
          <w:sz w:val="22"/>
          <w:szCs w:val="22"/>
        </w:rPr>
        <w:t>12</w:t>
      </w:r>
      <w:r w:rsidRPr="00800AE5">
        <w:rPr>
          <w:rFonts w:cs="Calibri"/>
          <w:b/>
          <w:bCs/>
          <w:i w:val="0"/>
          <w:iCs w:val="0"/>
          <w:noProof/>
          <w:color w:val="auto"/>
          <w:sz w:val="22"/>
          <w:szCs w:val="22"/>
        </w:rPr>
        <w:fldChar w:fldCharType="end"/>
      </w:r>
      <w:bookmarkEnd w:id="566"/>
      <w:r w:rsidR="00E456C6" w:rsidRPr="00800AE5">
        <w:rPr>
          <w:rFonts w:cs="Calibri"/>
          <w:b/>
          <w:bCs/>
          <w:i w:val="0"/>
          <w:iCs w:val="0"/>
          <w:noProof/>
          <w:color w:val="auto"/>
          <w:sz w:val="22"/>
          <w:szCs w:val="22"/>
        </w:rPr>
        <w:t xml:space="preserve">. </w:t>
      </w:r>
      <w:r w:rsidRPr="00800AE5">
        <w:rPr>
          <w:rFonts w:cs="Calibri"/>
          <w:b/>
          <w:bCs/>
          <w:i w:val="0"/>
          <w:iCs w:val="0"/>
          <w:color w:val="auto"/>
          <w:sz w:val="22"/>
          <w:szCs w:val="22"/>
        </w:rPr>
        <w:t>202</w:t>
      </w:r>
      <w:r w:rsidR="00800AE5" w:rsidRPr="00800AE5">
        <w:rPr>
          <w:rFonts w:cs="Calibri"/>
          <w:b/>
          <w:bCs/>
          <w:i w:val="0"/>
          <w:iCs w:val="0"/>
          <w:color w:val="auto"/>
          <w:sz w:val="22"/>
          <w:szCs w:val="22"/>
        </w:rPr>
        <w:t>4</w:t>
      </w:r>
      <w:r w:rsidRPr="00800AE5">
        <w:rPr>
          <w:rFonts w:cs="Calibri"/>
          <w:b/>
          <w:bCs/>
          <w:i w:val="0"/>
          <w:iCs w:val="0"/>
          <w:color w:val="auto"/>
          <w:sz w:val="22"/>
          <w:szCs w:val="22"/>
        </w:rPr>
        <w:t xml:space="preserve"> System Supply Curves</w:t>
      </w:r>
    </w:p>
    <w:p w14:paraId="3B70D632" w14:textId="0ECCD966" w:rsidR="004B58AD" w:rsidRDefault="00652601" w:rsidP="004B58AD">
      <w:pPr>
        <w:pStyle w:val="BGInsertGraphic"/>
        <w:rPr>
          <w:highlight w:val="cyan"/>
        </w:rPr>
      </w:pPr>
      <w:r>
        <w:rPr>
          <w:noProof/>
        </w:rPr>
        <w:drawing>
          <wp:inline distT="0" distB="0" distL="0" distR="0" wp14:anchorId="63BCCF0E" wp14:editId="3182F92C">
            <wp:extent cx="5972810" cy="3451225"/>
            <wp:effectExtent l="0" t="0" r="8890" b="0"/>
            <wp:docPr id="83"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92F94C-D41A-4741-A839-31EC9D272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92F94C-D41A-4741-A839-31EC9D272F65}"/>
                        </a:ext>
                      </a:extLst>
                    </pic:cNvPr>
                    <pic:cNvPicPr>
                      <a:picLocks noChangeAspect="1"/>
                    </pic:cNvPicPr>
                  </pic:nvPicPr>
                  <pic:blipFill>
                    <a:blip r:embed="rId76"/>
                    <a:stretch>
                      <a:fillRect/>
                    </a:stretch>
                  </pic:blipFill>
                  <pic:spPr>
                    <a:xfrm>
                      <a:off x="0" y="0"/>
                      <a:ext cx="5972810" cy="3451225"/>
                    </a:xfrm>
                    <a:prstGeom prst="rect">
                      <a:avLst/>
                    </a:prstGeom>
                  </pic:spPr>
                </pic:pic>
              </a:graphicData>
            </a:graphic>
          </wp:inline>
        </w:drawing>
      </w:r>
    </w:p>
    <w:p w14:paraId="72D615DA" w14:textId="77777777" w:rsidR="004B58AD" w:rsidRPr="00800AE5" w:rsidRDefault="004B58AD" w:rsidP="004B58AD">
      <w:pPr>
        <w:pStyle w:val="BGNotesFiguresTables"/>
        <w:keepNext/>
        <w:tabs>
          <w:tab w:val="left" w:pos="810"/>
          <w:tab w:val="left" w:pos="1170"/>
        </w:tabs>
        <w:spacing w:before="0"/>
        <w:ind w:left="990" w:right="720" w:hanging="360"/>
        <w:rPr>
          <w:color w:val="auto"/>
        </w:rPr>
      </w:pPr>
      <w:r w:rsidRPr="00800AE5">
        <w:rPr>
          <w:i/>
          <w:color w:val="auto"/>
        </w:rPr>
        <w:t>Sources and Notes:</w:t>
      </w:r>
      <w:r w:rsidRPr="00800AE5">
        <w:rPr>
          <w:color w:val="auto"/>
        </w:rPr>
        <w:t xml:space="preserve"> </w:t>
      </w:r>
    </w:p>
    <w:p w14:paraId="1A11364C" w14:textId="5DFAF2C9" w:rsidR="004B58AD" w:rsidRPr="00800AE5" w:rsidRDefault="004B58AD" w:rsidP="004B58AD">
      <w:pPr>
        <w:pStyle w:val="BGNotesFiguresTables"/>
        <w:keepNext/>
        <w:tabs>
          <w:tab w:val="left" w:pos="810"/>
          <w:tab w:val="left" w:pos="1170"/>
        </w:tabs>
        <w:spacing w:before="0"/>
        <w:ind w:left="990" w:right="720" w:hanging="270"/>
        <w:rPr>
          <w:color w:val="auto"/>
        </w:rPr>
      </w:pPr>
      <w:r w:rsidRPr="00800AE5">
        <w:rPr>
          <w:color w:val="auto"/>
        </w:rPr>
        <w:t xml:space="preserve">ERCOT is shown at </w:t>
      </w:r>
      <w:r w:rsidR="00652601">
        <w:rPr>
          <w:color w:val="auto"/>
        </w:rPr>
        <w:t>9.57</w:t>
      </w:r>
      <w:r w:rsidRPr="00800AE5">
        <w:rPr>
          <w:color w:val="auto"/>
        </w:rPr>
        <w:t>% reserve margin, with resource mix consistent with 20</w:t>
      </w:r>
      <w:r w:rsidR="00800AE5" w:rsidRPr="00800AE5">
        <w:rPr>
          <w:color w:val="auto"/>
        </w:rPr>
        <w:t>20</w:t>
      </w:r>
      <w:r w:rsidRPr="00800AE5">
        <w:rPr>
          <w:color w:val="auto"/>
        </w:rPr>
        <w:t xml:space="preserve"> LTRA as explained in Appendix 1.</w:t>
      </w:r>
      <w:r w:rsidRPr="00800AE5">
        <w:rPr>
          <w:color w:val="auto"/>
        </w:rPr>
        <w:fldChar w:fldCharType="begin"/>
      </w:r>
      <w:r w:rsidRPr="00800AE5">
        <w:rPr>
          <w:color w:val="auto"/>
        </w:rPr>
        <w:instrText xml:space="preserve"> REF _Ref526871101 \n \h </w:instrText>
      </w:r>
      <w:r w:rsidRPr="00800AE5">
        <w:rPr>
          <w:color w:val="auto"/>
        </w:rPr>
      </w:r>
      <w:r w:rsidRPr="00800AE5">
        <w:rPr>
          <w:color w:val="auto"/>
        </w:rPr>
        <w:fldChar w:fldCharType="separate"/>
      </w:r>
      <w:r w:rsidRPr="00800AE5">
        <w:rPr>
          <w:color w:val="auto"/>
        </w:rPr>
        <w:t>B</w:t>
      </w:r>
      <w:r w:rsidRPr="00800AE5">
        <w:rPr>
          <w:color w:val="auto"/>
        </w:rPr>
        <w:fldChar w:fldCharType="end"/>
      </w:r>
      <w:r w:rsidRPr="00800AE5">
        <w:rPr>
          <w:color w:val="auto"/>
        </w:rPr>
        <w:t>, using unit-specific heat rates, VOM, and other characteristics obtained from ERCOT.</w:t>
      </w:r>
    </w:p>
    <w:p w14:paraId="215CBCE1" w14:textId="29D6D40C" w:rsidR="004B58AD" w:rsidRPr="00800AE5" w:rsidRDefault="004B58AD" w:rsidP="004B58AD">
      <w:pPr>
        <w:pStyle w:val="BGNotesFiguresTables"/>
        <w:keepNext/>
        <w:tabs>
          <w:tab w:val="left" w:pos="810"/>
          <w:tab w:val="left" w:pos="1170"/>
        </w:tabs>
        <w:spacing w:before="0"/>
        <w:ind w:left="990" w:right="720" w:hanging="360"/>
        <w:rPr>
          <w:color w:val="auto"/>
        </w:rPr>
      </w:pPr>
      <w:r w:rsidRPr="00800AE5">
        <w:rPr>
          <w:color w:val="auto"/>
        </w:rPr>
        <w:tab/>
        <w:t xml:space="preserve">External systems resource mix from </w:t>
      </w:r>
      <w:r w:rsidR="00AA7F32">
        <w:rPr>
          <w:color w:val="auto"/>
        </w:rPr>
        <w:t>publicly available data.</w:t>
      </w:r>
    </w:p>
    <w:p w14:paraId="7DC6D136" w14:textId="77777777" w:rsidR="004B58AD" w:rsidRPr="00800AE5" w:rsidRDefault="004B58AD" w:rsidP="004B58AD">
      <w:pPr>
        <w:pStyle w:val="BGNotesFiguresTables"/>
        <w:tabs>
          <w:tab w:val="left" w:pos="810"/>
          <w:tab w:val="left" w:pos="1170"/>
        </w:tabs>
        <w:spacing w:before="0"/>
        <w:ind w:left="994" w:right="720" w:hanging="360"/>
        <w:rPr>
          <w:color w:val="auto"/>
        </w:rPr>
      </w:pPr>
      <w:r w:rsidRPr="00800AE5">
        <w:rPr>
          <w:color w:val="auto"/>
        </w:rPr>
        <w:tab/>
        <w:t>Supply curves reflect VOM and fuel costs, with fuel prices from Appendix 1.</w:t>
      </w:r>
      <w:r w:rsidRPr="00800AE5">
        <w:rPr>
          <w:color w:val="auto"/>
        </w:rPr>
        <w:fldChar w:fldCharType="begin"/>
      </w:r>
      <w:r w:rsidRPr="00800AE5">
        <w:rPr>
          <w:color w:val="auto"/>
        </w:rPr>
        <w:instrText xml:space="preserve"> REF _Ref526871101 \n \h </w:instrText>
      </w:r>
      <w:r w:rsidRPr="00800AE5">
        <w:rPr>
          <w:color w:val="auto"/>
        </w:rPr>
      </w:r>
      <w:r w:rsidRPr="00800AE5">
        <w:rPr>
          <w:color w:val="auto"/>
        </w:rPr>
        <w:fldChar w:fldCharType="separate"/>
      </w:r>
      <w:r w:rsidRPr="00800AE5">
        <w:rPr>
          <w:color w:val="auto"/>
        </w:rPr>
        <w:t>B</w:t>
      </w:r>
      <w:r w:rsidRPr="00800AE5">
        <w:rPr>
          <w:color w:val="auto"/>
        </w:rPr>
        <w:fldChar w:fldCharType="end"/>
      </w:r>
      <w:r w:rsidRPr="00800AE5">
        <w:rPr>
          <w:color w:val="auto"/>
        </w:rPr>
        <w:t>.</w:t>
      </w:r>
      <w:r w:rsidRPr="00800AE5">
        <w:rPr>
          <w:color w:val="auto"/>
        </w:rPr>
        <w:fldChar w:fldCharType="begin"/>
      </w:r>
      <w:r w:rsidRPr="00800AE5">
        <w:rPr>
          <w:color w:val="auto"/>
        </w:rPr>
        <w:instrText xml:space="preserve"> REF _Ref526448238 \n \h </w:instrText>
      </w:r>
      <w:r w:rsidRPr="00800AE5">
        <w:rPr>
          <w:color w:val="auto"/>
        </w:rPr>
      </w:r>
      <w:r w:rsidRPr="00800AE5">
        <w:rPr>
          <w:color w:val="auto"/>
        </w:rPr>
        <w:fldChar w:fldCharType="separate"/>
      </w:r>
      <w:r w:rsidRPr="00800AE5">
        <w:rPr>
          <w:color w:val="auto"/>
        </w:rPr>
        <w:t>6</w:t>
      </w:r>
      <w:r w:rsidRPr="00800AE5">
        <w:rPr>
          <w:color w:val="auto"/>
        </w:rPr>
        <w:fldChar w:fldCharType="end"/>
      </w:r>
      <w:r w:rsidRPr="00800AE5">
        <w:rPr>
          <w:color w:val="auto"/>
        </w:rPr>
        <w:t xml:space="preserve"> above.  </w:t>
      </w:r>
    </w:p>
    <w:p w14:paraId="4F54FDC7" w14:textId="10246564" w:rsidR="004B58AD" w:rsidRDefault="004B58AD" w:rsidP="00FA0DFD">
      <w:pPr>
        <w:pStyle w:val="Heading2"/>
        <w:numPr>
          <w:ilvl w:val="0"/>
          <w:numId w:val="17"/>
        </w:numPr>
      </w:pPr>
      <w:bookmarkStart w:id="567" w:name="_Toc526279146"/>
      <w:bookmarkStart w:id="568" w:name="_Toc526437298"/>
      <w:bookmarkStart w:id="569" w:name="_Toc526437485"/>
      <w:bookmarkStart w:id="570" w:name="_Toc526439941"/>
      <w:bookmarkStart w:id="571" w:name="_Toc526440051"/>
      <w:bookmarkStart w:id="572" w:name="_Ref526443515"/>
      <w:bookmarkStart w:id="573" w:name="_Ref526443636"/>
      <w:bookmarkStart w:id="574" w:name="_Ref526444149"/>
      <w:bookmarkStart w:id="575" w:name="_Ref526444249"/>
      <w:bookmarkStart w:id="576" w:name="_Ref526444286"/>
      <w:bookmarkStart w:id="577" w:name="_Ref526444317"/>
      <w:bookmarkStart w:id="578" w:name="_Ref526447522"/>
      <w:bookmarkStart w:id="579" w:name="_Ref526447663"/>
      <w:bookmarkStart w:id="580" w:name="_Ref526447969"/>
      <w:bookmarkStart w:id="581" w:name="_Ref526448337"/>
      <w:bookmarkStart w:id="582" w:name="_Ref526448445"/>
      <w:bookmarkStart w:id="583" w:name="_Ref526448515"/>
      <w:bookmarkStart w:id="584" w:name="_Toc532834329"/>
      <w:bookmarkStart w:id="585" w:name="_Toc57193602"/>
      <w:bookmarkStart w:id="586" w:name="_Ref522224111"/>
      <w:bookmarkStart w:id="587" w:name="_Toc525079626"/>
      <w:bookmarkStart w:id="588" w:name="_Toc525851053"/>
      <w:bookmarkStart w:id="589" w:name="_Toc525938084"/>
      <w:r>
        <w:t>Scarcity Conditions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t xml:space="preserve"> </w:t>
      </w:r>
      <w:bookmarkEnd w:id="586"/>
      <w:bookmarkEnd w:id="587"/>
      <w:bookmarkEnd w:id="588"/>
      <w:bookmarkEnd w:id="589"/>
    </w:p>
    <w:p w14:paraId="0A988A32" w14:textId="77777777" w:rsidR="004B58AD" w:rsidRPr="00800AE5" w:rsidRDefault="004B58AD" w:rsidP="004B58AD">
      <w:pPr>
        <w:pStyle w:val="BGNormal125"/>
        <w:rPr>
          <w:rFonts w:ascii="Calibri" w:hAnsi="Calibri" w:cs="Calibri"/>
          <w:color w:val="auto"/>
          <w:sz w:val="22"/>
          <w:szCs w:val="22"/>
        </w:rPr>
      </w:pPr>
      <w:r w:rsidRPr="00800AE5">
        <w:rPr>
          <w:rFonts w:ascii="Calibri" w:hAnsi="Calibri" w:cs="Calibri"/>
          <w:color w:val="auto"/>
          <w:sz w:val="22"/>
          <w:szCs w:val="22"/>
        </w:rPr>
        <w:t>Increasing the reserve margin provides benefits primarily by reducing the frequency and severity of high-cost emergency events.  Calculating the economically optimal reserve margin requires a careful examination of the nature, frequency, trigger order, and cost of each type of market-based or administrative emergency action implemented during such events.</w:t>
      </w:r>
    </w:p>
    <w:p w14:paraId="18FA5DE8" w14:textId="044BD07A" w:rsidR="004B58AD" w:rsidRDefault="004B58AD" w:rsidP="00FA0DFD">
      <w:pPr>
        <w:pStyle w:val="Heading3"/>
        <w:numPr>
          <w:ilvl w:val="0"/>
          <w:numId w:val="22"/>
        </w:numPr>
      </w:pPr>
      <w:bookmarkStart w:id="590" w:name="_Toc526279147"/>
      <w:bookmarkStart w:id="591" w:name="_Toc526437299"/>
      <w:bookmarkStart w:id="592" w:name="_Toc526437486"/>
      <w:bookmarkStart w:id="593" w:name="_Toc526439942"/>
      <w:bookmarkStart w:id="594" w:name="_Toc526440052"/>
      <w:bookmarkStart w:id="595" w:name="_Ref526448521"/>
      <w:bookmarkStart w:id="596" w:name="_Toc532834330"/>
      <w:bookmarkStart w:id="597" w:name="_Toc57193603"/>
      <w:bookmarkStart w:id="598" w:name="_Ref523234762"/>
      <w:bookmarkStart w:id="599" w:name="_Toc525079627"/>
      <w:bookmarkStart w:id="600" w:name="_Toc525851054"/>
      <w:bookmarkStart w:id="601" w:name="_Toc525938085"/>
      <w:r>
        <w:t>Administrative Market Parameters</w:t>
      </w:r>
      <w:bookmarkEnd w:id="590"/>
      <w:bookmarkEnd w:id="591"/>
      <w:bookmarkEnd w:id="592"/>
      <w:bookmarkEnd w:id="593"/>
      <w:bookmarkEnd w:id="594"/>
      <w:bookmarkEnd w:id="595"/>
      <w:bookmarkEnd w:id="596"/>
      <w:bookmarkEnd w:id="597"/>
      <w:r>
        <w:t xml:space="preserve"> </w:t>
      </w:r>
      <w:bookmarkEnd w:id="598"/>
      <w:bookmarkEnd w:id="599"/>
      <w:bookmarkEnd w:id="600"/>
      <w:bookmarkEnd w:id="601"/>
    </w:p>
    <w:p w14:paraId="57F15A88" w14:textId="36F714DB" w:rsidR="004B58AD" w:rsidRPr="00CC3C91" w:rsidRDefault="004B58AD" w:rsidP="004B58AD">
      <w:pPr>
        <w:pStyle w:val="BGNormal125"/>
        <w:rPr>
          <w:rFonts w:ascii="Calibri" w:hAnsi="Calibri" w:cs="Calibri"/>
          <w:color w:val="auto"/>
          <w:sz w:val="22"/>
          <w:szCs w:val="22"/>
        </w:rPr>
      </w:pPr>
      <w:r w:rsidRPr="00CC3C91">
        <w:rPr>
          <w:rFonts w:ascii="Calibri" w:hAnsi="Calibri" w:cs="Calibri"/>
          <w:color w:val="auto"/>
          <w:sz w:val="22"/>
          <w:szCs w:val="22"/>
        </w:rPr>
        <w:t>We developed a representation of the 202</w:t>
      </w:r>
      <w:r w:rsidR="00800AE5" w:rsidRPr="00CC3C91">
        <w:rPr>
          <w:rFonts w:ascii="Calibri" w:hAnsi="Calibri" w:cs="Calibri"/>
          <w:color w:val="auto"/>
          <w:sz w:val="22"/>
          <w:szCs w:val="22"/>
        </w:rPr>
        <w:t>4</w:t>
      </w:r>
      <w:r w:rsidRPr="00CC3C91">
        <w:rPr>
          <w:rFonts w:ascii="Calibri" w:hAnsi="Calibri" w:cs="Calibri"/>
          <w:color w:val="auto"/>
          <w:sz w:val="22"/>
          <w:szCs w:val="22"/>
        </w:rPr>
        <w:t xml:space="preserve"> ERCOT market using the parameters summarized in </w:t>
      </w:r>
      <w:r w:rsidRPr="00CC3C91">
        <w:rPr>
          <w:rFonts w:ascii="Calibri" w:hAnsi="Calibri" w:cs="Calibri"/>
          <w:color w:val="auto"/>
          <w:sz w:val="22"/>
          <w:szCs w:val="22"/>
        </w:rPr>
        <w:fldChar w:fldCharType="begin"/>
      </w:r>
      <w:r w:rsidRPr="00CC3C91">
        <w:rPr>
          <w:rFonts w:ascii="Calibri" w:hAnsi="Calibri" w:cs="Calibri"/>
          <w:color w:val="auto"/>
          <w:sz w:val="22"/>
          <w:szCs w:val="22"/>
        </w:rPr>
        <w:instrText xml:space="preserve"> REF _Ref377200840 \h </w:instrText>
      </w:r>
      <w:r w:rsidR="00E456C6" w:rsidRPr="00CC3C91">
        <w:rPr>
          <w:rFonts w:ascii="Calibri" w:hAnsi="Calibri" w:cs="Calibri"/>
          <w:color w:val="auto"/>
          <w:sz w:val="22"/>
          <w:szCs w:val="22"/>
        </w:rPr>
        <w:instrText xml:space="preserve"> \* MERGEFORMAT </w:instrText>
      </w:r>
      <w:r w:rsidRPr="00CC3C91">
        <w:rPr>
          <w:rFonts w:ascii="Calibri" w:hAnsi="Calibri" w:cs="Calibri"/>
          <w:color w:val="auto"/>
          <w:sz w:val="22"/>
          <w:szCs w:val="22"/>
        </w:rPr>
      </w:r>
      <w:r w:rsidRPr="00CC3C91">
        <w:rPr>
          <w:rFonts w:ascii="Calibri" w:hAnsi="Calibri" w:cs="Calibri"/>
          <w:color w:val="auto"/>
          <w:sz w:val="22"/>
          <w:szCs w:val="22"/>
        </w:rPr>
        <w:fldChar w:fldCharType="separate"/>
      </w:r>
      <w:r w:rsidR="00DD3DB6" w:rsidRPr="00AB139A">
        <w:rPr>
          <w:rFonts w:ascii="Calibri" w:hAnsi="Calibri" w:cs="Calibri"/>
          <w:color w:val="auto"/>
          <w:sz w:val="22"/>
          <w:szCs w:val="22"/>
        </w:rPr>
        <w:t>Table A1-7</w:t>
      </w:r>
      <w:r w:rsidRPr="00CC3C91">
        <w:rPr>
          <w:rFonts w:ascii="Calibri" w:hAnsi="Calibri" w:cs="Calibri"/>
          <w:color w:val="auto"/>
          <w:sz w:val="22"/>
          <w:szCs w:val="22"/>
        </w:rPr>
        <w:fldChar w:fldCharType="end"/>
      </w:r>
      <w:r w:rsidRPr="00CC3C91">
        <w:rPr>
          <w:rFonts w:ascii="Calibri" w:hAnsi="Calibri" w:cs="Calibri"/>
          <w:color w:val="auto"/>
          <w:sz w:val="22"/>
          <w:szCs w:val="22"/>
        </w:rPr>
        <w:t>.  We assume that the administrative Value of Lost Load (VOLL) is equal to the true market VOLL and the High System-Wide Offer Cap (HCAP) at $9,000/MWh.</w:t>
      </w:r>
      <w:r w:rsidRPr="00CC3C91">
        <w:rPr>
          <w:rStyle w:val="FootnoteReference"/>
          <w:rFonts w:ascii="Calibri" w:hAnsi="Calibri" w:cs="Calibri"/>
          <w:color w:val="auto"/>
          <w:sz w:val="22"/>
          <w:szCs w:val="22"/>
        </w:rPr>
        <w:footnoteReference w:id="63"/>
      </w:r>
      <w:r w:rsidRPr="00CC3C91">
        <w:rPr>
          <w:rFonts w:ascii="Calibri" w:hAnsi="Calibri" w:cs="Calibri"/>
          <w:color w:val="auto"/>
          <w:sz w:val="22"/>
          <w:szCs w:val="22"/>
        </w:rPr>
        <w:t xml:space="preserve">  We also conduct a sensitivity analysis for a reasonable range of VOLL.</w:t>
      </w:r>
    </w:p>
    <w:p w14:paraId="612AF7A9" w14:textId="543FB837" w:rsidR="004B58AD" w:rsidRPr="00CC3C91" w:rsidRDefault="004B58AD" w:rsidP="004B58AD">
      <w:pPr>
        <w:pStyle w:val="BGNormal125"/>
        <w:rPr>
          <w:rFonts w:ascii="Calibri" w:hAnsi="Calibri" w:cs="Calibri"/>
          <w:b/>
          <w:bCs/>
          <w:color w:val="auto"/>
          <w:sz w:val="28"/>
          <w:szCs w:val="28"/>
        </w:rPr>
      </w:pPr>
      <w:r w:rsidRPr="00CC3C91">
        <w:rPr>
          <w:rFonts w:ascii="Calibri" w:hAnsi="Calibri" w:cs="Calibri"/>
          <w:color w:val="auto"/>
          <w:sz w:val="22"/>
          <w:szCs w:val="22"/>
        </w:rPr>
        <w:t>Consistent with current market rules, we tabulate the Peaker Net Margin (PNM) over the calendar year and reduce the System-Wide Offer Cap (SWOC) to the Low System-Wide Offer Cap (LCAP) of $2,000/MWh after the PNM threshold is exceeded.</w:t>
      </w:r>
      <w:r w:rsidRPr="00CC3C91">
        <w:rPr>
          <w:rStyle w:val="FootnoteReference"/>
          <w:rFonts w:ascii="Calibri" w:hAnsi="Calibri" w:cs="Calibri"/>
          <w:color w:val="auto"/>
          <w:sz w:val="22"/>
          <w:szCs w:val="22"/>
        </w:rPr>
        <w:footnoteReference w:id="64"/>
      </w:r>
      <w:r w:rsidRPr="00CC3C91">
        <w:rPr>
          <w:rFonts w:ascii="Calibri" w:hAnsi="Calibri" w:cs="Calibri"/>
          <w:color w:val="auto"/>
          <w:sz w:val="22"/>
          <w:szCs w:val="22"/>
        </w:rPr>
        <w:t xml:space="preserve">  However, we stress that this mechanism will have a small impact </w:t>
      </w:r>
      <w:r w:rsidR="003B5E4A">
        <w:rPr>
          <w:rFonts w:ascii="Calibri" w:hAnsi="Calibri" w:cs="Calibri"/>
          <w:color w:val="auto"/>
          <w:sz w:val="22"/>
          <w:szCs w:val="22"/>
        </w:rPr>
        <w:t>on the MERM since the PNM is rarely exceeded at reserve margins near MERM</w:t>
      </w:r>
      <w:r w:rsidR="003B5E4A" w:rsidRPr="00CC3C91">
        <w:rPr>
          <w:rFonts w:ascii="Calibri" w:hAnsi="Calibri" w:cs="Calibri"/>
          <w:color w:val="auto"/>
          <w:sz w:val="22"/>
          <w:szCs w:val="22"/>
        </w:rPr>
        <w:t>.</w:t>
      </w:r>
      <w:r w:rsidR="003B5E4A">
        <w:rPr>
          <w:rFonts w:ascii="Calibri" w:hAnsi="Calibri" w:cs="Calibri"/>
          <w:color w:val="auto"/>
          <w:sz w:val="22"/>
          <w:szCs w:val="22"/>
        </w:rPr>
        <w:t xml:space="preserve"> We ran a simulation scenario which did not adjust the SWOC after the PNM threshold was exceeded, and the MERM changed by less than .25% from the result in our base case.</w:t>
      </w:r>
      <w:r w:rsidRPr="00CC3C91">
        <w:rPr>
          <w:rFonts w:ascii="Calibri" w:hAnsi="Calibri" w:cs="Calibri"/>
          <w:color w:val="auto"/>
          <w:sz w:val="22"/>
          <w:szCs w:val="22"/>
        </w:rPr>
        <w:t xml:space="preserve">  We further explain our implementation of the ORDC and PBPC in Sections </w:t>
      </w:r>
      <w:r w:rsidRPr="00CC3C91">
        <w:rPr>
          <w:rFonts w:ascii="Calibri" w:hAnsi="Calibri" w:cs="Calibri"/>
          <w:color w:val="auto"/>
          <w:sz w:val="22"/>
          <w:szCs w:val="22"/>
        </w:rPr>
        <w:fldChar w:fldCharType="begin"/>
      </w:r>
      <w:r w:rsidRPr="00CC3C91">
        <w:rPr>
          <w:rFonts w:ascii="Calibri" w:hAnsi="Calibri" w:cs="Calibri"/>
          <w:color w:val="auto"/>
          <w:sz w:val="22"/>
          <w:szCs w:val="22"/>
        </w:rPr>
        <w:instrText xml:space="preserve"> REF _Ref523234894 \w \h </w:instrText>
      </w:r>
      <w:r w:rsidR="00E456C6" w:rsidRPr="00CC3C91">
        <w:rPr>
          <w:rFonts w:ascii="Calibri" w:hAnsi="Calibri" w:cs="Calibri"/>
          <w:color w:val="auto"/>
          <w:sz w:val="22"/>
          <w:szCs w:val="22"/>
        </w:rPr>
        <w:instrText xml:space="preserve"> \* MERGEFORMAT </w:instrText>
      </w:r>
      <w:r w:rsidRPr="00CC3C91">
        <w:rPr>
          <w:rFonts w:ascii="Calibri" w:hAnsi="Calibri" w:cs="Calibri"/>
          <w:color w:val="auto"/>
          <w:sz w:val="22"/>
          <w:szCs w:val="22"/>
        </w:rPr>
      </w:r>
      <w:r w:rsidRPr="00CC3C91">
        <w:rPr>
          <w:rFonts w:ascii="Calibri" w:hAnsi="Calibri" w:cs="Calibri"/>
          <w:color w:val="auto"/>
          <w:sz w:val="22"/>
          <w:szCs w:val="22"/>
        </w:rPr>
        <w:fldChar w:fldCharType="separate"/>
      </w:r>
      <w:r w:rsidRPr="00CC3C91">
        <w:rPr>
          <w:rFonts w:ascii="Calibri" w:hAnsi="Calibri" w:cs="Calibri"/>
          <w:color w:val="auto"/>
          <w:sz w:val="22"/>
          <w:szCs w:val="22"/>
        </w:rPr>
        <w:t>IV.E.4</w:t>
      </w:r>
      <w:r w:rsidRPr="00CC3C91">
        <w:rPr>
          <w:rFonts w:ascii="Calibri" w:hAnsi="Calibri" w:cs="Calibri"/>
          <w:color w:val="auto"/>
          <w:sz w:val="22"/>
          <w:szCs w:val="22"/>
        </w:rPr>
        <w:fldChar w:fldCharType="end"/>
      </w:r>
      <w:r w:rsidRPr="00CC3C91">
        <w:rPr>
          <w:rFonts w:ascii="Calibri" w:hAnsi="Calibri" w:cs="Calibri"/>
          <w:color w:val="auto"/>
          <w:sz w:val="22"/>
          <w:szCs w:val="22"/>
        </w:rPr>
        <w:t xml:space="preserve"> and </w:t>
      </w:r>
      <w:r w:rsidRPr="00CC3C91">
        <w:rPr>
          <w:rFonts w:ascii="Calibri" w:hAnsi="Calibri" w:cs="Calibri"/>
          <w:color w:val="auto"/>
          <w:sz w:val="22"/>
          <w:szCs w:val="22"/>
        </w:rPr>
        <w:fldChar w:fldCharType="begin"/>
      </w:r>
      <w:r w:rsidRPr="00CC3C91">
        <w:rPr>
          <w:rFonts w:ascii="Calibri" w:hAnsi="Calibri" w:cs="Calibri"/>
          <w:color w:val="auto"/>
          <w:sz w:val="22"/>
          <w:szCs w:val="22"/>
        </w:rPr>
        <w:instrText xml:space="preserve"> REF _Ref523234900 \w \h </w:instrText>
      </w:r>
      <w:r w:rsidR="00E456C6" w:rsidRPr="00CC3C91">
        <w:rPr>
          <w:rFonts w:ascii="Calibri" w:hAnsi="Calibri" w:cs="Calibri"/>
          <w:color w:val="auto"/>
          <w:sz w:val="22"/>
          <w:szCs w:val="22"/>
        </w:rPr>
        <w:instrText xml:space="preserve"> \* MERGEFORMAT </w:instrText>
      </w:r>
      <w:r w:rsidRPr="00CC3C91">
        <w:rPr>
          <w:rFonts w:ascii="Calibri" w:hAnsi="Calibri" w:cs="Calibri"/>
          <w:color w:val="auto"/>
          <w:sz w:val="22"/>
          <w:szCs w:val="22"/>
        </w:rPr>
      </w:r>
      <w:r w:rsidRPr="00CC3C91">
        <w:rPr>
          <w:rFonts w:ascii="Calibri" w:hAnsi="Calibri" w:cs="Calibri"/>
          <w:color w:val="auto"/>
          <w:sz w:val="22"/>
          <w:szCs w:val="22"/>
        </w:rPr>
        <w:fldChar w:fldCharType="separate"/>
      </w:r>
      <w:r w:rsidRPr="00CC3C91">
        <w:rPr>
          <w:rFonts w:ascii="Calibri" w:hAnsi="Calibri" w:cs="Calibri"/>
          <w:color w:val="auto"/>
          <w:sz w:val="22"/>
          <w:szCs w:val="22"/>
        </w:rPr>
        <w:t>IV.E.5</w:t>
      </w:r>
      <w:r w:rsidRPr="00CC3C91">
        <w:rPr>
          <w:rFonts w:ascii="Calibri" w:hAnsi="Calibri" w:cs="Calibri"/>
          <w:color w:val="auto"/>
          <w:sz w:val="22"/>
          <w:szCs w:val="22"/>
        </w:rPr>
        <w:fldChar w:fldCharType="end"/>
      </w:r>
      <w:r w:rsidRPr="00CC3C91">
        <w:rPr>
          <w:rFonts w:ascii="Calibri" w:hAnsi="Calibri" w:cs="Calibri"/>
          <w:color w:val="auto"/>
          <w:sz w:val="22"/>
          <w:szCs w:val="22"/>
        </w:rPr>
        <w:t xml:space="preserve"> below.</w:t>
      </w:r>
    </w:p>
    <w:p w14:paraId="486BE995" w14:textId="3FE7D732" w:rsidR="004B58AD" w:rsidRDefault="004B58AD" w:rsidP="00E456C6">
      <w:pPr>
        <w:pStyle w:val="Caption"/>
        <w:jc w:val="center"/>
        <w:rPr>
          <w:b/>
          <w:bCs/>
          <w:i w:val="0"/>
          <w:iCs w:val="0"/>
          <w:color w:val="auto"/>
          <w:sz w:val="22"/>
          <w:szCs w:val="22"/>
        </w:rPr>
      </w:pPr>
      <w:bookmarkStart w:id="602" w:name="_Ref377200840"/>
      <w:r w:rsidRPr="00CC3C91">
        <w:rPr>
          <w:b/>
          <w:bCs/>
          <w:i w:val="0"/>
          <w:iCs w:val="0"/>
          <w:color w:val="auto"/>
          <w:sz w:val="22"/>
          <w:szCs w:val="22"/>
        </w:rPr>
        <w:t>Table A1-</w:t>
      </w:r>
      <w:r w:rsidRPr="00CC3C91">
        <w:rPr>
          <w:b/>
          <w:bCs/>
          <w:i w:val="0"/>
          <w:iCs w:val="0"/>
          <w:noProof/>
          <w:color w:val="auto"/>
          <w:sz w:val="22"/>
          <w:szCs w:val="22"/>
        </w:rPr>
        <w:fldChar w:fldCharType="begin"/>
      </w:r>
      <w:r w:rsidRPr="00CC3C91">
        <w:rPr>
          <w:b/>
          <w:bCs/>
          <w:i w:val="0"/>
          <w:iCs w:val="0"/>
          <w:noProof/>
          <w:color w:val="auto"/>
          <w:sz w:val="22"/>
          <w:szCs w:val="22"/>
        </w:rPr>
        <w:instrText xml:space="preserve"> SEQ Table_A1- \* ARABIC </w:instrText>
      </w:r>
      <w:r w:rsidRPr="00CC3C91">
        <w:rPr>
          <w:b/>
          <w:bCs/>
          <w:i w:val="0"/>
          <w:iCs w:val="0"/>
          <w:noProof/>
          <w:color w:val="auto"/>
          <w:sz w:val="22"/>
          <w:szCs w:val="22"/>
        </w:rPr>
        <w:fldChar w:fldCharType="separate"/>
      </w:r>
      <w:r w:rsidR="00DD3DB6">
        <w:rPr>
          <w:b/>
          <w:bCs/>
          <w:i w:val="0"/>
          <w:iCs w:val="0"/>
          <w:noProof/>
          <w:color w:val="auto"/>
          <w:sz w:val="22"/>
          <w:szCs w:val="22"/>
        </w:rPr>
        <w:t>7</w:t>
      </w:r>
      <w:r w:rsidRPr="00CC3C91">
        <w:rPr>
          <w:b/>
          <w:bCs/>
          <w:i w:val="0"/>
          <w:iCs w:val="0"/>
          <w:noProof/>
          <w:color w:val="auto"/>
          <w:sz w:val="22"/>
          <w:szCs w:val="22"/>
        </w:rPr>
        <w:fldChar w:fldCharType="end"/>
      </w:r>
      <w:bookmarkEnd w:id="602"/>
      <w:r w:rsidR="00E456C6" w:rsidRPr="00CC3C91">
        <w:rPr>
          <w:b/>
          <w:bCs/>
          <w:i w:val="0"/>
          <w:iCs w:val="0"/>
          <w:noProof/>
          <w:color w:val="auto"/>
          <w:sz w:val="22"/>
          <w:szCs w:val="22"/>
        </w:rPr>
        <w:t xml:space="preserve">. </w:t>
      </w:r>
      <w:r w:rsidRPr="00CC3C91">
        <w:rPr>
          <w:b/>
          <w:bCs/>
          <w:i w:val="0"/>
          <w:iCs w:val="0"/>
          <w:color w:val="auto"/>
          <w:sz w:val="22"/>
          <w:szCs w:val="22"/>
        </w:rPr>
        <w:t>ERCOT Scarcity Pricing Parameters Assumed for 202</w:t>
      </w:r>
      <w:r w:rsidR="00CC3C91" w:rsidRPr="00CC3C91">
        <w:rPr>
          <w:b/>
          <w:bCs/>
          <w:i w:val="0"/>
          <w:iCs w:val="0"/>
          <w:color w:val="auto"/>
          <w:sz w:val="22"/>
          <w:szCs w:val="22"/>
        </w:rPr>
        <w:t>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214"/>
        <w:gridCol w:w="3132"/>
      </w:tblGrid>
      <w:tr w:rsidR="0004730B" w14:paraId="59404B45" w14:textId="77777777" w:rsidTr="00652601">
        <w:tc>
          <w:tcPr>
            <w:tcW w:w="4050" w:type="dxa"/>
            <w:tcBorders>
              <w:top w:val="single" w:sz="4" w:space="0" w:color="auto"/>
              <w:bottom w:val="single" w:sz="4" w:space="0" w:color="auto"/>
            </w:tcBorders>
            <w:vAlign w:val="center"/>
          </w:tcPr>
          <w:p w14:paraId="78A941D6" w14:textId="4246A296" w:rsidR="0004730B" w:rsidRPr="00652601" w:rsidRDefault="0004730B" w:rsidP="00652601">
            <w:pPr>
              <w:jc w:val="center"/>
              <w:rPr>
                <w:b/>
                <w:bCs/>
              </w:rPr>
            </w:pPr>
            <w:r w:rsidRPr="00652601">
              <w:rPr>
                <w:b/>
                <w:bCs/>
              </w:rPr>
              <w:t>Parameter</w:t>
            </w:r>
          </w:p>
        </w:tc>
        <w:tc>
          <w:tcPr>
            <w:tcW w:w="2214" w:type="dxa"/>
            <w:tcBorders>
              <w:top w:val="single" w:sz="4" w:space="0" w:color="auto"/>
              <w:bottom w:val="single" w:sz="4" w:space="0" w:color="auto"/>
            </w:tcBorders>
            <w:vAlign w:val="center"/>
          </w:tcPr>
          <w:p w14:paraId="104F95EC" w14:textId="2CB83BAE" w:rsidR="0004730B" w:rsidRPr="00652601" w:rsidRDefault="0004730B" w:rsidP="00652601">
            <w:pPr>
              <w:jc w:val="center"/>
              <w:rPr>
                <w:b/>
                <w:bCs/>
              </w:rPr>
            </w:pPr>
            <w:r w:rsidRPr="00652601">
              <w:rPr>
                <w:b/>
                <w:bCs/>
              </w:rPr>
              <w:t>Value</w:t>
            </w:r>
          </w:p>
        </w:tc>
        <w:tc>
          <w:tcPr>
            <w:tcW w:w="3132" w:type="dxa"/>
            <w:tcBorders>
              <w:top w:val="single" w:sz="4" w:space="0" w:color="auto"/>
              <w:bottom w:val="single" w:sz="4" w:space="0" w:color="auto"/>
            </w:tcBorders>
            <w:vAlign w:val="center"/>
          </w:tcPr>
          <w:p w14:paraId="583736DB" w14:textId="24EB8EC0" w:rsidR="0004730B" w:rsidRPr="00652601" w:rsidRDefault="0004730B" w:rsidP="00652601">
            <w:pPr>
              <w:jc w:val="center"/>
              <w:rPr>
                <w:b/>
                <w:bCs/>
              </w:rPr>
            </w:pPr>
            <w:r w:rsidRPr="00652601">
              <w:rPr>
                <w:b/>
                <w:bCs/>
              </w:rPr>
              <w:t>Notes</w:t>
            </w:r>
          </w:p>
        </w:tc>
      </w:tr>
      <w:tr w:rsidR="0004730B" w14:paraId="70CD4D32" w14:textId="77777777" w:rsidTr="00652601">
        <w:tc>
          <w:tcPr>
            <w:tcW w:w="4050" w:type="dxa"/>
            <w:tcBorders>
              <w:top w:val="single" w:sz="4" w:space="0" w:color="auto"/>
            </w:tcBorders>
            <w:shd w:val="clear" w:color="auto" w:fill="D9D9D9" w:themeFill="background1" w:themeFillShade="D9"/>
            <w:vAlign w:val="center"/>
          </w:tcPr>
          <w:p w14:paraId="12947C7F" w14:textId="7B7C576C" w:rsidR="0004730B" w:rsidRDefault="0004730B" w:rsidP="00652601">
            <w:pPr>
              <w:jc w:val="center"/>
            </w:pPr>
            <w:r>
              <w:t>Value of Lost Load (VOLL)</w:t>
            </w:r>
          </w:p>
        </w:tc>
        <w:tc>
          <w:tcPr>
            <w:tcW w:w="2214" w:type="dxa"/>
            <w:tcBorders>
              <w:top w:val="single" w:sz="4" w:space="0" w:color="auto"/>
            </w:tcBorders>
            <w:shd w:val="clear" w:color="auto" w:fill="D9D9D9" w:themeFill="background1" w:themeFillShade="D9"/>
            <w:vAlign w:val="center"/>
          </w:tcPr>
          <w:p w14:paraId="6578D339" w14:textId="7F4C47CD" w:rsidR="0004730B" w:rsidRDefault="0004730B" w:rsidP="00652601">
            <w:pPr>
              <w:jc w:val="center"/>
            </w:pPr>
            <w:r>
              <w:t>$9,000/MWh</w:t>
            </w:r>
          </w:p>
        </w:tc>
        <w:tc>
          <w:tcPr>
            <w:tcW w:w="3132" w:type="dxa"/>
            <w:tcBorders>
              <w:top w:val="single" w:sz="4" w:space="0" w:color="auto"/>
            </w:tcBorders>
            <w:shd w:val="clear" w:color="auto" w:fill="D9D9D9" w:themeFill="background1" w:themeFillShade="D9"/>
            <w:vAlign w:val="center"/>
          </w:tcPr>
          <w:p w14:paraId="674C2FA9" w14:textId="48CBE99D" w:rsidR="0004730B" w:rsidRDefault="0004730B" w:rsidP="00652601">
            <w:pPr>
              <w:jc w:val="center"/>
            </w:pPr>
            <w:r>
              <w:t>Administrative and actual</w:t>
            </w:r>
          </w:p>
        </w:tc>
      </w:tr>
      <w:tr w:rsidR="0004730B" w14:paraId="7B35D868" w14:textId="77777777" w:rsidTr="00652601">
        <w:tc>
          <w:tcPr>
            <w:tcW w:w="4050" w:type="dxa"/>
            <w:vAlign w:val="center"/>
          </w:tcPr>
          <w:p w14:paraId="0F175919" w14:textId="282DC6A9" w:rsidR="0004730B" w:rsidRDefault="0004730B" w:rsidP="00652601">
            <w:pPr>
              <w:jc w:val="center"/>
            </w:pPr>
            <w:r>
              <w:t>High System-Wide Offer Cap (HCAP)</w:t>
            </w:r>
          </w:p>
        </w:tc>
        <w:tc>
          <w:tcPr>
            <w:tcW w:w="2214" w:type="dxa"/>
            <w:vAlign w:val="center"/>
          </w:tcPr>
          <w:p w14:paraId="0DC1D725" w14:textId="314BB0C1" w:rsidR="0004730B" w:rsidRDefault="0004730B" w:rsidP="00652601">
            <w:pPr>
              <w:jc w:val="center"/>
            </w:pPr>
            <w:r>
              <w:t>$9,000/MWh</w:t>
            </w:r>
          </w:p>
        </w:tc>
        <w:tc>
          <w:tcPr>
            <w:tcW w:w="3132" w:type="dxa"/>
            <w:vAlign w:val="center"/>
          </w:tcPr>
          <w:p w14:paraId="60676FB8" w14:textId="2FDD8D56" w:rsidR="0004730B" w:rsidRDefault="0004730B" w:rsidP="00652601">
            <w:pPr>
              <w:jc w:val="center"/>
            </w:pPr>
            <w:r>
              <w:t>Always applied to ORDC</w:t>
            </w:r>
          </w:p>
        </w:tc>
      </w:tr>
      <w:tr w:rsidR="0004730B" w14:paraId="180AD557" w14:textId="77777777" w:rsidTr="00652601">
        <w:tc>
          <w:tcPr>
            <w:tcW w:w="4050" w:type="dxa"/>
            <w:shd w:val="clear" w:color="auto" w:fill="D9D9D9" w:themeFill="background1" w:themeFillShade="D9"/>
            <w:vAlign w:val="center"/>
          </w:tcPr>
          <w:p w14:paraId="5BBC0391" w14:textId="56247126" w:rsidR="0004730B" w:rsidRDefault="0004730B" w:rsidP="00652601">
            <w:pPr>
              <w:jc w:val="center"/>
            </w:pPr>
            <w:r>
              <w:t>Low System-Wide Offer Cap (LCAP)</w:t>
            </w:r>
          </w:p>
        </w:tc>
        <w:tc>
          <w:tcPr>
            <w:tcW w:w="2214" w:type="dxa"/>
            <w:shd w:val="clear" w:color="auto" w:fill="D9D9D9" w:themeFill="background1" w:themeFillShade="D9"/>
            <w:vAlign w:val="center"/>
          </w:tcPr>
          <w:p w14:paraId="56E1C032" w14:textId="3D910EA6" w:rsidR="0004730B" w:rsidRDefault="0004730B" w:rsidP="00652601">
            <w:pPr>
              <w:jc w:val="center"/>
            </w:pPr>
            <w:r>
              <w:t>$2,000/MWh</w:t>
            </w:r>
          </w:p>
        </w:tc>
        <w:tc>
          <w:tcPr>
            <w:tcW w:w="3132" w:type="dxa"/>
            <w:shd w:val="clear" w:color="auto" w:fill="D9D9D9" w:themeFill="background1" w:themeFillShade="D9"/>
            <w:vAlign w:val="center"/>
          </w:tcPr>
          <w:p w14:paraId="2D9714EF" w14:textId="1B7C0C46" w:rsidR="0004730B" w:rsidRDefault="0004730B" w:rsidP="00652601">
            <w:pPr>
              <w:jc w:val="center"/>
            </w:pPr>
            <w:r>
              <w:t>Applies only to PBPC</w:t>
            </w:r>
          </w:p>
        </w:tc>
      </w:tr>
      <w:tr w:rsidR="0004730B" w14:paraId="012E12A4" w14:textId="77777777" w:rsidTr="00652601">
        <w:tc>
          <w:tcPr>
            <w:tcW w:w="4050" w:type="dxa"/>
            <w:vAlign w:val="center"/>
          </w:tcPr>
          <w:p w14:paraId="72A72D24" w14:textId="048B7249" w:rsidR="0004730B" w:rsidRDefault="0004730B" w:rsidP="00652601">
            <w:pPr>
              <w:jc w:val="center"/>
            </w:pPr>
            <w:r>
              <w:t>Peaker Net Margin (PNM) Threshold</w:t>
            </w:r>
          </w:p>
        </w:tc>
        <w:tc>
          <w:tcPr>
            <w:tcW w:w="2214" w:type="dxa"/>
            <w:vAlign w:val="center"/>
          </w:tcPr>
          <w:p w14:paraId="127BA34F" w14:textId="42F95836" w:rsidR="0004730B" w:rsidRDefault="0004730B" w:rsidP="00652601">
            <w:pPr>
              <w:jc w:val="center"/>
            </w:pPr>
            <w:r>
              <w:t>$280,500/MW-</w:t>
            </w:r>
            <w:proofErr w:type="spellStart"/>
            <w:r>
              <w:t>yr</w:t>
            </w:r>
            <w:proofErr w:type="spellEnd"/>
          </w:p>
        </w:tc>
        <w:tc>
          <w:tcPr>
            <w:tcW w:w="3132" w:type="dxa"/>
            <w:vAlign w:val="center"/>
          </w:tcPr>
          <w:p w14:paraId="2C34D076" w14:textId="579E9FA3" w:rsidR="0004730B" w:rsidRDefault="0004730B" w:rsidP="00652601">
            <w:pPr>
              <w:jc w:val="center"/>
            </w:pPr>
            <w:r>
              <w:t>3 x CT CONE</w:t>
            </w:r>
          </w:p>
        </w:tc>
      </w:tr>
    </w:tbl>
    <w:p w14:paraId="0EB9A205" w14:textId="77777777" w:rsidR="004B58AD" w:rsidRPr="00CC3C91" w:rsidRDefault="004B58AD" w:rsidP="004B58AD">
      <w:pPr>
        <w:pStyle w:val="BGNotesFiguresTables"/>
        <w:keepNext/>
        <w:tabs>
          <w:tab w:val="left" w:pos="900"/>
          <w:tab w:val="left" w:pos="1080"/>
          <w:tab w:val="left" w:pos="1350"/>
        </w:tabs>
        <w:spacing w:before="0"/>
        <w:ind w:left="1080" w:right="720" w:hanging="360"/>
        <w:rPr>
          <w:color w:val="auto"/>
        </w:rPr>
      </w:pPr>
      <w:r w:rsidRPr="00CC3C91">
        <w:rPr>
          <w:i/>
          <w:color w:val="auto"/>
        </w:rPr>
        <w:t>Sources and Notes:</w:t>
      </w:r>
      <w:r w:rsidRPr="00CC3C91">
        <w:rPr>
          <w:color w:val="auto"/>
        </w:rPr>
        <w:t xml:space="preserve"> </w:t>
      </w:r>
    </w:p>
    <w:p w14:paraId="02894880" w14:textId="33368366" w:rsidR="004B58AD" w:rsidRPr="00CC3C91" w:rsidRDefault="004B58AD" w:rsidP="004B58AD">
      <w:pPr>
        <w:pStyle w:val="BGNotesFiguresTables"/>
        <w:keepNext/>
        <w:tabs>
          <w:tab w:val="left" w:pos="900"/>
          <w:tab w:val="left" w:pos="1080"/>
        </w:tabs>
        <w:spacing w:before="0"/>
        <w:ind w:left="1080" w:right="720" w:hanging="360"/>
        <w:rPr>
          <w:color w:val="auto"/>
        </w:rPr>
      </w:pPr>
      <w:r w:rsidRPr="00CC3C91">
        <w:rPr>
          <w:color w:val="auto"/>
        </w:rPr>
        <w:tab/>
        <w:t>HCAP, LCAP, and VOLL parameters consistent with PUCT (201</w:t>
      </w:r>
      <w:r w:rsidR="0004730B">
        <w:rPr>
          <w:color w:val="auto"/>
        </w:rPr>
        <w:t>9a</w:t>
      </w:r>
      <w:r w:rsidRPr="00CC3C91">
        <w:rPr>
          <w:color w:val="auto"/>
        </w:rPr>
        <w:t>).</w:t>
      </w:r>
    </w:p>
    <w:p w14:paraId="67AF1031" w14:textId="7B57049D" w:rsidR="004B58AD" w:rsidRPr="00CC3C91" w:rsidRDefault="004B58AD" w:rsidP="004B58AD">
      <w:pPr>
        <w:pStyle w:val="BGNotesFiguresTables"/>
        <w:tabs>
          <w:tab w:val="left" w:pos="900"/>
          <w:tab w:val="left" w:pos="1080"/>
        </w:tabs>
        <w:spacing w:before="0"/>
        <w:ind w:left="1080" w:right="720" w:hanging="360"/>
        <w:rPr>
          <w:color w:val="auto"/>
        </w:rPr>
      </w:pPr>
      <w:r w:rsidRPr="00CC3C91">
        <w:rPr>
          <w:color w:val="auto"/>
        </w:rPr>
        <w:tab/>
        <w:t>PNM threshold is set at three times CT CONE consistent with current ma</w:t>
      </w:r>
      <w:r w:rsidR="00B27183">
        <w:rPr>
          <w:color w:val="auto"/>
        </w:rPr>
        <w:t>rket rules and our updated CONE.</w:t>
      </w:r>
    </w:p>
    <w:p w14:paraId="420D22C3" w14:textId="77777777" w:rsidR="004B58AD" w:rsidRPr="00CC3C91" w:rsidRDefault="004B58AD" w:rsidP="002A2715">
      <w:pPr>
        <w:pStyle w:val="BGNormal125"/>
        <w:spacing w:after="240"/>
        <w:rPr>
          <w:rFonts w:ascii="Calibri" w:hAnsi="Calibri" w:cs="Calibri"/>
          <w:color w:val="auto"/>
          <w:sz w:val="22"/>
          <w:szCs w:val="22"/>
        </w:rPr>
      </w:pPr>
      <w:r w:rsidRPr="00CC3C91">
        <w:rPr>
          <w:rFonts w:ascii="Calibri" w:hAnsi="Calibri" w:cs="Calibri"/>
          <w:color w:val="auto"/>
          <w:sz w:val="22"/>
          <w:szCs w:val="22"/>
        </w:rPr>
        <w:t>The offer cap and PNM parameters determine the maximum offer price for small suppliers in ERCOT’s market under its monitoring and mitigation framework.  However, we do not explicitly model these dynamics and instead assume that suppliers always offer into the market at price levels reflective of their marginal costs, including commitment costs.</w:t>
      </w:r>
    </w:p>
    <w:p w14:paraId="0CFB6018" w14:textId="6CA56C52" w:rsidR="004B58AD" w:rsidRDefault="004B58AD" w:rsidP="00FA0DFD">
      <w:pPr>
        <w:pStyle w:val="Heading3"/>
        <w:numPr>
          <w:ilvl w:val="0"/>
          <w:numId w:val="22"/>
        </w:numPr>
      </w:pPr>
      <w:bookmarkStart w:id="603" w:name="_Toc526279148"/>
      <w:bookmarkStart w:id="604" w:name="_Toc526437300"/>
      <w:bookmarkStart w:id="605" w:name="_Toc526437487"/>
      <w:bookmarkStart w:id="606" w:name="_Toc526439943"/>
      <w:bookmarkStart w:id="607" w:name="_Toc526440053"/>
      <w:bookmarkStart w:id="608" w:name="_Ref526444258"/>
      <w:bookmarkStart w:id="609" w:name="_Ref526448455"/>
      <w:bookmarkStart w:id="610" w:name="_Toc532834331"/>
      <w:bookmarkStart w:id="611" w:name="_Toc57193604"/>
      <w:bookmarkStart w:id="612" w:name="_Ref523220101"/>
      <w:bookmarkStart w:id="613" w:name="_Ref523220111"/>
      <w:bookmarkStart w:id="614" w:name="_Ref524991467"/>
      <w:bookmarkStart w:id="615" w:name="_Toc525079628"/>
      <w:bookmarkStart w:id="616" w:name="_Toc525851055"/>
      <w:bookmarkStart w:id="617" w:name="_Toc525938086"/>
      <w:r>
        <w:t>Emergency Procedures and Marginal Costs</w:t>
      </w:r>
      <w:bookmarkEnd w:id="603"/>
      <w:bookmarkEnd w:id="604"/>
      <w:bookmarkEnd w:id="605"/>
      <w:bookmarkEnd w:id="606"/>
      <w:bookmarkEnd w:id="607"/>
      <w:bookmarkEnd w:id="608"/>
      <w:bookmarkEnd w:id="609"/>
      <w:bookmarkEnd w:id="610"/>
      <w:bookmarkEnd w:id="611"/>
      <w:r>
        <w:t xml:space="preserve"> </w:t>
      </w:r>
      <w:bookmarkEnd w:id="612"/>
      <w:bookmarkEnd w:id="613"/>
      <w:bookmarkEnd w:id="614"/>
      <w:bookmarkEnd w:id="615"/>
      <w:bookmarkEnd w:id="616"/>
      <w:bookmarkEnd w:id="617"/>
    </w:p>
    <w:p w14:paraId="22A2369D" w14:textId="78D894E3" w:rsidR="004B58AD" w:rsidRPr="00EF0925" w:rsidRDefault="004B58AD" w:rsidP="004B58AD">
      <w:pPr>
        <w:pStyle w:val="BGNormal125"/>
        <w:rPr>
          <w:rFonts w:ascii="Calibri" w:hAnsi="Calibri" w:cs="Calibri"/>
          <w:color w:val="auto"/>
          <w:sz w:val="22"/>
          <w:szCs w:val="22"/>
        </w:rPr>
      </w:pPr>
      <w:r w:rsidRPr="00EF0925">
        <w:rPr>
          <w:rFonts w:ascii="Calibri" w:hAnsi="Calibri" w:cs="Calibri"/>
          <w:color w:val="auto"/>
          <w:sz w:val="22"/>
          <w:szCs w:val="22"/>
        </w:rPr>
        <w:fldChar w:fldCharType="begin"/>
      </w:r>
      <w:r w:rsidRPr="00EF0925">
        <w:rPr>
          <w:rFonts w:ascii="Calibri" w:hAnsi="Calibri" w:cs="Calibri"/>
          <w:color w:val="auto"/>
          <w:sz w:val="22"/>
          <w:szCs w:val="22"/>
        </w:rPr>
        <w:instrText xml:space="preserve"> REF _Ref377383222 \h </w:instrText>
      </w:r>
      <w:r w:rsidR="00E456C6" w:rsidRPr="00EF0925">
        <w:rPr>
          <w:rFonts w:ascii="Calibri" w:hAnsi="Calibri" w:cs="Calibri"/>
          <w:color w:val="auto"/>
          <w:sz w:val="22"/>
          <w:szCs w:val="22"/>
        </w:rPr>
        <w:instrText xml:space="preserve"> \* MERGEFORMAT </w:instrText>
      </w:r>
      <w:r w:rsidRPr="00EF0925">
        <w:rPr>
          <w:rFonts w:ascii="Calibri" w:hAnsi="Calibri" w:cs="Calibri"/>
          <w:color w:val="auto"/>
          <w:sz w:val="22"/>
          <w:szCs w:val="22"/>
        </w:rPr>
      </w:r>
      <w:r w:rsidRPr="00EF0925">
        <w:rPr>
          <w:rFonts w:ascii="Calibri" w:hAnsi="Calibri" w:cs="Calibri"/>
          <w:color w:val="auto"/>
          <w:sz w:val="22"/>
          <w:szCs w:val="22"/>
        </w:rPr>
        <w:fldChar w:fldCharType="separate"/>
      </w:r>
      <w:r w:rsidR="00DD3DB6" w:rsidRPr="00AB139A">
        <w:rPr>
          <w:rFonts w:ascii="Calibri" w:hAnsi="Calibri" w:cs="Calibri"/>
          <w:color w:val="auto"/>
          <w:sz w:val="22"/>
          <w:szCs w:val="22"/>
        </w:rPr>
        <w:t>Table A1-8</w:t>
      </w:r>
      <w:r w:rsidRPr="00EF0925">
        <w:rPr>
          <w:rFonts w:ascii="Calibri" w:hAnsi="Calibri" w:cs="Calibri"/>
          <w:color w:val="auto"/>
          <w:sz w:val="22"/>
          <w:szCs w:val="22"/>
        </w:rPr>
        <w:fldChar w:fldCharType="end"/>
      </w:r>
      <w:r w:rsidRPr="00EF0925">
        <w:rPr>
          <w:rFonts w:ascii="Calibri" w:hAnsi="Calibri" w:cs="Calibri"/>
          <w:color w:val="auto"/>
          <w:sz w:val="22"/>
          <w:szCs w:val="22"/>
        </w:rPr>
        <w:t xml:space="preserve"> summarizes our modeling approach and assumptions under all scarcity and non-scarcity conditions depending on what type of marginal resource or administrative emergency procedure would be implemented to meet an incremental increase in demand.  These marginal resources are listed in the approximate order of increasing marginal costs and emergency event </w:t>
      </w:r>
      <w:r w:rsidR="00800AE5" w:rsidRPr="00EF0925">
        <w:rPr>
          <w:rFonts w:ascii="Calibri" w:hAnsi="Calibri" w:cs="Calibri"/>
          <w:color w:val="auto"/>
          <w:sz w:val="22"/>
          <w:szCs w:val="22"/>
        </w:rPr>
        <w:t>scarcity,</w:t>
      </w:r>
      <w:r w:rsidRPr="00EF0925">
        <w:rPr>
          <w:rFonts w:ascii="Calibri" w:hAnsi="Calibri" w:cs="Calibri"/>
          <w:color w:val="auto"/>
          <w:sz w:val="22"/>
          <w:szCs w:val="22"/>
        </w:rPr>
        <w:t xml:space="preserve"> although in some cases the deployment order overlaps.</w:t>
      </w:r>
    </w:p>
    <w:p w14:paraId="4415D9DC" w14:textId="140D2253" w:rsidR="004B58AD" w:rsidRPr="00EF0925" w:rsidRDefault="004B58AD" w:rsidP="004B58AD">
      <w:pPr>
        <w:pStyle w:val="BGNormal125"/>
        <w:rPr>
          <w:rFonts w:ascii="Calibri" w:hAnsi="Calibri" w:cs="Calibri"/>
          <w:color w:val="auto"/>
          <w:sz w:val="22"/>
          <w:szCs w:val="22"/>
        </w:rPr>
      </w:pPr>
      <w:r w:rsidRPr="00EF0925">
        <w:rPr>
          <w:rFonts w:ascii="Calibri" w:hAnsi="Calibri" w:cs="Calibri"/>
          <w:color w:val="auto"/>
          <w:sz w:val="22"/>
          <w:szCs w:val="22"/>
        </w:rPr>
        <w:t xml:space="preserve">We distinguish between market-based responses to high prices in scarcity conditions and out-of-market administrative interventions triggered by emergency conditions.  Among market-based responses, we include generation, imports, and price-responsive demand, including some very high-cost resources that will not economically deploy until prices are quite high.  We also model reserve scarcity that is administrative in </w:t>
      </w:r>
      <w:r w:rsidR="00EF0925" w:rsidRPr="00EF0925">
        <w:rPr>
          <w:rFonts w:ascii="Calibri" w:hAnsi="Calibri" w:cs="Calibri"/>
          <w:color w:val="auto"/>
          <w:sz w:val="22"/>
          <w:szCs w:val="22"/>
        </w:rPr>
        <w:t>nature but</w:t>
      </w:r>
      <w:r w:rsidRPr="00EF0925">
        <w:rPr>
          <w:rFonts w:ascii="Calibri" w:hAnsi="Calibri" w:cs="Calibri"/>
          <w:color w:val="auto"/>
          <w:sz w:val="22"/>
          <w:szCs w:val="22"/>
        </w:rPr>
        <w:t xml:space="preserve"> triggered on a price basis consistent with the ORDC and PBPC as explained in the following sections.  </w:t>
      </w:r>
    </w:p>
    <w:p w14:paraId="1553A8F0" w14:textId="77777777" w:rsidR="004B58AD" w:rsidRPr="00EF0925" w:rsidRDefault="004B58AD" w:rsidP="004B58AD">
      <w:pPr>
        <w:pStyle w:val="BGNormal125"/>
        <w:rPr>
          <w:rFonts w:ascii="Calibri" w:hAnsi="Calibri" w:cs="Calibri"/>
          <w:color w:val="auto"/>
          <w:sz w:val="22"/>
          <w:szCs w:val="22"/>
        </w:rPr>
      </w:pPr>
      <w:r w:rsidRPr="00EF0925">
        <w:rPr>
          <w:rFonts w:ascii="Calibri" w:hAnsi="Calibri" w:cs="Calibri"/>
          <w:color w:val="auto"/>
          <w:sz w:val="22"/>
          <w:szCs w:val="22"/>
        </w:rPr>
        <w:t>A final category of emergency interventions encompasses out-of-market actions including ERS, LR, TDSP load management, and firm load shed deployments that are triggered for non-price reasons during emergency conditions.  We implement each of these actions at a particular scarcity level as indicated by the quantity of reserves capability available according to the ORDC x-axis, a measure similar to the physical responsive capacity (PRC) indicator used by ERCOT to monitor system operations.  To estimate the approximate ORDC x-axis at which each action would be implemented, we reviewed ERCOT’s emergency operating procedures, evaluated the PRC level coinciding with each action during historical emergency events, and confirmed these assumptions with ERCOT staff.</w:t>
      </w:r>
      <w:r w:rsidRPr="00EF0925">
        <w:rPr>
          <w:rStyle w:val="FootnoteReference"/>
          <w:rFonts w:ascii="Calibri" w:hAnsi="Calibri" w:cs="Calibri"/>
          <w:color w:val="auto"/>
          <w:sz w:val="22"/>
          <w:szCs w:val="22"/>
        </w:rPr>
        <w:footnoteReference w:id="65"/>
      </w:r>
      <w:r w:rsidRPr="00EF0925">
        <w:rPr>
          <w:rFonts w:ascii="Calibri" w:hAnsi="Calibri" w:cs="Calibri"/>
          <w:color w:val="auto"/>
          <w:sz w:val="22"/>
          <w:szCs w:val="22"/>
        </w:rPr>
        <w:t xml:space="preserve">  These trigger levels are in line with historical emergency events, although actual emergency actions are manually implemented by the system operator based on a more complex evaluation of system conditions, including frequency and near-term load forecast. </w:t>
      </w:r>
    </w:p>
    <w:p w14:paraId="4584B4C3" w14:textId="1B4B3A03" w:rsidR="004B58AD" w:rsidRDefault="004B58AD" w:rsidP="008B0478">
      <w:pPr>
        <w:pStyle w:val="BGNormal125"/>
        <w:spacing w:after="240"/>
        <w:rPr>
          <w:rFonts w:ascii="Calibri" w:hAnsi="Calibri" w:cs="Calibri"/>
          <w:color w:val="C00000"/>
          <w:sz w:val="22"/>
          <w:szCs w:val="22"/>
        </w:rPr>
      </w:pPr>
      <w:r w:rsidRPr="00EF0925">
        <w:rPr>
          <w:rFonts w:ascii="Calibri" w:hAnsi="Calibri" w:cs="Calibri"/>
          <w:color w:val="auto"/>
          <w:sz w:val="22"/>
          <w:szCs w:val="22"/>
        </w:rPr>
        <w:t>We also describe in the table below the marginal system costs of each type of scarcity event as well as the prevailing market price during those events.  In a perfectly-designed energy market, prices would always be equal to the marginal cost that would theoretically lead to optimal response to scarcity events and an optimal level of investments in the market.  In ERCOT, prices are reflective of marginal costs in most cases but not all.  Specifically, the ORDC curve is designed based on an assumption that load would be shed at X = 2,000 MW, while our review of historical events indicates that load shedding is more likely to occur at a lower level of X = 1,000 MW.  This discrepancy results in prices above marginal costs during moderate scarcity events, as discussed further in Appendix 1.</w:t>
      </w:r>
      <w:r w:rsidRPr="00EF0925">
        <w:rPr>
          <w:rFonts w:ascii="Calibri" w:hAnsi="Calibri" w:cs="Calibri"/>
          <w:color w:val="auto"/>
          <w:sz w:val="22"/>
          <w:szCs w:val="22"/>
        </w:rPr>
        <w:fldChar w:fldCharType="begin"/>
      </w:r>
      <w:r w:rsidRPr="00EF0925">
        <w:rPr>
          <w:rFonts w:ascii="Calibri" w:hAnsi="Calibri" w:cs="Calibri"/>
          <w:color w:val="auto"/>
          <w:sz w:val="22"/>
          <w:szCs w:val="22"/>
        </w:rPr>
        <w:instrText xml:space="preserve"> REF _Ref526448337 \n \h </w:instrText>
      </w:r>
      <w:r w:rsidR="00E456C6" w:rsidRPr="00EF0925">
        <w:rPr>
          <w:rFonts w:ascii="Calibri" w:hAnsi="Calibri" w:cs="Calibri"/>
          <w:color w:val="auto"/>
          <w:sz w:val="22"/>
          <w:szCs w:val="22"/>
        </w:rPr>
        <w:instrText xml:space="preserve"> \* MERGEFORMAT </w:instrText>
      </w:r>
      <w:r w:rsidRPr="00EF0925">
        <w:rPr>
          <w:rFonts w:ascii="Calibri" w:hAnsi="Calibri" w:cs="Calibri"/>
          <w:color w:val="auto"/>
          <w:sz w:val="22"/>
          <w:szCs w:val="22"/>
        </w:rPr>
      </w:r>
      <w:r w:rsidRPr="00EF0925">
        <w:rPr>
          <w:rFonts w:ascii="Calibri" w:hAnsi="Calibri" w:cs="Calibri"/>
          <w:color w:val="auto"/>
          <w:sz w:val="22"/>
          <w:szCs w:val="22"/>
        </w:rPr>
        <w:fldChar w:fldCharType="separate"/>
      </w:r>
      <w:r w:rsidRPr="00EF0925">
        <w:rPr>
          <w:rFonts w:ascii="Calibri" w:hAnsi="Calibri" w:cs="Calibri"/>
          <w:color w:val="auto"/>
          <w:sz w:val="22"/>
          <w:szCs w:val="22"/>
        </w:rPr>
        <w:t>E</w:t>
      </w:r>
      <w:r w:rsidRPr="00EF0925">
        <w:rPr>
          <w:rFonts w:ascii="Calibri" w:hAnsi="Calibri" w:cs="Calibri"/>
          <w:color w:val="auto"/>
          <w:sz w:val="22"/>
          <w:szCs w:val="22"/>
        </w:rPr>
        <w:fldChar w:fldCharType="end"/>
      </w:r>
      <w:r w:rsidRPr="00EF0925">
        <w:rPr>
          <w:rFonts w:ascii="Calibri" w:hAnsi="Calibri" w:cs="Calibri"/>
          <w:color w:val="auto"/>
          <w:sz w:val="22"/>
          <w:szCs w:val="22"/>
        </w:rPr>
        <w:t>.</w:t>
      </w:r>
      <w:r w:rsidRPr="00EF0925">
        <w:rPr>
          <w:rFonts w:ascii="Calibri" w:hAnsi="Calibri" w:cs="Calibri"/>
          <w:color w:val="auto"/>
          <w:sz w:val="22"/>
          <w:szCs w:val="22"/>
        </w:rPr>
        <w:fldChar w:fldCharType="begin"/>
      </w:r>
      <w:r w:rsidRPr="00EF0925">
        <w:rPr>
          <w:rFonts w:ascii="Calibri" w:hAnsi="Calibri" w:cs="Calibri"/>
          <w:color w:val="auto"/>
          <w:sz w:val="22"/>
          <w:szCs w:val="22"/>
        </w:rPr>
        <w:instrText xml:space="preserve"> REF _Ref526448347 \n \h </w:instrText>
      </w:r>
      <w:r w:rsidR="00E456C6" w:rsidRPr="00EF0925">
        <w:rPr>
          <w:rFonts w:ascii="Calibri" w:hAnsi="Calibri" w:cs="Calibri"/>
          <w:color w:val="auto"/>
          <w:sz w:val="22"/>
          <w:szCs w:val="22"/>
        </w:rPr>
        <w:instrText xml:space="preserve"> \* MERGEFORMAT </w:instrText>
      </w:r>
      <w:r w:rsidRPr="00EF0925">
        <w:rPr>
          <w:rFonts w:ascii="Calibri" w:hAnsi="Calibri" w:cs="Calibri"/>
          <w:color w:val="auto"/>
          <w:sz w:val="22"/>
          <w:szCs w:val="22"/>
        </w:rPr>
      </w:r>
      <w:r w:rsidRPr="00EF0925">
        <w:rPr>
          <w:rFonts w:ascii="Calibri" w:hAnsi="Calibri" w:cs="Calibri"/>
          <w:color w:val="auto"/>
          <w:sz w:val="22"/>
          <w:szCs w:val="22"/>
        </w:rPr>
        <w:fldChar w:fldCharType="separate"/>
      </w:r>
      <w:r w:rsidR="009C7344">
        <w:rPr>
          <w:rFonts w:ascii="Calibri" w:hAnsi="Calibri" w:cs="Calibri"/>
          <w:color w:val="auto"/>
          <w:sz w:val="22"/>
          <w:szCs w:val="22"/>
        </w:rPr>
        <w:t>4</w:t>
      </w:r>
      <w:r w:rsidRPr="00EF0925">
        <w:rPr>
          <w:rFonts w:ascii="Calibri" w:hAnsi="Calibri" w:cs="Calibri"/>
          <w:color w:val="auto"/>
          <w:sz w:val="22"/>
          <w:szCs w:val="22"/>
        </w:rPr>
        <w:fldChar w:fldCharType="end"/>
      </w:r>
      <w:r w:rsidRPr="00EF0925">
        <w:rPr>
          <w:rFonts w:ascii="Calibri" w:hAnsi="Calibri" w:cs="Calibri"/>
          <w:color w:val="auto"/>
          <w:sz w:val="22"/>
          <w:szCs w:val="22"/>
        </w:rPr>
        <w:t xml:space="preserve"> be</w:t>
      </w:r>
      <w:r w:rsidRPr="000F0C8B">
        <w:rPr>
          <w:rFonts w:ascii="Calibri" w:hAnsi="Calibri" w:cs="Calibri"/>
          <w:color w:val="auto"/>
          <w:sz w:val="22"/>
          <w:szCs w:val="22"/>
        </w:rPr>
        <w:t>low.</w:t>
      </w:r>
    </w:p>
    <w:p w14:paraId="5C7A2DCF" w14:textId="4E51F731" w:rsidR="000F0C8B" w:rsidRDefault="000F0C8B" w:rsidP="000F0C8B"/>
    <w:p w14:paraId="3984E260" w14:textId="77777777" w:rsidR="000F0C8B" w:rsidRDefault="000F0C8B" w:rsidP="000F0C8B"/>
    <w:p w14:paraId="2CA3E23B" w14:textId="77777777" w:rsidR="000F0C8B" w:rsidRDefault="000F0C8B" w:rsidP="008B0478">
      <w:pPr>
        <w:pStyle w:val="BGNormal125"/>
        <w:spacing w:after="240"/>
        <w:rPr>
          <w:rFonts w:ascii="Calibri" w:hAnsi="Calibri" w:cs="Calibri"/>
          <w:color w:val="C00000"/>
          <w:sz w:val="22"/>
          <w:szCs w:val="22"/>
        </w:rPr>
      </w:pPr>
    </w:p>
    <w:p w14:paraId="29F22C96" w14:textId="77777777" w:rsidR="00C6585D" w:rsidRDefault="00C6585D" w:rsidP="008B0478">
      <w:pPr>
        <w:pStyle w:val="BGNormal125"/>
        <w:spacing w:after="240"/>
        <w:rPr>
          <w:rFonts w:ascii="Calibri" w:hAnsi="Calibri" w:cs="Calibri"/>
          <w:color w:val="C00000"/>
          <w:sz w:val="22"/>
          <w:szCs w:val="22"/>
        </w:rPr>
      </w:pPr>
    </w:p>
    <w:p w14:paraId="43273D21" w14:textId="77777777" w:rsidR="00C6585D" w:rsidRDefault="00C6585D" w:rsidP="00EF0925">
      <w:pPr>
        <w:pStyle w:val="Caption"/>
        <w:jc w:val="center"/>
        <w:rPr>
          <w:rFonts w:cs="Calibri"/>
          <w:b/>
          <w:bCs/>
          <w:i w:val="0"/>
          <w:iCs w:val="0"/>
          <w:color w:val="auto"/>
          <w:sz w:val="22"/>
          <w:szCs w:val="22"/>
        </w:rPr>
      </w:pPr>
      <w:bookmarkStart w:id="618" w:name="_Ref377383222"/>
    </w:p>
    <w:p w14:paraId="0F1771D0" w14:textId="27D4B423" w:rsidR="004B58AD" w:rsidRPr="00EB6293" w:rsidRDefault="004B58AD" w:rsidP="00EF0925">
      <w:pPr>
        <w:pStyle w:val="Caption"/>
        <w:jc w:val="center"/>
        <w:rPr>
          <w:rFonts w:cs="Calibri"/>
          <w:b/>
          <w:bCs/>
          <w:i w:val="0"/>
          <w:iCs w:val="0"/>
          <w:color w:val="auto"/>
          <w:sz w:val="22"/>
          <w:szCs w:val="22"/>
        </w:rPr>
      </w:pPr>
      <w:r w:rsidRPr="00EB6293">
        <w:rPr>
          <w:rFonts w:cs="Calibri"/>
          <w:b/>
          <w:bCs/>
          <w:i w:val="0"/>
          <w:iCs w:val="0"/>
          <w:color w:val="auto"/>
          <w:sz w:val="22"/>
          <w:szCs w:val="22"/>
        </w:rPr>
        <w:t>Table A1-</w:t>
      </w:r>
      <w:r w:rsidRPr="00EB6293">
        <w:rPr>
          <w:rFonts w:cs="Calibri"/>
          <w:b/>
          <w:bCs/>
          <w:i w:val="0"/>
          <w:iCs w:val="0"/>
          <w:noProof/>
          <w:color w:val="auto"/>
          <w:sz w:val="22"/>
          <w:szCs w:val="22"/>
        </w:rPr>
        <w:fldChar w:fldCharType="begin"/>
      </w:r>
      <w:r w:rsidRPr="00EB6293">
        <w:rPr>
          <w:rFonts w:cs="Calibri"/>
          <w:b/>
          <w:bCs/>
          <w:i w:val="0"/>
          <w:iCs w:val="0"/>
          <w:noProof/>
          <w:color w:val="auto"/>
          <w:sz w:val="22"/>
          <w:szCs w:val="22"/>
        </w:rPr>
        <w:instrText xml:space="preserve"> SEQ Table_A1- \* ARABIC </w:instrText>
      </w:r>
      <w:r w:rsidRPr="00EB6293">
        <w:rPr>
          <w:rFonts w:cs="Calibri"/>
          <w:b/>
          <w:bCs/>
          <w:i w:val="0"/>
          <w:iCs w:val="0"/>
          <w:noProof/>
          <w:color w:val="auto"/>
          <w:sz w:val="22"/>
          <w:szCs w:val="22"/>
        </w:rPr>
        <w:fldChar w:fldCharType="separate"/>
      </w:r>
      <w:r w:rsidR="00DD3DB6">
        <w:rPr>
          <w:rFonts w:cs="Calibri"/>
          <w:b/>
          <w:bCs/>
          <w:i w:val="0"/>
          <w:iCs w:val="0"/>
          <w:noProof/>
          <w:color w:val="auto"/>
          <w:sz w:val="22"/>
          <w:szCs w:val="22"/>
        </w:rPr>
        <w:t>8</w:t>
      </w:r>
      <w:r w:rsidRPr="00EB6293">
        <w:rPr>
          <w:rFonts w:cs="Calibri"/>
          <w:b/>
          <w:bCs/>
          <w:i w:val="0"/>
          <w:iCs w:val="0"/>
          <w:noProof/>
          <w:color w:val="auto"/>
          <w:sz w:val="22"/>
          <w:szCs w:val="22"/>
        </w:rPr>
        <w:fldChar w:fldCharType="end"/>
      </w:r>
      <w:bookmarkEnd w:id="618"/>
      <w:r w:rsidR="00EF0925" w:rsidRPr="00EB6293">
        <w:rPr>
          <w:rFonts w:cs="Calibri"/>
          <w:b/>
          <w:bCs/>
          <w:i w:val="0"/>
          <w:iCs w:val="0"/>
          <w:noProof/>
          <w:color w:val="auto"/>
          <w:sz w:val="22"/>
          <w:szCs w:val="22"/>
        </w:rPr>
        <w:t xml:space="preserve">. </w:t>
      </w:r>
      <w:r w:rsidRPr="00EB6293">
        <w:rPr>
          <w:rFonts w:cs="Calibri"/>
          <w:b/>
          <w:bCs/>
          <w:i w:val="0"/>
          <w:iCs w:val="0"/>
          <w:color w:val="auto"/>
          <w:sz w:val="22"/>
          <w:szCs w:val="22"/>
        </w:rPr>
        <w:t>Emergency Procedures and Marginal Costs</w:t>
      </w:r>
    </w:p>
    <w:tbl>
      <w:tblPr>
        <w:tblW w:w="5000" w:type="pct"/>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112"/>
        <w:gridCol w:w="1590"/>
        <w:gridCol w:w="1170"/>
        <w:gridCol w:w="1798"/>
        <w:gridCol w:w="2564"/>
        <w:gridCol w:w="1172"/>
      </w:tblGrid>
      <w:tr w:rsidR="006D161E" w:rsidRPr="006D161E" w14:paraId="1771CC7D" w14:textId="77777777" w:rsidTr="006D161E">
        <w:trPr>
          <w:trHeight w:val="20"/>
          <w:jc w:val="center"/>
        </w:trPr>
        <w:tc>
          <w:tcPr>
            <w:tcW w:w="591"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E16CDE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Emergency Level</w:t>
            </w:r>
          </w:p>
        </w:tc>
        <w:tc>
          <w:tcPr>
            <w:tcW w:w="845"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BE55ECD"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Marginal</w:t>
            </w:r>
          </w:p>
          <w:p w14:paraId="79729012"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Resource</w:t>
            </w:r>
          </w:p>
        </w:tc>
        <w:tc>
          <w:tcPr>
            <w:tcW w:w="622"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B0E0C2F"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Amount of Resource (MW)</w:t>
            </w:r>
          </w:p>
        </w:tc>
        <w:tc>
          <w:tcPr>
            <w:tcW w:w="956"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4F6347A"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Trigger</w:t>
            </w:r>
          </w:p>
        </w:tc>
        <w:tc>
          <w:tcPr>
            <w:tcW w:w="1363"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447F827"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Price</w:t>
            </w:r>
          </w:p>
        </w:tc>
        <w:tc>
          <w:tcPr>
            <w:tcW w:w="623"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8079CC1"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Marginal</w:t>
            </w:r>
          </w:p>
          <w:p w14:paraId="47154E8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b/>
                <w:bCs/>
                <w:sz w:val="18"/>
                <w:szCs w:val="18"/>
              </w:rPr>
              <w:t>System Cost</w:t>
            </w:r>
          </w:p>
        </w:tc>
      </w:tr>
      <w:tr w:rsidR="006D161E" w:rsidRPr="006D161E" w14:paraId="60DCB881" w14:textId="77777777" w:rsidTr="006D161E">
        <w:trPr>
          <w:trHeight w:val="20"/>
          <w:jc w:val="center"/>
        </w:trPr>
        <w:tc>
          <w:tcPr>
            <w:tcW w:w="591" w:type="pct"/>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03BE832C"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n/a</w:t>
            </w:r>
          </w:p>
        </w:tc>
        <w:tc>
          <w:tcPr>
            <w:tcW w:w="845" w:type="pct"/>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3EBAE575"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Generation</w:t>
            </w:r>
          </w:p>
        </w:tc>
        <w:tc>
          <w:tcPr>
            <w:tcW w:w="622" w:type="pct"/>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2301955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Variable</w:t>
            </w:r>
          </w:p>
        </w:tc>
        <w:tc>
          <w:tcPr>
            <w:tcW w:w="956" w:type="pct"/>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0ECC0527"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Price</w:t>
            </w:r>
          </w:p>
        </w:tc>
        <w:tc>
          <w:tcPr>
            <w:tcW w:w="1363" w:type="pct"/>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43EE6004"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Approximately $20 - $250</w:t>
            </w:r>
          </w:p>
        </w:tc>
        <w:tc>
          <w:tcPr>
            <w:tcW w:w="623" w:type="pct"/>
            <w:tcBorders>
              <w:top w:val="single" w:sz="4" w:space="0" w:color="auto"/>
            </w:tcBorders>
            <w:shd w:val="clear" w:color="auto" w:fill="D9D9D9" w:themeFill="background1" w:themeFillShade="D9"/>
            <w:tcMar>
              <w:top w:w="72" w:type="dxa"/>
              <w:left w:w="144" w:type="dxa"/>
              <w:bottom w:w="72" w:type="dxa"/>
              <w:right w:w="144" w:type="dxa"/>
            </w:tcMar>
            <w:vAlign w:val="center"/>
            <w:hideMark/>
          </w:tcPr>
          <w:p w14:paraId="2AE651CC"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Same</w:t>
            </w:r>
          </w:p>
        </w:tc>
      </w:tr>
      <w:tr w:rsidR="006D161E" w:rsidRPr="006D161E" w14:paraId="54568ECA" w14:textId="77777777" w:rsidTr="006D161E">
        <w:trPr>
          <w:trHeight w:val="20"/>
          <w:jc w:val="center"/>
        </w:trPr>
        <w:tc>
          <w:tcPr>
            <w:tcW w:w="591" w:type="pct"/>
            <w:shd w:val="clear" w:color="auto" w:fill="auto"/>
            <w:tcMar>
              <w:top w:w="72" w:type="dxa"/>
              <w:left w:w="144" w:type="dxa"/>
              <w:bottom w:w="72" w:type="dxa"/>
              <w:right w:w="144" w:type="dxa"/>
            </w:tcMar>
            <w:vAlign w:val="center"/>
            <w:hideMark/>
          </w:tcPr>
          <w:p w14:paraId="0E9F0BF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n/a</w:t>
            </w:r>
          </w:p>
        </w:tc>
        <w:tc>
          <w:tcPr>
            <w:tcW w:w="845" w:type="pct"/>
            <w:shd w:val="clear" w:color="auto" w:fill="auto"/>
            <w:tcMar>
              <w:top w:w="72" w:type="dxa"/>
              <w:left w:w="144" w:type="dxa"/>
              <w:bottom w:w="72" w:type="dxa"/>
              <w:right w:w="144" w:type="dxa"/>
            </w:tcMar>
            <w:vAlign w:val="center"/>
            <w:hideMark/>
          </w:tcPr>
          <w:p w14:paraId="069A300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Imports</w:t>
            </w:r>
          </w:p>
        </w:tc>
        <w:tc>
          <w:tcPr>
            <w:tcW w:w="622" w:type="pct"/>
            <w:shd w:val="clear" w:color="auto" w:fill="auto"/>
            <w:tcMar>
              <w:top w:w="72" w:type="dxa"/>
              <w:left w:w="144" w:type="dxa"/>
              <w:bottom w:w="72" w:type="dxa"/>
              <w:right w:w="144" w:type="dxa"/>
            </w:tcMar>
            <w:vAlign w:val="center"/>
            <w:hideMark/>
          </w:tcPr>
          <w:p w14:paraId="6430A88C"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Variable</w:t>
            </w:r>
          </w:p>
        </w:tc>
        <w:tc>
          <w:tcPr>
            <w:tcW w:w="956" w:type="pct"/>
            <w:shd w:val="clear" w:color="auto" w:fill="auto"/>
            <w:tcMar>
              <w:top w:w="72" w:type="dxa"/>
              <w:left w:w="144" w:type="dxa"/>
              <w:bottom w:w="72" w:type="dxa"/>
              <w:right w:w="144" w:type="dxa"/>
            </w:tcMar>
            <w:vAlign w:val="center"/>
            <w:hideMark/>
          </w:tcPr>
          <w:p w14:paraId="39BEEB4F"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Price</w:t>
            </w:r>
          </w:p>
        </w:tc>
        <w:tc>
          <w:tcPr>
            <w:tcW w:w="1363" w:type="pct"/>
            <w:shd w:val="clear" w:color="auto" w:fill="auto"/>
            <w:tcMar>
              <w:top w:w="72" w:type="dxa"/>
              <w:left w:w="144" w:type="dxa"/>
              <w:bottom w:w="72" w:type="dxa"/>
              <w:right w:w="144" w:type="dxa"/>
            </w:tcMar>
            <w:vAlign w:val="center"/>
            <w:hideMark/>
          </w:tcPr>
          <w:p w14:paraId="6C56177A"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Approximately $20-$250</w:t>
            </w:r>
          </w:p>
          <w:p w14:paraId="3DCFA519"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Up to $1,000 during load shed</w:t>
            </w:r>
          </w:p>
        </w:tc>
        <w:tc>
          <w:tcPr>
            <w:tcW w:w="623" w:type="pct"/>
            <w:shd w:val="clear" w:color="auto" w:fill="auto"/>
            <w:tcMar>
              <w:top w:w="72" w:type="dxa"/>
              <w:left w:w="144" w:type="dxa"/>
              <w:bottom w:w="72" w:type="dxa"/>
              <w:right w:w="144" w:type="dxa"/>
            </w:tcMar>
            <w:vAlign w:val="center"/>
            <w:hideMark/>
          </w:tcPr>
          <w:p w14:paraId="61FD7AA2"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Same</w:t>
            </w:r>
          </w:p>
        </w:tc>
      </w:tr>
      <w:tr w:rsidR="006D161E" w:rsidRPr="006D161E" w14:paraId="1B2ED34B" w14:textId="77777777" w:rsidTr="006D161E">
        <w:trPr>
          <w:trHeight w:val="20"/>
          <w:jc w:val="center"/>
        </w:trPr>
        <w:tc>
          <w:tcPr>
            <w:tcW w:w="591" w:type="pct"/>
            <w:shd w:val="clear" w:color="auto" w:fill="D9D9D9" w:themeFill="background1" w:themeFillShade="D9"/>
            <w:tcMar>
              <w:top w:w="72" w:type="dxa"/>
              <w:left w:w="144" w:type="dxa"/>
              <w:bottom w:w="72" w:type="dxa"/>
              <w:right w:w="144" w:type="dxa"/>
            </w:tcMar>
            <w:vAlign w:val="center"/>
            <w:hideMark/>
          </w:tcPr>
          <w:p w14:paraId="17B0B17A"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n/a</w:t>
            </w:r>
          </w:p>
        </w:tc>
        <w:tc>
          <w:tcPr>
            <w:tcW w:w="845" w:type="pct"/>
            <w:shd w:val="clear" w:color="auto" w:fill="D9D9D9" w:themeFill="background1" w:themeFillShade="D9"/>
            <w:tcMar>
              <w:top w:w="72" w:type="dxa"/>
              <w:left w:w="144" w:type="dxa"/>
              <w:bottom w:w="72" w:type="dxa"/>
              <w:right w:w="144" w:type="dxa"/>
            </w:tcMar>
            <w:vAlign w:val="center"/>
            <w:hideMark/>
          </w:tcPr>
          <w:p w14:paraId="709563D8"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Non-Spin Shortage</w:t>
            </w:r>
          </w:p>
        </w:tc>
        <w:tc>
          <w:tcPr>
            <w:tcW w:w="622" w:type="pct"/>
            <w:shd w:val="clear" w:color="auto" w:fill="D9D9D9" w:themeFill="background1" w:themeFillShade="D9"/>
            <w:tcMar>
              <w:top w:w="72" w:type="dxa"/>
              <w:left w:w="144" w:type="dxa"/>
              <w:bottom w:w="72" w:type="dxa"/>
              <w:right w:w="144" w:type="dxa"/>
            </w:tcMar>
            <w:vAlign w:val="center"/>
            <w:hideMark/>
          </w:tcPr>
          <w:p w14:paraId="2E243D19"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700</w:t>
            </w:r>
          </w:p>
        </w:tc>
        <w:tc>
          <w:tcPr>
            <w:tcW w:w="956" w:type="pct"/>
            <w:shd w:val="clear" w:color="auto" w:fill="D9D9D9" w:themeFill="background1" w:themeFillShade="D9"/>
            <w:tcMar>
              <w:top w:w="72" w:type="dxa"/>
              <w:left w:w="144" w:type="dxa"/>
              <w:bottom w:w="72" w:type="dxa"/>
              <w:right w:w="144" w:type="dxa"/>
            </w:tcMar>
            <w:vAlign w:val="center"/>
            <w:hideMark/>
          </w:tcPr>
          <w:p w14:paraId="7EE60DC2"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ORDC x-axis = </w:t>
            </w:r>
          </w:p>
          <w:p w14:paraId="3F48A3A7" w14:textId="6E2AE6D3"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3,000 MW</w:t>
            </w:r>
          </w:p>
        </w:tc>
        <w:tc>
          <w:tcPr>
            <w:tcW w:w="1363" w:type="pct"/>
            <w:shd w:val="clear" w:color="auto" w:fill="D9D9D9" w:themeFill="background1" w:themeFillShade="D9"/>
            <w:tcMar>
              <w:top w:w="72" w:type="dxa"/>
              <w:left w:w="144" w:type="dxa"/>
              <w:bottom w:w="72" w:type="dxa"/>
              <w:right w:w="144" w:type="dxa"/>
            </w:tcMar>
            <w:vAlign w:val="center"/>
            <w:hideMark/>
          </w:tcPr>
          <w:p w14:paraId="60BB00A7"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$4,627 (from ORDC)*</w:t>
            </w:r>
          </w:p>
        </w:tc>
        <w:tc>
          <w:tcPr>
            <w:tcW w:w="623" w:type="pct"/>
            <w:shd w:val="clear" w:color="auto" w:fill="D9D9D9" w:themeFill="background1" w:themeFillShade="D9"/>
            <w:tcMar>
              <w:top w:w="72" w:type="dxa"/>
              <w:left w:w="144" w:type="dxa"/>
              <w:bottom w:w="72" w:type="dxa"/>
              <w:right w:w="144" w:type="dxa"/>
            </w:tcMar>
            <w:vAlign w:val="center"/>
            <w:hideMark/>
          </w:tcPr>
          <w:p w14:paraId="0114EF59"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$1,025*</w:t>
            </w:r>
          </w:p>
        </w:tc>
      </w:tr>
      <w:tr w:rsidR="006D161E" w:rsidRPr="006D161E" w14:paraId="4949CBD9" w14:textId="77777777" w:rsidTr="006D161E">
        <w:trPr>
          <w:trHeight w:val="20"/>
          <w:jc w:val="center"/>
        </w:trPr>
        <w:tc>
          <w:tcPr>
            <w:tcW w:w="591" w:type="pct"/>
            <w:shd w:val="clear" w:color="auto" w:fill="auto"/>
            <w:tcMar>
              <w:top w:w="72" w:type="dxa"/>
              <w:left w:w="144" w:type="dxa"/>
              <w:bottom w:w="72" w:type="dxa"/>
              <w:right w:w="144" w:type="dxa"/>
            </w:tcMar>
            <w:vAlign w:val="center"/>
            <w:hideMark/>
          </w:tcPr>
          <w:p w14:paraId="6E6CB34B"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n/a</w:t>
            </w:r>
          </w:p>
        </w:tc>
        <w:tc>
          <w:tcPr>
            <w:tcW w:w="845" w:type="pct"/>
            <w:shd w:val="clear" w:color="auto" w:fill="auto"/>
            <w:tcMar>
              <w:top w:w="72" w:type="dxa"/>
              <w:left w:w="144" w:type="dxa"/>
              <w:bottom w:w="72" w:type="dxa"/>
              <w:right w:w="144" w:type="dxa"/>
            </w:tcMar>
            <w:vAlign w:val="center"/>
            <w:hideMark/>
          </w:tcPr>
          <w:p w14:paraId="5B2741CA"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Price-Responsive Demand</w:t>
            </w:r>
          </w:p>
        </w:tc>
        <w:tc>
          <w:tcPr>
            <w:tcW w:w="622" w:type="pct"/>
            <w:shd w:val="clear" w:color="auto" w:fill="auto"/>
            <w:tcMar>
              <w:top w:w="72" w:type="dxa"/>
              <w:left w:w="144" w:type="dxa"/>
              <w:bottom w:w="72" w:type="dxa"/>
              <w:right w:w="144" w:type="dxa"/>
            </w:tcMar>
            <w:vAlign w:val="center"/>
            <w:hideMark/>
          </w:tcPr>
          <w:p w14:paraId="0C13B615"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Variable</w:t>
            </w:r>
          </w:p>
        </w:tc>
        <w:tc>
          <w:tcPr>
            <w:tcW w:w="956" w:type="pct"/>
            <w:shd w:val="clear" w:color="auto" w:fill="auto"/>
            <w:tcMar>
              <w:top w:w="72" w:type="dxa"/>
              <w:left w:w="144" w:type="dxa"/>
              <w:bottom w:w="72" w:type="dxa"/>
              <w:right w:w="144" w:type="dxa"/>
            </w:tcMar>
            <w:vAlign w:val="center"/>
            <w:hideMark/>
          </w:tcPr>
          <w:p w14:paraId="6B3CF2FB"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Price</w:t>
            </w:r>
          </w:p>
        </w:tc>
        <w:tc>
          <w:tcPr>
            <w:tcW w:w="1363" w:type="pct"/>
            <w:shd w:val="clear" w:color="auto" w:fill="auto"/>
            <w:tcMar>
              <w:top w:w="72" w:type="dxa"/>
              <w:left w:w="144" w:type="dxa"/>
              <w:bottom w:w="72" w:type="dxa"/>
              <w:right w:w="144" w:type="dxa"/>
            </w:tcMar>
            <w:vAlign w:val="center"/>
            <w:hideMark/>
          </w:tcPr>
          <w:p w14:paraId="1C427F99"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$500 - $9,000</w:t>
            </w:r>
          </w:p>
        </w:tc>
        <w:tc>
          <w:tcPr>
            <w:tcW w:w="623" w:type="pct"/>
            <w:shd w:val="clear" w:color="auto" w:fill="auto"/>
            <w:tcMar>
              <w:top w:w="72" w:type="dxa"/>
              <w:left w:w="144" w:type="dxa"/>
              <w:bottom w:w="72" w:type="dxa"/>
              <w:right w:w="144" w:type="dxa"/>
            </w:tcMar>
            <w:vAlign w:val="center"/>
            <w:hideMark/>
          </w:tcPr>
          <w:p w14:paraId="3E25C029"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Same</w:t>
            </w:r>
          </w:p>
        </w:tc>
      </w:tr>
      <w:tr w:rsidR="006D161E" w:rsidRPr="006D161E" w14:paraId="6892EC3D" w14:textId="77777777" w:rsidTr="006D161E">
        <w:trPr>
          <w:trHeight w:val="20"/>
          <w:jc w:val="center"/>
        </w:trPr>
        <w:tc>
          <w:tcPr>
            <w:tcW w:w="591" w:type="pct"/>
            <w:shd w:val="clear" w:color="auto" w:fill="D9D9D9" w:themeFill="background1" w:themeFillShade="D9"/>
            <w:tcMar>
              <w:top w:w="72" w:type="dxa"/>
              <w:left w:w="144" w:type="dxa"/>
              <w:bottom w:w="72" w:type="dxa"/>
              <w:right w:w="144" w:type="dxa"/>
            </w:tcMar>
            <w:vAlign w:val="center"/>
            <w:hideMark/>
          </w:tcPr>
          <w:p w14:paraId="2F1E0D57"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n/a</w:t>
            </w:r>
          </w:p>
        </w:tc>
        <w:tc>
          <w:tcPr>
            <w:tcW w:w="845" w:type="pct"/>
            <w:shd w:val="clear" w:color="auto" w:fill="D9D9D9" w:themeFill="background1" w:themeFillShade="D9"/>
            <w:tcMar>
              <w:top w:w="72" w:type="dxa"/>
              <w:left w:w="144" w:type="dxa"/>
              <w:bottom w:w="72" w:type="dxa"/>
              <w:right w:w="144" w:type="dxa"/>
            </w:tcMar>
            <w:vAlign w:val="center"/>
            <w:hideMark/>
          </w:tcPr>
          <w:p w14:paraId="2EF27D5A"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Emergency Generation</w:t>
            </w:r>
          </w:p>
        </w:tc>
        <w:tc>
          <w:tcPr>
            <w:tcW w:w="622" w:type="pct"/>
            <w:shd w:val="clear" w:color="auto" w:fill="D9D9D9" w:themeFill="background1" w:themeFillShade="D9"/>
            <w:tcMar>
              <w:top w:w="72" w:type="dxa"/>
              <w:left w:w="144" w:type="dxa"/>
              <w:bottom w:w="72" w:type="dxa"/>
              <w:right w:w="144" w:type="dxa"/>
            </w:tcMar>
            <w:vAlign w:val="center"/>
            <w:hideMark/>
          </w:tcPr>
          <w:p w14:paraId="27BFA8C2"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469.8</w:t>
            </w:r>
          </w:p>
        </w:tc>
        <w:tc>
          <w:tcPr>
            <w:tcW w:w="956" w:type="pct"/>
            <w:shd w:val="clear" w:color="auto" w:fill="D9D9D9" w:themeFill="background1" w:themeFillShade="D9"/>
            <w:tcMar>
              <w:top w:w="72" w:type="dxa"/>
              <w:left w:w="144" w:type="dxa"/>
              <w:bottom w:w="72" w:type="dxa"/>
              <w:right w:w="144" w:type="dxa"/>
            </w:tcMar>
            <w:vAlign w:val="center"/>
            <w:hideMark/>
          </w:tcPr>
          <w:p w14:paraId="6633D979"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ORDC x-axis = </w:t>
            </w:r>
          </w:p>
          <w:p w14:paraId="7EB9E3C1" w14:textId="2569C83F"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2,300 MW</w:t>
            </w:r>
          </w:p>
        </w:tc>
        <w:tc>
          <w:tcPr>
            <w:tcW w:w="1363" w:type="pct"/>
            <w:shd w:val="clear" w:color="auto" w:fill="D9D9D9" w:themeFill="background1" w:themeFillShade="D9"/>
            <w:tcMar>
              <w:top w:w="72" w:type="dxa"/>
              <w:left w:w="144" w:type="dxa"/>
              <w:bottom w:w="72" w:type="dxa"/>
              <w:right w:w="144" w:type="dxa"/>
            </w:tcMar>
            <w:vAlign w:val="center"/>
            <w:hideMark/>
          </w:tcPr>
          <w:p w14:paraId="3C6355A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$5,850 (from ORDC)</w:t>
            </w:r>
          </w:p>
        </w:tc>
        <w:tc>
          <w:tcPr>
            <w:tcW w:w="623" w:type="pct"/>
            <w:shd w:val="clear" w:color="auto" w:fill="D9D9D9" w:themeFill="background1" w:themeFillShade="D9"/>
            <w:tcMar>
              <w:top w:w="72" w:type="dxa"/>
              <w:left w:w="144" w:type="dxa"/>
              <w:bottom w:w="72" w:type="dxa"/>
              <w:right w:w="144" w:type="dxa"/>
            </w:tcMar>
            <w:vAlign w:val="center"/>
            <w:hideMark/>
          </w:tcPr>
          <w:p w14:paraId="49DAC3B6"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$1,372</w:t>
            </w:r>
          </w:p>
        </w:tc>
      </w:tr>
      <w:tr w:rsidR="006D161E" w:rsidRPr="006D161E" w14:paraId="11F27281" w14:textId="77777777" w:rsidTr="006D161E">
        <w:trPr>
          <w:trHeight w:val="20"/>
          <w:jc w:val="center"/>
        </w:trPr>
        <w:tc>
          <w:tcPr>
            <w:tcW w:w="591" w:type="pct"/>
            <w:shd w:val="clear" w:color="auto" w:fill="auto"/>
            <w:tcMar>
              <w:top w:w="72" w:type="dxa"/>
              <w:left w:w="144" w:type="dxa"/>
              <w:bottom w:w="72" w:type="dxa"/>
              <w:right w:w="144" w:type="dxa"/>
            </w:tcMar>
            <w:vAlign w:val="center"/>
            <w:hideMark/>
          </w:tcPr>
          <w:p w14:paraId="677DD92B"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n/a</w:t>
            </w:r>
          </w:p>
        </w:tc>
        <w:tc>
          <w:tcPr>
            <w:tcW w:w="845" w:type="pct"/>
            <w:shd w:val="clear" w:color="auto" w:fill="auto"/>
            <w:tcMar>
              <w:top w:w="72" w:type="dxa"/>
              <w:left w:w="144" w:type="dxa"/>
              <w:bottom w:w="72" w:type="dxa"/>
              <w:right w:w="144" w:type="dxa"/>
            </w:tcMar>
            <w:vAlign w:val="center"/>
            <w:hideMark/>
          </w:tcPr>
          <w:p w14:paraId="62012DDF"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PBPC</w:t>
            </w:r>
          </w:p>
        </w:tc>
        <w:tc>
          <w:tcPr>
            <w:tcW w:w="622" w:type="pct"/>
            <w:shd w:val="clear" w:color="auto" w:fill="auto"/>
            <w:tcMar>
              <w:top w:w="72" w:type="dxa"/>
              <w:left w:w="144" w:type="dxa"/>
              <w:bottom w:w="72" w:type="dxa"/>
              <w:right w:w="144" w:type="dxa"/>
            </w:tcMar>
            <w:vAlign w:val="center"/>
            <w:hideMark/>
          </w:tcPr>
          <w:p w14:paraId="6249A96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200</w:t>
            </w:r>
          </w:p>
        </w:tc>
        <w:tc>
          <w:tcPr>
            <w:tcW w:w="956" w:type="pct"/>
            <w:shd w:val="clear" w:color="auto" w:fill="auto"/>
            <w:tcMar>
              <w:top w:w="72" w:type="dxa"/>
              <w:left w:w="144" w:type="dxa"/>
              <w:bottom w:w="72" w:type="dxa"/>
              <w:right w:w="144" w:type="dxa"/>
            </w:tcMar>
            <w:vAlign w:val="center"/>
            <w:hideMark/>
          </w:tcPr>
          <w:p w14:paraId="3EF431F4"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Price</w:t>
            </w:r>
          </w:p>
        </w:tc>
        <w:tc>
          <w:tcPr>
            <w:tcW w:w="1363" w:type="pct"/>
            <w:shd w:val="clear" w:color="auto" w:fill="auto"/>
            <w:tcMar>
              <w:top w:w="72" w:type="dxa"/>
              <w:left w:w="144" w:type="dxa"/>
              <w:bottom w:w="72" w:type="dxa"/>
              <w:right w:w="144" w:type="dxa"/>
            </w:tcMar>
            <w:vAlign w:val="center"/>
            <w:hideMark/>
          </w:tcPr>
          <w:p w14:paraId="392D223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$1,000 - $9,000</w:t>
            </w:r>
          </w:p>
        </w:tc>
        <w:tc>
          <w:tcPr>
            <w:tcW w:w="623" w:type="pct"/>
            <w:shd w:val="clear" w:color="auto" w:fill="auto"/>
            <w:tcMar>
              <w:top w:w="72" w:type="dxa"/>
              <w:left w:w="144" w:type="dxa"/>
              <w:bottom w:w="72" w:type="dxa"/>
              <w:right w:w="144" w:type="dxa"/>
            </w:tcMar>
            <w:vAlign w:val="center"/>
            <w:hideMark/>
          </w:tcPr>
          <w:p w14:paraId="1385E016"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Same</w:t>
            </w:r>
          </w:p>
        </w:tc>
      </w:tr>
      <w:tr w:rsidR="006D161E" w:rsidRPr="006D161E" w14:paraId="0BD59CB9" w14:textId="77777777" w:rsidTr="006D161E">
        <w:trPr>
          <w:trHeight w:val="20"/>
          <w:jc w:val="center"/>
        </w:trPr>
        <w:tc>
          <w:tcPr>
            <w:tcW w:w="591" w:type="pct"/>
            <w:shd w:val="clear" w:color="auto" w:fill="D9D9D9" w:themeFill="background1" w:themeFillShade="D9"/>
            <w:tcMar>
              <w:top w:w="72" w:type="dxa"/>
              <w:left w:w="144" w:type="dxa"/>
              <w:bottom w:w="72" w:type="dxa"/>
              <w:right w:w="144" w:type="dxa"/>
            </w:tcMar>
            <w:vAlign w:val="center"/>
            <w:hideMark/>
          </w:tcPr>
          <w:p w14:paraId="1D1F6F6B"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EEA 1</w:t>
            </w:r>
          </w:p>
        </w:tc>
        <w:tc>
          <w:tcPr>
            <w:tcW w:w="845" w:type="pct"/>
            <w:shd w:val="clear" w:color="auto" w:fill="D9D9D9" w:themeFill="background1" w:themeFillShade="D9"/>
            <w:tcMar>
              <w:top w:w="72" w:type="dxa"/>
              <w:left w:w="144" w:type="dxa"/>
              <w:bottom w:w="72" w:type="dxa"/>
              <w:right w:w="144" w:type="dxa"/>
            </w:tcMar>
            <w:vAlign w:val="center"/>
            <w:hideMark/>
          </w:tcPr>
          <w:p w14:paraId="5A022A52"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30-Minute ERS</w:t>
            </w:r>
          </w:p>
        </w:tc>
        <w:tc>
          <w:tcPr>
            <w:tcW w:w="622" w:type="pct"/>
            <w:shd w:val="clear" w:color="auto" w:fill="D9D9D9" w:themeFill="background1" w:themeFillShade="D9"/>
            <w:tcMar>
              <w:top w:w="72" w:type="dxa"/>
              <w:left w:w="144" w:type="dxa"/>
              <w:bottom w:w="72" w:type="dxa"/>
              <w:right w:w="144" w:type="dxa"/>
            </w:tcMar>
            <w:vAlign w:val="center"/>
            <w:hideMark/>
          </w:tcPr>
          <w:p w14:paraId="201E6C7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691**</w:t>
            </w:r>
          </w:p>
        </w:tc>
        <w:tc>
          <w:tcPr>
            <w:tcW w:w="956" w:type="pct"/>
            <w:shd w:val="clear" w:color="auto" w:fill="D9D9D9" w:themeFill="background1" w:themeFillShade="D9"/>
            <w:tcMar>
              <w:top w:w="72" w:type="dxa"/>
              <w:left w:w="144" w:type="dxa"/>
              <w:bottom w:w="72" w:type="dxa"/>
              <w:right w:w="144" w:type="dxa"/>
            </w:tcMar>
            <w:vAlign w:val="center"/>
            <w:hideMark/>
          </w:tcPr>
          <w:p w14:paraId="14CD5CB2"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Spin ORDC x-axis = </w:t>
            </w:r>
          </w:p>
          <w:p w14:paraId="4A333764" w14:textId="3A2411D8"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2,300 MW</w:t>
            </w:r>
          </w:p>
        </w:tc>
        <w:tc>
          <w:tcPr>
            <w:tcW w:w="1363" w:type="pct"/>
            <w:shd w:val="clear" w:color="auto" w:fill="D9D9D9" w:themeFill="background1" w:themeFillShade="D9"/>
            <w:tcMar>
              <w:top w:w="72" w:type="dxa"/>
              <w:left w:w="144" w:type="dxa"/>
              <w:bottom w:w="72" w:type="dxa"/>
              <w:right w:w="144" w:type="dxa"/>
            </w:tcMar>
            <w:vAlign w:val="center"/>
            <w:hideMark/>
          </w:tcPr>
          <w:p w14:paraId="29E0D956"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$5,850 (from ORDC)</w:t>
            </w:r>
          </w:p>
        </w:tc>
        <w:tc>
          <w:tcPr>
            <w:tcW w:w="623" w:type="pct"/>
            <w:shd w:val="clear" w:color="auto" w:fill="D9D9D9" w:themeFill="background1" w:themeFillShade="D9"/>
            <w:tcMar>
              <w:top w:w="72" w:type="dxa"/>
              <w:left w:w="144" w:type="dxa"/>
              <w:bottom w:w="72" w:type="dxa"/>
              <w:right w:w="144" w:type="dxa"/>
            </w:tcMar>
            <w:vAlign w:val="center"/>
            <w:hideMark/>
          </w:tcPr>
          <w:p w14:paraId="31FE823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$1,372</w:t>
            </w:r>
          </w:p>
        </w:tc>
      </w:tr>
      <w:tr w:rsidR="006D161E" w:rsidRPr="006D161E" w14:paraId="51C50E7E" w14:textId="77777777" w:rsidTr="006D161E">
        <w:trPr>
          <w:trHeight w:val="20"/>
          <w:jc w:val="center"/>
        </w:trPr>
        <w:tc>
          <w:tcPr>
            <w:tcW w:w="591" w:type="pct"/>
            <w:shd w:val="clear" w:color="auto" w:fill="auto"/>
            <w:tcMar>
              <w:top w:w="72" w:type="dxa"/>
              <w:left w:w="144" w:type="dxa"/>
              <w:bottom w:w="72" w:type="dxa"/>
              <w:right w:w="144" w:type="dxa"/>
            </w:tcMar>
            <w:vAlign w:val="center"/>
            <w:hideMark/>
          </w:tcPr>
          <w:p w14:paraId="1CEA0F8B"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EEA1</w:t>
            </w:r>
          </w:p>
        </w:tc>
        <w:tc>
          <w:tcPr>
            <w:tcW w:w="845" w:type="pct"/>
            <w:shd w:val="clear" w:color="auto" w:fill="auto"/>
            <w:tcMar>
              <w:top w:w="72" w:type="dxa"/>
              <w:left w:w="144" w:type="dxa"/>
              <w:bottom w:w="72" w:type="dxa"/>
              <w:right w:w="144" w:type="dxa"/>
            </w:tcMar>
            <w:vAlign w:val="center"/>
            <w:hideMark/>
          </w:tcPr>
          <w:p w14:paraId="5A631306"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Spin Shortage A</w:t>
            </w:r>
          </w:p>
        </w:tc>
        <w:tc>
          <w:tcPr>
            <w:tcW w:w="622" w:type="pct"/>
            <w:shd w:val="clear" w:color="auto" w:fill="auto"/>
            <w:tcMar>
              <w:top w:w="72" w:type="dxa"/>
              <w:left w:w="144" w:type="dxa"/>
              <w:bottom w:w="72" w:type="dxa"/>
              <w:right w:w="144" w:type="dxa"/>
            </w:tcMar>
            <w:vAlign w:val="center"/>
            <w:hideMark/>
          </w:tcPr>
          <w:p w14:paraId="25DDAA9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550</w:t>
            </w:r>
          </w:p>
        </w:tc>
        <w:tc>
          <w:tcPr>
            <w:tcW w:w="956" w:type="pct"/>
            <w:shd w:val="clear" w:color="auto" w:fill="auto"/>
            <w:tcMar>
              <w:top w:w="72" w:type="dxa"/>
              <w:left w:w="144" w:type="dxa"/>
              <w:bottom w:w="72" w:type="dxa"/>
              <w:right w:w="144" w:type="dxa"/>
            </w:tcMar>
            <w:vAlign w:val="center"/>
            <w:hideMark/>
          </w:tcPr>
          <w:p w14:paraId="61EACB45"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Spin ORDC x-axis = </w:t>
            </w:r>
          </w:p>
          <w:p w14:paraId="43E73648" w14:textId="5AAAB4E6"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2,300 MW</w:t>
            </w:r>
          </w:p>
        </w:tc>
        <w:tc>
          <w:tcPr>
            <w:tcW w:w="1363" w:type="pct"/>
            <w:shd w:val="clear" w:color="auto" w:fill="auto"/>
            <w:tcMar>
              <w:top w:w="72" w:type="dxa"/>
              <w:left w:w="144" w:type="dxa"/>
              <w:bottom w:w="72" w:type="dxa"/>
              <w:right w:w="144" w:type="dxa"/>
            </w:tcMar>
            <w:vAlign w:val="center"/>
            <w:hideMark/>
          </w:tcPr>
          <w:p w14:paraId="181A3B8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$7,492 (from ORDC)*</w:t>
            </w:r>
          </w:p>
        </w:tc>
        <w:tc>
          <w:tcPr>
            <w:tcW w:w="623" w:type="pct"/>
            <w:shd w:val="clear" w:color="auto" w:fill="auto"/>
            <w:tcMar>
              <w:top w:w="72" w:type="dxa"/>
              <w:left w:w="144" w:type="dxa"/>
              <w:bottom w:w="72" w:type="dxa"/>
              <w:right w:w="144" w:type="dxa"/>
            </w:tcMar>
            <w:vAlign w:val="center"/>
            <w:hideMark/>
          </w:tcPr>
          <w:p w14:paraId="416B706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$1,856*</w:t>
            </w:r>
          </w:p>
        </w:tc>
      </w:tr>
      <w:tr w:rsidR="006D161E" w:rsidRPr="006D161E" w14:paraId="1A7E50CE" w14:textId="77777777" w:rsidTr="006D161E">
        <w:trPr>
          <w:trHeight w:val="20"/>
          <w:jc w:val="center"/>
        </w:trPr>
        <w:tc>
          <w:tcPr>
            <w:tcW w:w="591" w:type="pct"/>
            <w:shd w:val="clear" w:color="auto" w:fill="D9D9D9" w:themeFill="background1" w:themeFillShade="D9"/>
            <w:tcMar>
              <w:top w:w="72" w:type="dxa"/>
              <w:left w:w="144" w:type="dxa"/>
              <w:bottom w:w="72" w:type="dxa"/>
              <w:right w:w="144" w:type="dxa"/>
            </w:tcMar>
            <w:vAlign w:val="center"/>
            <w:hideMark/>
          </w:tcPr>
          <w:p w14:paraId="0FC9CC25"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EEA 2</w:t>
            </w:r>
          </w:p>
        </w:tc>
        <w:tc>
          <w:tcPr>
            <w:tcW w:w="845" w:type="pct"/>
            <w:shd w:val="clear" w:color="auto" w:fill="D9D9D9" w:themeFill="background1" w:themeFillShade="D9"/>
            <w:tcMar>
              <w:top w:w="72" w:type="dxa"/>
              <w:left w:w="144" w:type="dxa"/>
              <w:bottom w:w="72" w:type="dxa"/>
              <w:right w:w="144" w:type="dxa"/>
            </w:tcMar>
            <w:vAlign w:val="center"/>
            <w:hideMark/>
          </w:tcPr>
          <w:p w14:paraId="4BA96F26"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TDSP Load Curtailments</w:t>
            </w:r>
          </w:p>
        </w:tc>
        <w:tc>
          <w:tcPr>
            <w:tcW w:w="622" w:type="pct"/>
            <w:shd w:val="clear" w:color="auto" w:fill="D9D9D9" w:themeFill="background1" w:themeFillShade="D9"/>
            <w:tcMar>
              <w:top w:w="72" w:type="dxa"/>
              <w:left w:w="144" w:type="dxa"/>
              <w:bottom w:w="72" w:type="dxa"/>
              <w:right w:w="144" w:type="dxa"/>
            </w:tcMar>
            <w:vAlign w:val="center"/>
            <w:hideMark/>
          </w:tcPr>
          <w:p w14:paraId="3E19D820"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262</w:t>
            </w:r>
          </w:p>
        </w:tc>
        <w:tc>
          <w:tcPr>
            <w:tcW w:w="956" w:type="pct"/>
            <w:shd w:val="clear" w:color="auto" w:fill="D9D9D9" w:themeFill="background1" w:themeFillShade="D9"/>
            <w:tcMar>
              <w:top w:w="72" w:type="dxa"/>
              <w:left w:w="144" w:type="dxa"/>
              <w:bottom w:w="72" w:type="dxa"/>
              <w:right w:w="144" w:type="dxa"/>
            </w:tcMar>
            <w:vAlign w:val="center"/>
            <w:hideMark/>
          </w:tcPr>
          <w:p w14:paraId="16B45240"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Spin ORDC x-axis = </w:t>
            </w:r>
          </w:p>
          <w:p w14:paraId="00851CDE" w14:textId="07850F9B"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1,750 MW</w:t>
            </w:r>
          </w:p>
        </w:tc>
        <w:tc>
          <w:tcPr>
            <w:tcW w:w="1363" w:type="pct"/>
            <w:shd w:val="clear" w:color="auto" w:fill="D9D9D9" w:themeFill="background1" w:themeFillShade="D9"/>
            <w:tcMar>
              <w:top w:w="72" w:type="dxa"/>
              <w:left w:w="144" w:type="dxa"/>
              <w:bottom w:w="72" w:type="dxa"/>
              <w:right w:w="144" w:type="dxa"/>
            </w:tcMar>
            <w:vAlign w:val="center"/>
            <w:hideMark/>
          </w:tcPr>
          <w:p w14:paraId="0DB130F1"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$9,000 (from ORDC)</w:t>
            </w:r>
          </w:p>
        </w:tc>
        <w:tc>
          <w:tcPr>
            <w:tcW w:w="623" w:type="pct"/>
            <w:shd w:val="clear" w:color="auto" w:fill="D9D9D9" w:themeFill="background1" w:themeFillShade="D9"/>
            <w:tcMar>
              <w:top w:w="72" w:type="dxa"/>
              <w:left w:w="144" w:type="dxa"/>
              <w:bottom w:w="72" w:type="dxa"/>
              <w:right w:w="144" w:type="dxa"/>
            </w:tcMar>
            <w:vAlign w:val="center"/>
            <w:hideMark/>
          </w:tcPr>
          <w:p w14:paraId="61AF3B2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$2,469</w:t>
            </w:r>
          </w:p>
        </w:tc>
      </w:tr>
      <w:tr w:rsidR="006D161E" w:rsidRPr="006D161E" w14:paraId="4F3E3495" w14:textId="77777777" w:rsidTr="006D161E">
        <w:trPr>
          <w:trHeight w:val="20"/>
          <w:jc w:val="center"/>
        </w:trPr>
        <w:tc>
          <w:tcPr>
            <w:tcW w:w="591" w:type="pct"/>
            <w:shd w:val="clear" w:color="auto" w:fill="auto"/>
            <w:tcMar>
              <w:top w:w="72" w:type="dxa"/>
              <w:left w:w="144" w:type="dxa"/>
              <w:bottom w:w="72" w:type="dxa"/>
              <w:right w:w="144" w:type="dxa"/>
            </w:tcMar>
            <w:vAlign w:val="center"/>
            <w:hideMark/>
          </w:tcPr>
          <w:p w14:paraId="7AEEBF02"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EEA 2</w:t>
            </w:r>
          </w:p>
        </w:tc>
        <w:tc>
          <w:tcPr>
            <w:tcW w:w="845" w:type="pct"/>
            <w:shd w:val="clear" w:color="auto" w:fill="auto"/>
            <w:tcMar>
              <w:top w:w="72" w:type="dxa"/>
              <w:left w:w="144" w:type="dxa"/>
              <w:bottom w:w="72" w:type="dxa"/>
              <w:right w:w="144" w:type="dxa"/>
            </w:tcMar>
            <w:vAlign w:val="center"/>
            <w:hideMark/>
          </w:tcPr>
          <w:p w14:paraId="34229734"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Load Resources in RRS</w:t>
            </w:r>
          </w:p>
        </w:tc>
        <w:tc>
          <w:tcPr>
            <w:tcW w:w="622" w:type="pct"/>
            <w:shd w:val="clear" w:color="auto" w:fill="auto"/>
            <w:tcMar>
              <w:top w:w="72" w:type="dxa"/>
              <w:left w:w="144" w:type="dxa"/>
              <w:bottom w:w="72" w:type="dxa"/>
              <w:right w:w="144" w:type="dxa"/>
            </w:tcMar>
            <w:vAlign w:val="center"/>
            <w:hideMark/>
          </w:tcPr>
          <w:p w14:paraId="2E0F79E3"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1,172***</w:t>
            </w:r>
          </w:p>
        </w:tc>
        <w:tc>
          <w:tcPr>
            <w:tcW w:w="956" w:type="pct"/>
            <w:shd w:val="clear" w:color="auto" w:fill="auto"/>
            <w:tcMar>
              <w:top w:w="72" w:type="dxa"/>
              <w:left w:w="144" w:type="dxa"/>
              <w:bottom w:w="72" w:type="dxa"/>
              <w:right w:w="144" w:type="dxa"/>
            </w:tcMar>
            <w:vAlign w:val="center"/>
            <w:hideMark/>
          </w:tcPr>
          <w:p w14:paraId="6683B0E6"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Spin ORDC x-axis = </w:t>
            </w:r>
          </w:p>
          <w:p w14:paraId="22C3C4B2" w14:textId="1EC429C8"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1,750 MW</w:t>
            </w:r>
          </w:p>
        </w:tc>
        <w:tc>
          <w:tcPr>
            <w:tcW w:w="1363" w:type="pct"/>
            <w:shd w:val="clear" w:color="auto" w:fill="auto"/>
            <w:tcMar>
              <w:top w:w="72" w:type="dxa"/>
              <w:left w:w="144" w:type="dxa"/>
              <w:bottom w:w="72" w:type="dxa"/>
              <w:right w:w="144" w:type="dxa"/>
            </w:tcMar>
            <w:vAlign w:val="center"/>
            <w:hideMark/>
          </w:tcPr>
          <w:p w14:paraId="4B5DA23A"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$9,000 (from ORDC)</w:t>
            </w:r>
          </w:p>
        </w:tc>
        <w:tc>
          <w:tcPr>
            <w:tcW w:w="623" w:type="pct"/>
            <w:shd w:val="clear" w:color="auto" w:fill="auto"/>
            <w:tcMar>
              <w:top w:w="72" w:type="dxa"/>
              <w:left w:w="144" w:type="dxa"/>
              <w:bottom w:w="72" w:type="dxa"/>
              <w:right w:w="144" w:type="dxa"/>
            </w:tcMar>
            <w:vAlign w:val="center"/>
            <w:hideMark/>
          </w:tcPr>
          <w:p w14:paraId="6225626F"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$2,469</w:t>
            </w:r>
          </w:p>
        </w:tc>
      </w:tr>
      <w:tr w:rsidR="006D161E" w:rsidRPr="006D161E" w14:paraId="5CBB33A1" w14:textId="77777777" w:rsidTr="006D161E">
        <w:trPr>
          <w:trHeight w:val="20"/>
          <w:jc w:val="center"/>
        </w:trPr>
        <w:tc>
          <w:tcPr>
            <w:tcW w:w="591" w:type="pct"/>
            <w:shd w:val="clear" w:color="auto" w:fill="D9D9D9" w:themeFill="background1" w:themeFillShade="D9"/>
            <w:tcMar>
              <w:top w:w="72" w:type="dxa"/>
              <w:left w:w="144" w:type="dxa"/>
              <w:bottom w:w="72" w:type="dxa"/>
              <w:right w:w="144" w:type="dxa"/>
            </w:tcMar>
            <w:vAlign w:val="center"/>
            <w:hideMark/>
          </w:tcPr>
          <w:p w14:paraId="2074266D"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EEA 2</w:t>
            </w:r>
          </w:p>
        </w:tc>
        <w:tc>
          <w:tcPr>
            <w:tcW w:w="845" w:type="pct"/>
            <w:shd w:val="clear" w:color="auto" w:fill="D9D9D9" w:themeFill="background1" w:themeFillShade="D9"/>
            <w:tcMar>
              <w:top w:w="72" w:type="dxa"/>
              <w:left w:w="144" w:type="dxa"/>
              <w:bottom w:w="72" w:type="dxa"/>
              <w:right w:w="144" w:type="dxa"/>
            </w:tcMar>
            <w:vAlign w:val="center"/>
            <w:hideMark/>
          </w:tcPr>
          <w:p w14:paraId="22F2E576"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10-Minute ERS</w:t>
            </w:r>
          </w:p>
        </w:tc>
        <w:tc>
          <w:tcPr>
            <w:tcW w:w="622" w:type="pct"/>
            <w:shd w:val="clear" w:color="auto" w:fill="D9D9D9" w:themeFill="background1" w:themeFillShade="D9"/>
            <w:tcMar>
              <w:top w:w="72" w:type="dxa"/>
              <w:left w:w="144" w:type="dxa"/>
              <w:bottom w:w="72" w:type="dxa"/>
              <w:right w:w="144" w:type="dxa"/>
            </w:tcMar>
            <w:vAlign w:val="center"/>
            <w:hideMark/>
          </w:tcPr>
          <w:p w14:paraId="5B59ACB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76**</w:t>
            </w:r>
          </w:p>
        </w:tc>
        <w:tc>
          <w:tcPr>
            <w:tcW w:w="956" w:type="pct"/>
            <w:shd w:val="clear" w:color="auto" w:fill="D9D9D9" w:themeFill="background1" w:themeFillShade="D9"/>
            <w:tcMar>
              <w:top w:w="72" w:type="dxa"/>
              <w:left w:w="144" w:type="dxa"/>
              <w:bottom w:w="72" w:type="dxa"/>
              <w:right w:w="144" w:type="dxa"/>
            </w:tcMar>
            <w:vAlign w:val="center"/>
            <w:hideMark/>
          </w:tcPr>
          <w:p w14:paraId="0C44FC37"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Spin ORDC x-axis = </w:t>
            </w:r>
          </w:p>
          <w:p w14:paraId="1A44DCCD" w14:textId="65266030"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1,750 MW</w:t>
            </w:r>
          </w:p>
        </w:tc>
        <w:tc>
          <w:tcPr>
            <w:tcW w:w="1363" w:type="pct"/>
            <w:shd w:val="clear" w:color="auto" w:fill="D9D9D9" w:themeFill="background1" w:themeFillShade="D9"/>
            <w:tcMar>
              <w:top w:w="72" w:type="dxa"/>
              <w:left w:w="144" w:type="dxa"/>
              <w:bottom w:w="72" w:type="dxa"/>
              <w:right w:w="144" w:type="dxa"/>
            </w:tcMar>
            <w:vAlign w:val="center"/>
            <w:hideMark/>
          </w:tcPr>
          <w:p w14:paraId="5ED76DE7"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$9,000 (from ORDC)</w:t>
            </w:r>
          </w:p>
        </w:tc>
        <w:tc>
          <w:tcPr>
            <w:tcW w:w="623" w:type="pct"/>
            <w:shd w:val="clear" w:color="auto" w:fill="D9D9D9" w:themeFill="background1" w:themeFillShade="D9"/>
            <w:tcMar>
              <w:top w:w="72" w:type="dxa"/>
              <w:left w:w="144" w:type="dxa"/>
              <w:bottom w:w="72" w:type="dxa"/>
              <w:right w:w="144" w:type="dxa"/>
            </w:tcMar>
            <w:vAlign w:val="center"/>
            <w:hideMark/>
          </w:tcPr>
          <w:p w14:paraId="09A0110F"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$2,469</w:t>
            </w:r>
          </w:p>
        </w:tc>
      </w:tr>
      <w:tr w:rsidR="006D161E" w:rsidRPr="006D161E" w14:paraId="3CBE95A0" w14:textId="77777777" w:rsidTr="006D161E">
        <w:trPr>
          <w:trHeight w:val="20"/>
          <w:jc w:val="center"/>
        </w:trPr>
        <w:tc>
          <w:tcPr>
            <w:tcW w:w="591" w:type="pct"/>
            <w:shd w:val="clear" w:color="auto" w:fill="auto"/>
            <w:tcMar>
              <w:top w:w="72" w:type="dxa"/>
              <w:left w:w="144" w:type="dxa"/>
              <w:bottom w:w="72" w:type="dxa"/>
              <w:right w:w="144" w:type="dxa"/>
            </w:tcMar>
            <w:vAlign w:val="center"/>
            <w:hideMark/>
          </w:tcPr>
          <w:p w14:paraId="14B896C2"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EEA3</w:t>
            </w:r>
          </w:p>
        </w:tc>
        <w:tc>
          <w:tcPr>
            <w:tcW w:w="845" w:type="pct"/>
            <w:shd w:val="clear" w:color="auto" w:fill="auto"/>
            <w:tcMar>
              <w:top w:w="72" w:type="dxa"/>
              <w:left w:w="144" w:type="dxa"/>
              <w:bottom w:w="72" w:type="dxa"/>
              <w:right w:w="144" w:type="dxa"/>
            </w:tcMar>
            <w:vAlign w:val="center"/>
            <w:hideMark/>
          </w:tcPr>
          <w:p w14:paraId="087C6034"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Spin Shortage B</w:t>
            </w:r>
          </w:p>
        </w:tc>
        <w:tc>
          <w:tcPr>
            <w:tcW w:w="622" w:type="pct"/>
            <w:shd w:val="clear" w:color="auto" w:fill="auto"/>
            <w:tcMar>
              <w:top w:w="72" w:type="dxa"/>
              <w:left w:w="144" w:type="dxa"/>
              <w:bottom w:w="72" w:type="dxa"/>
              <w:right w:w="144" w:type="dxa"/>
            </w:tcMar>
            <w:vAlign w:val="center"/>
            <w:hideMark/>
          </w:tcPr>
          <w:p w14:paraId="2683688F"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750</w:t>
            </w:r>
          </w:p>
        </w:tc>
        <w:tc>
          <w:tcPr>
            <w:tcW w:w="956" w:type="pct"/>
            <w:shd w:val="clear" w:color="auto" w:fill="auto"/>
            <w:tcMar>
              <w:top w:w="72" w:type="dxa"/>
              <w:left w:w="144" w:type="dxa"/>
              <w:bottom w:w="72" w:type="dxa"/>
              <w:right w:w="144" w:type="dxa"/>
            </w:tcMar>
            <w:vAlign w:val="center"/>
            <w:hideMark/>
          </w:tcPr>
          <w:p w14:paraId="20C72DE9"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Spin ORDC x-axis =</w:t>
            </w:r>
          </w:p>
          <w:p w14:paraId="1A4EFC3C" w14:textId="4D8C773D"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1,750 MW</w:t>
            </w:r>
          </w:p>
        </w:tc>
        <w:tc>
          <w:tcPr>
            <w:tcW w:w="1363" w:type="pct"/>
            <w:shd w:val="clear" w:color="auto" w:fill="auto"/>
            <w:tcMar>
              <w:top w:w="72" w:type="dxa"/>
              <w:left w:w="144" w:type="dxa"/>
              <w:bottom w:w="72" w:type="dxa"/>
              <w:right w:w="144" w:type="dxa"/>
            </w:tcMar>
            <w:vAlign w:val="center"/>
            <w:hideMark/>
          </w:tcPr>
          <w:p w14:paraId="632F4BCF"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$9,000 (from ORDC)</w:t>
            </w:r>
          </w:p>
        </w:tc>
        <w:tc>
          <w:tcPr>
            <w:tcW w:w="623" w:type="pct"/>
            <w:shd w:val="clear" w:color="auto" w:fill="auto"/>
            <w:tcMar>
              <w:top w:w="72" w:type="dxa"/>
              <w:left w:w="144" w:type="dxa"/>
              <w:bottom w:w="72" w:type="dxa"/>
              <w:right w:w="144" w:type="dxa"/>
            </w:tcMar>
            <w:vAlign w:val="center"/>
            <w:hideMark/>
          </w:tcPr>
          <w:p w14:paraId="287C1F04"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$3,562*</w:t>
            </w:r>
          </w:p>
        </w:tc>
      </w:tr>
      <w:tr w:rsidR="006D161E" w:rsidRPr="006D161E" w14:paraId="0B90EBA9" w14:textId="77777777" w:rsidTr="006D161E">
        <w:trPr>
          <w:trHeight w:val="20"/>
          <w:jc w:val="center"/>
        </w:trPr>
        <w:tc>
          <w:tcPr>
            <w:tcW w:w="591" w:type="pct"/>
            <w:shd w:val="clear" w:color="auto" w:fill="D9D9D9" w:themeFill="background1" w:themeFillShade="D9"/>
            <w:tcMar>
              <w:top w:w="72" w:type="dxa"/>
              <w:left w:w="144" w:type="dxa"/>
              <w:bottom w:w="72" w:type="dxa"/>
              <w:right w:w="144" w:type="dxa"/>
            </w:tcMar>
            <w:vAlign w:val="center"/>
            <w:hideMark/>
          </w:tcPr>
          <w:p w14:paraId="767EE54D"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EEA 3</w:t>
            </w:r>
          </w:p>
        </w:tc>
        <w:tc>
          <w:tcPr>
            <w:tcW w:w="845" w:type="pct"/>
            <w:shd w:val="clear" w:color="auto" w:fill="D9D9D9" w:themeFill="background1" w:themeFillShade="D9"/>
            <w:tcMar>
              <w:top w:w="72" w:type="dxa"/>
              <w:left w:w="144" w:type="dxa"/>
              <w:bottom w:w="72" w:type="dxa"/>
              <w:right w:w="144" w:type="dxa"/>
            </w:tcMar>
            <w:vAlign w:val="center"/>
            <w:hideMark/>
          </w:tcPr>
          <w:p w14:paraId="7D2FB46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Load Shed</w:t>
            </w:r>
          </w:p>
        </w:tc>
        <w:tc>
          <w:tcPr>
            <w:tcW w:w="622" w:type="pct"/>
            <w:shd w:val="clear" w:color="auto" w:fill="D9D9D9" w:themeFill="background1" w:themeFillShade="D9"/>
            <w:tcMar>
              <w:top w:w="72" w:type="dxa"/>
              <w:left w:w="144" w:type="dxa"/>
              <w:bottom w:w="72" w:type="dxa"/>
              <w:right w:w="144" w:type="dxa"/>
            </w:tcMar>
            <w:vAlign w:val="center"/>
            <w:hideMark/>
          </w:tcPr>
          <w:p w14:paraId="2A29CABC"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Variable</w:t>
            </w:r>
          </w:p>
        </w:tc>
        <w:tc>
          <w:tcPr>
            <w:tcW w:w="956" w:type="pct"/>
            <w:shd w:val="clear" w:color="auto" w:fill="D9D9D9" w:themeFill="background1" w:themeFillShade="D9"/>
            <w:tcMar>
              <w:top w:w="72" w:type="dxa"/>
              <w:left w:w="144" w:type="dxa"/>
              <w:bottom w:w="72" w:type="dxa"/>
              <w:right w:w="144" w:type="dxa"/>
            </w:tcMar>
            <w:vAlign w:val="center"/>
            <w:hideMark/>
          </w:tcPr>
          <w:p w14:paraId="6DA0160E" w14:textId="77777777" w:rsidR="006D161E" w:rsidRDefault="006D161E" w:rsidP="006D161E">
            <w:pPr>
              <w:spacing w:after="0" w:line="240" w:lineRule="auto"/>
              <w:jc w:val="center"/>
              <w:rPr>
                <w:rFonts w:eastAsia="Times New Roman" w:cs="Arial"/>
                <w:sz w:val="18"/>
                <w:szCs w:val="18"/>
              </w:rPr>
            </w:pPr>
            <w:r w:rsidRPr="006D161E">
              <w:rPr>
                <w:rFonts w:eastAsia="Times New Roman" w:cs="Arial"/>
                <w:sz w:val="18"/>
                <w:szCs w:val="18"/>
              </w:rPr>
              <w:t xml:space="preserve">Spin ORDC x-axis = </w:t>
            </w:r>
          </w:p>
          <w:p w14:paraId="205361FE" w14:textId="143919D1"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1,000 MW</w:t>
            </w:r>
          </w:p>
        </w:tc>
        <w:tc>
          <w:tcPr>
            <w:tcW w:w="1363" w:type="pct"/>
            <w:shd w:val="clear" w:color="auto" w:fill="D9D9D9" w:themeFill="background1" w:themeFillShade="D9"/>
            <w:tcMar>
              <w:top w:w="72" w:type="dxa"/>
              <w:left w:w="144" w:type="dxa"/>
              <w:bottom w:w="72" w:type="dxa"/>
              <w:right w:w="144" w:type="dxa"/>
            </w:tcMar>
            <w:vAlign w:val="center"/>
            <w:hideMark/>
          </w:tcPr>
          <w:p w14:paraId="39E322FE"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VOLL = $9,000</w:t>
            </w:r>
          </w:p>
        </w:tc>
        <w:tc>
          <w:tcPr>
            <w:tcW w:w="623" w:type="pct"/>
            <w:shd w:val="clear" w:color="auto" w:fill="D9D9D9" w:themeFill="background1" w:themeFillShade="D9"/>
            <w:tcMar>
              <w:top w:w="72" w:type="dxa"/>
              <w:left w:w="144" w:type="dxa"/>
              <w:bottom w:w="72" w:type="dxa"/>
              <w:right w:w="144" w:type="dxa"/>
            </w:tcMar>
            <w:vAlign w:val="center"/>
            <w:hideMark/>
          </w:tcPr>
          <w:p w14:paraId="59C23C52" w14:textId="77777777" w:rsidR="006D161E" w:rsidRPr="006D161E" w:rsidRDefault="006D161E" w:rsidP="006D161E">
            <w:pPr>
              <w:spacing w:after="0" w:line="240" w:lineRule="auto"/>
              <w:jc w:val="center"/>
              <w:rPr>
                <w:rFonts w:eastAsia="Times New Roman" w:cs="Arial"/>
                <w:kern w:val="0"/>
                <w:sz w:val="18"/>
                <w:szCs w:val="18"/>
              </w:rPr>
            </w:pPr>
            <w:r w:rsidRPr="006D161E">
              <w:rPr>
                <w:rFonts w:eastAsia="Times New Roman" w:cs="Arial"/>
                <w:sz w:val="18"/>
                <w:szCs w:val="18"/>
              </w:rPr>
              <w:t>Same</w:t>
            </w:r>
          </w:p>
        </w:tc>
      </w:tr>
    </w:tbl>
    <w:p w14:paraId="542A575F" w14:textId="2AA23647" w:rsidR="004B58AD" w:rsidRPr="00EF0925" w:rsidRDefault="004B58AD" w:rsidP="004B58AD">
      <w:pPr>
        <w:pStyle w:val="BGNotesFiguresTables"/>
        <w:keepNext/>
        <w:tabs>
          <w:tab w:val="left" w:pos="-180"/>
          <w:tab w:val="left" w:pos="180"/>
          <w:tab w:val="left" w:pos="900"/>
          <w:tab w:val="left" w:pos="1350"/>
        </w:tabs>
        <w:ind w:left="-180" w:right="0"/>
        <w:rPr>
          <w:color w:val="auto"/>
        </w:rPr>
      </w:pPr>
      <w:r w:rsidRPr="00EF0925">
        <w:rPr>
          <w:i/>
          <w:color w:val="auto"/>
        </w:rPr>
        <w:t>Sources and Notes:</w:t>
      </w:r>
    </w:p>
    <w:p w14:paraId="4669E908" w14:textId="5360ED69" w:rsidR="00EF0925" w:rsidRPr="00EF0925" w:rsidRDefault="00EF0925" w:rsidP="00EF0925">
      <w:pPr>
        <w:pStyle w:val="BGNotesFiguresTables"/>
        <w:tabs>
          <w:tab w:val="left" w:pos="180"/>
          <w:tab w:val="left" w:pos="900"/>
        </w:tabs>
        <w:spacing w:before="0"/>
        <w:ind w:left="360" w:hanging="360"/>
        <w:rPr>
          <w:color w:val="auto"/>
        </w:rPr>
      </w:pPr>
      <w:r w:rsidRPr="00EF0925">
        <w:rPr>
          <w:color w:val="auto"/>
        </w:rPr>
        <w:t>*: Price reflects the average price between the upper and lower level of each resource</w:t>
      </w:r>
      <w:r w:rsidR="00C6585D">
        <w:rPr>
          <w:color w:val="auto"/>
        </w:rPr>
        <w:t>.</w:t>
      </w:r>
    </w:p>
    <w:p w14:paraId="681DB32B" w14:textId="4880A77E" w:rsidR="00EF0925" w:rsidRPr="00EF0925" w:rsidRDefault="00EF0925" w:rsidP="00EF0925">
      <w:pPr>
        <w:pStyle w:val="BGNotesFiguresTables"/>
        <w:tabs>
          <w:tab w:val="left" w:pos="180"/>
          <w:tab w:val="left" w:pos="900"/>
        </w:tabs>
        <w:spacing w:before="0"/>
        <w:ind w:left="360" w:hanging="360"/>
        <w:rPr>
          <w:color w:val="auto"/>
        </w:rPr>
      </w:pPr>
      <w:r w:rsidRPr="00EF0925">
        <w:rPr>
          <w:color w:val="auto"/>
        </w:rPr>
        <w:t>**: 76 10NWS + 666 30NWS + 26 30WS = 767 total ERS (CDR Value). Both NWS and WS are included in the 30-Minute ERS</w:t>
      </w:r>
      <w:r w:rsidR="00C6585D">
        <w:rPr>
          <w:color w:val="auto"/>
        </w:rPr>
        <w:t>.</w:t>
      </w:r>
      <w:bookmarkStart w:id="619" w:name="_GoBack"/>
      <w:bookmarkEnd w:id="619"/>
    </w:p>
    <w:p w14:paraId="566F5B9A" w14:textId="3FB0B10D" w:rsidR="00EF0925" w:rsidRPr="00EF0925" w:rsidRDefault="00EF0925" w:rsidP="00EF0925">
      <w:pPr>
        <w:pStyle w:val="BGNotesFiguresTables"/>
        <w:tabs>
          <w:tab w:val="left" w:pos="180"/>
          <w:tab w:val="left" w:pos="900"/>
        </w:tabs>
        <w:spacing w:before="0"/>
        <w:ind w:left="360" w:hanging="360"/>
        <w:rPr>
          <w:color w:val="auto"/>
        </w:rPr>
      </w:pPr>
      <w:r w:rsidRPr="00EF0925">
        <w:rPr>
          <w:color w:val="auto"/>
        </w:rPr>
        <w:t>***: 60% of RRS</w:t>
      </w:r>
    </w:p>
    <w:p w14:paraId="3B04ABFA" w14:textId="5B13B0B2" w:rsidR="004B58AD" w:rsidRPr="00EF0925" w:rsidRDefault="004B58AD" w:rsidP="00EF0925">
      <w:pPr>
        <w:pStyle w:val="BGNotesFiguresTables"/>
        <w:tabs>
          <w:tab w:val="left" w:pos="180"/>
          <w:tab w:val="left" w:pos="900"/>
        </w:tabs>
        <w:spacing w:before="0" w:after="240"/>
        <w:ind w:left="360" w:right="0" w:hanging="360"/>
        <w:rPr>
          <w:color w:val="auto"/>
        </w:rPr>
      </w:pPr>
      <w:r w:rsidRPr="00EF0925">
        <w:rPr>
          <w:color w:val="auto"/>
        </w:rPr>
        <w:t>Developed based on review of historical emergency event data, input from ERCOT staff, and ERCOT’s emergency procedure manuals; see ERCOT (20</w:t>
      </w:r>
      <w:r w:rsidR="00587FE3">
        <w:rPr>
          <w:color w:val="auto"/>
        </w:rPr>
        <w:t>20d</w:t>
      </w:r>
      <w:r w:rsidRPr="00EF0925">
        <w:rPr>
          <w:color w:val="auto"/>
        </w:rPr>
        <w:t>), Section 6.5.9</w:t>
      </w:r>
      <w:r w:rsidR="00C75766">
        <w:rPr>
          <w:color w:val="auto"/>
        </w:rPr>
        <w:t>,</w:t>
      </w:r>
      <w:r w:rsidRPr="00EF0925">
        <w:rPr>
          <w:color w:val="auto"/>
        </w:rPr>
        <w:t xml:space="preserve"> and ERCOT (20</w:t>
      </w:r>
      <w:r w:rsidR="00587FE3">
        <w:rPr>
          <w:color w:val="auto"/>
        </w:rPr>
        <w:t>20f</w:t>
      </w:r>
      <w:r w:rsidRPr="00EF0925">
        <w:rPr>
          <w:color w:val="auto"/>
        </w:rPr>
        <w:t>), Section 4.</w:t>
      </w:r>
    </w:p>
    <w:p w14:paraId="3D46779A" w14:textId="2A82336B" w:rsidR="004B58AD" w:rsidRDefault="004B58AD" w:rsidP="00FA0DFD">
      <w:pPr>
        <w:pStyle w:val="Heading3"/>
        <w:numPr>
          <w:ilvl w:val="0"/>
          <w:numId w:val="22"/>
        </w:numPr>
      </w:pPr>
      <w:bookmarkStart w:id="620" w:name="_Toc526279149"/>
      <w:bookmarkStart w:id="621" w:name="_Toc526437301"/>
      <w:bookmarkStart w:id="622" w:name="_Toc526437488"/>
      <w:bookmarkStart w:id="623" w:name="_Toc526439944"/>
      <w:bookmarkStart w:id="624" w:name="_Toc526440054"/>
      <w:bookmarkStart w:id="625" w:name="_Ref526444160"/>
      <w:bookmarkStart w:id="626" w:name="_Toc532834332"/>
      <w:bookmarkStart w:id="627" w:name="_Toc57193605"/>
      <w:bookmarkStart w:id="628" w:name="_Ref524990930"/>
      <w:bookmarkStart w:id="629" w:name="_Toc525079629"/>
      <w:bookmarkStart w:id="630" w:name="_Toc525851056"/>
      <w:bookmarkStart w:id="631" w:name="_Toc525938087"/>
      <w:r>
        <w:t>Emergency Generation</w:t>
      </w:r>
      <w:bookmarkEnd w:id="620"/>
      <w:bookmarkEnd w:id="621"/>
      <w:bookmarkEnd w:id="622"/>
      <w:bookmarkEnd w:id="623"/>
      <w:bookmarkEnd w:id="624"/>
      <w:bookmarkEnd w:id="625"/>
      <w:bookmarkEnd w:id="626"/>
      <w:bookmarkEnd w:id="627"/>
      <w:r>
        <w:t xml:space="preserve"> </w:t>
      </w:r>
      <w:bookmarkEnd w:id="628"/>
      <w:bookmarkEnd w:id="629"/>
      <w:bookmarkEnd w:id="630"/>
      <w:bookmarkEnd w:id="631"/>
    </w:p>
    <w:p w14:paraId="53672A5B" w14:textId="77777777" w:rsidR="004B58AD" w:rsidRPr="00EF0925" w:rsidRDefault="004B58AD" w:rsidP="004B58AD">
      <w:pPr>
        <w:pStyle w:val="BGNormal125"/>
        <w:rPr>
          <w:rFonts w:ascii="Calibri" w:hAnsi="Calibri" w:cs="Calibri"/>
          <w:color w:val="auto"/>
          <w:sz w:val="22"/>
          <w:szCs w:val="22"/>
        </w:rPr>
      </w:pPr>
      <w:r w:rsidRPr="00EF0925">
        <w:rPr>
          <w:rFonts w:ascii="Calibri" w:hAnsi="Calibri" w:cs="Calibri"/>
          <w:color w:val="auto"/>
          <w:sz w:val="22"/>
          <w:szCs w:val="22"/>
        </w:rPr>
        <w:t>During severe scarcity conditions, there are out-of-market instructions by ERCOT as well as strong economic incentives for suppliers to increase their power output to their emergency maximum levels for a short period of time.</w:t>
      </w:r>
      <w:r w:rsidRPr="00EF0925">
        <w:rPr>
          <w:rStyle w:val="FootnoteReference"/>
          <w:rFonts w:ascii="Calibri" w:hAnsi="Calibri" w:cs="Calibri"/>
          <w:color w:val="auto"/>
          <w:sz w:val="22"/>
          <w:szCs w:val="22"/>
        </w:rPr>
        <w:footnoteReference w:id="66"/>
      </w:r>
      <w:r w:rsidRPr="00EF0925">
        <w:rPr>
          <w:rFonts w:ascii="Calibri" w:hAnsi="Calibri" w:cs="Calibri"/>
          <w:color w:val="auto"/>
          <w:sz w:val="22"/>
          <w:szCs w:val="22"/>
        </w:rPr>
        <w:t xml:space="preserve">  During these conditions, suppliers can output power above their normal capacity ratings, although doing so is costly because it may impose additional maintenance costs and may put the unit at greater risk of failure.  </w:t>
      </w:r>
    </w:p>
    <w:p w14:paraId="37D0D5FA" w14:textId="1FCEBC67" w:rsidR="004B58AD" w:rsidRPr="00EF0925" w:rsidRDefault="004B58AD" w:rsidP="008B0478">
      <w:pPr>
        <w:pStyle w:val="BGNormal125"/>
        <w:spacing w:after="240"/>
        <w:rPr>
          <w:rFonts w:ascii="Calibri" w:hAnsi="Calibri" w:cs="Calibri"/>
          <w:color w:val="auto"/>
          <w:sz w:val="22"/>
          <w:szCs w:val="22"/>
        </w:rPr>
      </w:pPr>
      <w:r w:rsidRPr="00EF0925">
        <w:rPr>
          <w:rFonts w:ascii="Calibri" w:hAnsi="Calibri" w:cs="Calibri"/>
          <w:color w:val="auto"/>
          <w:sz w:val="22"/>
          <w:szCs w:val="22"/>
        </w:rPr>
        <w:t xml:space="preserve">According to ERCOT’s emergency maximum ratings, the aggregate ERCOT fleet should be able to produce approximately </w:t>
      </w:r>
      <w:r w:rsidR="00EF0925" w:rsidRPr="00EF0925">
        <w:rPr>
          <w:rFonts w:ascii="Calibri" w:hAnsi="Calibri" w:cs="Calibri"/>
          <w:color w:val="auto"/>
          <w:sz w:val="22"/>
          <w:szCs w:val="22"/>
        </w:rPr>
        <w:t>469.8</w:t>
      </w:r>
      <w:r w:rsidRPr="00EF0925">
        <w:rPr>
          <w:rFonts w:ascii="Calibri" w:hAnsi="Calibri" w:cs="Calibri"/>
          <w:color w:val="auto"/>
          <w:sz w:val="22"/>
          <w:szCs w:val="22"/>
        </w:rPr>
        <w:t xml:space="preserve"> MW in excess of summer CDR ratings.</w:t>
      </w:r>
      <w:r w:rsidRPr="00EF0925">
        <w:rPr>
          <w:rStyle w:val="FootnoteReference"/>
          <w:rFonts w:ascii="Calibri" w:hAnsi="Calibri" w:cs="Calibri"/>
          <w:color w:val="auto"/>
          <w:sz w:val="22"/>
          <w:szCs w:val="22"/>
        </w:rPr>
        <w:footnoteReference w:id="67"/>
      </w:r>
      <w:r w:rsidRPr="00EF0925">
        <w:rPr>
          <w:rFonts w:ascii="Calibri" w:hAnsi="Calibri" w:cs="Calibri"/>
          <w:color w:val="auto"/>
          <w:sz w:val="22"/>
          <w:szCs w:val="22"/>
        </w:rPr>
        <w:t xml:space="preserve">  We estimate the marginal cost of emergency output at approximately $</w:t>
      </w:r>
      <w:r w:rsidR="00EF0925" w:rsidRPr="00EF0925">
        <w:rPr>
          <w:rFonts w:ascii="Calibri" w:hAnsi="Calibri" w:cs="Calibri"/>
          <w:color w:val="auto"/>
          <w:sz w:val="22"/>
          <w:szCs w:val="22"/>
        </w:rPr>
        <w:t>2</w:t>
      </w:r>
      <w:r w:rsidRPr="00EF0925">
        <w:rPr>
          <w:rFonts w:ascii="Calibri" w:hAnsi="Calibri" w:cs="Calibri"/>
          <w:color w:val="auto"/>
          <w:sz w:val="22"/>
          <w:szCs w:val="22"/>
        </w:rPr>
        <w:t>,</w:t>
      </w:r>
      <w:r w:rsidR="00EF0925" w:rsidRPr="00EF0925">
        <w:rPr>
          <w:rFonts w:ascii="Calibri" w:hAnsi="Calibri" w:cs="Calibri"/>
          <w:color w:val="auto"/>
          <w:sz w:val="22"/>
          <w:szCs w:val="22"/>
        </w:rPr>
        <w:t>752</w:t>
      </w:r>
      <w:r w:rsidRPr="00EF0925">
        <w:rPr>
          <w:rFonts w:ascii="Calibri" w:hAnsi="Calibri" w:cs="Calibri"/>
          <w:color w:val="auto"/>
          <w:sz w:val="22"/>
          <w:szCs w:val="22"/>
        </w:rPr>
        <w:t>/MWh, consistent with ERCOT’s procedures for calling emergency generation.</w:t>
      </w:r>
    </w:p>
    <w:p w14:paraId="61ADA764" w14:textId="2869938C" w:rsidR="004B58AD" w:rsidRDefault="004B58AD" w:rsidP="00FA0DFD">
      <w:pPr>
        <w:pStyle w:val="Heading3"/>
        <w:numPr>
          <w:ilvl w:val="0"/>
          <w:numId w:val="22"/>
        </w:numPr>
      </w:pPr>
      <w:bookmarkStart w:id="632" w:name="_Toc526279150"/>
      <w:bookmarkStart w:id="633" w:name="_Ref526433989"/>
      <w:bookmarkStart w:id="634" w:name="_Toc526437302"/>
      <w:bookmarkStart w:id="635" w:name="_Toc526437489"/>
      <w:bookmarkStart w:id="636" w:name="_Toc526439945"/>
      <w:bookmarkStart w:id="637" w:name="_Toc526440055"/>
      <w:bookmarkStart w:id="638" w:name="_Ref526443640"/>
      <w:bookmarkStart w:id="639" w:name="_Ref526444294"/>
      <w:bookmarkStart w:id="640" w:name="_Ref526447532"/>
      <w:bookmarkStart w:id="641" w:name="_Ref526447981"/>
      <w:bookmarkStart w:id="642" w:name="_Ref526448347"/>
      <w:bookmarkStart w:id="643" w:name="_Toc532834333"/>
      <w:bookmarkStart w:id="644" w:name="_Toc57193606"/>
      <w:bookmarkStart w:id="645" w:name="_Ref523230114"/>
      <w:bookmarkStart w:id="646" w:name="_Ref523234894"/>
      <w:bookmarkStart w:id="647" w:name="_Ref523234955"/>
      <w:bookmarkStart w:id="648" w:name="_Ref524991028"/>
      <w:bookmarkStart w:id="649" w:name="_Toc525079630"/>
      <w:bookmarkStart w:id="650" w:name="_Toc525851057"/>
      <w:bookmarkStart w:id="651" w:name="_Toc525938088"/>
      <w:r>
        <w:t>Operating Reserves Demand Curve</w:t>
      </w:r>
      <w:bookmarkEnd w:id="632"/>
      <w:bookmarkEnd w:id="633"/>
      <w:bookmarkEnd w:id="634"/>
      <w:bookmarkEnd w:id="635"/>
      <w:bookmarkEnd w:id="636"/>
      <w:bookmarkEnd w:id="637"/>
      <w:bookmarkEnd w:id="638"/>
      <w:bookmarkEnd w:id="639"/>
      <w:bookmarkEnd w:id="640"/>
      <w:bookmarkEnd w:id="641"/>
      <w:bookmarkEnd w:id="642"/>
      <w:bookmarkEnd w:id="643"/>
      <w:bookmarkEnd w:id="644"/>
      <w:r>
        <w:t xml:space="preserve"> </w:t>
      </w:r>
      <w:bookmarkEnd w:id="645"/>
      <w:bookmarkEnd w:id="646"/>
      <w:bookmarkEnd w:id="647"/>
      <w:bookmarkEnd w:id="648"/>
      <w:bookmarkEnd w:id="649"/>
      <w:bookmarkEnd w:id="650"/>
      <w:bookmarkEnd w:id="651"/>
    </w:p>
    <w:p w14:paraId="5DFBA3C8" w14:textId="6B53A9E8" w:rsidR="004B58AD" w:rsidRPr="00E456C6" w:rsidRDefault="004B58AD" w:rsidP="008B0478">
      <w:pPr>
        <w:pStyle w:val="BGNormal125"/>
        <w:spacing w:after="240"/>
        <w:rPr>
          <w:rFonts w:ascii="Calibri" w:hAnsi="Calibri" w:cs="Calibri"/>
          <w:color w:val="C00000"/>
          <w:sz w:val="22"/>
          <w:szCs w:val="22"/>
        </w:rPr>
      </w:pPr>
      <w:r w:rsidRPr="00310F5E">
        <w:rPr>
          <w:rFonts w:ascii="Calibri" w:hAnsi="Calibri" w:cs="Calibri"/>
          <w:color w:val="auto"/>
          <w:sz w:val="22"/>
          <w:szCs w:val="22"/>
        </w:rPr>
        <w:t xml:space="preserve">The most important and influential administrative scarcity pricing mechanism in ERCOT is the operating reserves demand curve (ORDC) that reflects the willingness to pay for spinning and non-spinning reserves in the real-time market.  </w:t>
      </w:r>
      <w:r w:rsidRPr="00310F5E">
        <w:rPr>
          <w:rFonts w:ascii="Calibri" w:hAnsi="Calibri" w:cs="Calibri"/>
          <w:color w:val="auto"/>
          <w:sz w:val="22"/>
          <w:szCs w:val="22"/>
        </w:rPr>
        <w:fldChar w:fldCharType="begin"/>
      </w:r>
      <w:r w:rsidRPr="00310F5E">
        <w:rPr>
          <w:rFonts w:ascii="Calibri" w:hAnsi="Calibri" w:cs="Calibri"/>
          <w:color w:val="auto"/>
          <w:sz w:val="22"/>
          <w:szCs w:val="22"/>
        </w:rPr>
        <w:instrText xml:space="preserve"> REF _Ref377556834 \h  \* MERGEFORMAT </w:instrText>
      </w:r>
      <w:r w:rsidRPr="00310F5E">
        <w:rPr>
          <w:rFonts w:ascii="Calibri" w:hAnsi="Calibri" w:cs="Calibri"/>
          <w:color w:val="auto"/>
          <w:sz w:val="22"/>
          <w:szCs w:val="22"/>
        </w:rPr>
      </w:r>
      <w:r w:rsidRPr="00310F5E">
        <w:rPr>
          <w:rFonts w:ascii="Calibri" w:hAnsi="Calibri" w:cs="Calibri"/>
          <w:color w:val="auto"/>
          <w:sz w:val="22"/>
          <w:szCs w:val="22"/>
        </w:rPr>
        <w:fldChar w:fldCharType="separate"/>
      </w:r>
      <w:r w:rsidR="009C7344" w:rsidRPr="0009094A">
        <w:rPr>
          <w:rFonts w:ascii="Calibri" w:hAnsi="Calibri" w:cs="Calibri"/>
          <w:color w:val="auto"/>
          <w:sz w:val="22"/>
          <w:szCs w:val="22"/>
        </w:rPr>
        <w:t xml:space="preserve">Figure </w:t>
      </w:r>
      <w:r w:rsidR="009C7344" w:rsidRPr="0009094A">
        <w:rPr>
          <w:rFonts w:ascii="Calibri" w:hAnsi="Calibri" w:cs="Calibri"/>
          <w:noProof/>
          <w:color w:val="auto"/>
          <w:sz w:val="22"/>
          <w:szCs w:val="22"/>
        </w:rPr>
        <w:t>A1-13</w:t>
      </w:r>
      <w:r w:rsidRPr="00310F5E">
        <w:rPr>
          <w:rFonts w:ascii="Calibri" w:hAnsi="Calibri" w:cs="Calibri"/>
          <w:color w:val="auto"/>
          <w:sz w:val="22"/>
          <w:szCs w:val="22"/>
        </w:rPr>
        <w:fldChar w:fldCharType="end"/>
      </w:r>
      <w:r w:rsidRPr="00310F5E">
        <w:rPr>
          <w:rFonts w:ascii="Calibri" w:hAnsi="Calibri" w:cs="Calibri"/>
          <w:color w:val="auto"/>
          <w:sz w:val="22"/>
          <w:szCs w:val="22"/>
        </w:rPr>
        <w:t xml:space="preserve"> illustrates our approach to implementing ORDC in our modeling, which is similar to ERCOT’s implementation, although with some simplifications.</w:t>
      </w:r>
      <w:r w:rsidRPr="00310F5E">
        <w:rPr>
          <w:rStyle w:val="FootnoteReference"/>
          <w:rFonts w:ascii="Calibri" w:hAnsi="Calibri" w:cs="Calibri"/>
          <w:color w:val="auto"/>
          <w:sz w:val="22"/>
          <w:szCs w:val="22"/>
        </w:rPr>
        <w:footnoteReference w:id="68"/>
      </w:r>
      <w:r w:rsidRPr="00310F5E">
        <w:rPr>
          <w:rFonts w:ascii="Calibri" w:hAnsi="Calibri" w:cs="Calibri"/>
          <w:color w:val="auto"/>
          <w:sz w:val="22"/>
          <w:szCs w:val="22"/>
        </w:rPr>
        <w:t xml:space="preserve">  </w:t>
      </w:r>
      <w:r w:rsidRPr="00C75766">
        <w:rPr>
          <w:rFonts w:ascii="Calibri" w:hAnsi="Calibri" w:cs="Calibri"/>
          <w:color w:val="auto"/>
          <w:sz w:val="22"/>
          <w:szCs w:val="22"/>
        </w:rPr>
        <w:t xml:space="preserve">We implement distinct ORDC curves </w:t>
      </w:r>
      <w:r w:rsidR="00E45392" w:rsidRPr="00C75766">
        <w:rPr>
          <w:rFonts w:ascii="Calibri" w:hAnsi="Calibri" w:cs="Calibri"/>
          <w:color w:val="auto"/>
          <w:sz w:val="22"/>
          <w:szCs w:val="22"/>
        </w:rPr>
        <w:t>for each of the</w:t>
      </w:r>
      <w:r w:rsidRPr="00C75766">
        <w:rPr>
          <w:rFonts w:ascii="Calibri" w:hAnsi="Calibri" w:cs="Calibri"/>
          <w:color w:val="auto"/>
          <w:sz w:val="22"/>
          <w:szCs w:val="22"/>
        </w:rPr>
        <w:t xml:space="preserve"> four seasons each year, and </w:t>
      </w:r>
      <w:r w:rsidR="00E45392" w:rsidRPr="00C75766">
        <w:rPr>
          <w:rFonts w:ascii="Calibri" w:hAnsi="Calibri" w:cs="Calibri"/>
          <w:color w:val="auto"/>
          <w:sz w:val="22"/>
          <w:szCs w:val="22"/>
        </w:rPr>
        <w:t xml:space="preserve">for each of </w:t>
      </w:r>
      <w:r w:rsidRPr="00C75766">
        <w:rPr>
          <w:rFonts w:ascii="Calibri" w:hAnsi="Calibri" w:cs="Calibri"/>
          <w:color w:val="auto"/>
          <w:sz w:val="22"/>
          <w:szCs w:val="22"/>
        </w:rPr>
        <w:t>two types of operating reserves.</w:t>
      </w:r>
      <w:r w:rsidRPr="00C75766">
        <w:rPr>
          <w:rStyle w:val="FootnoteReference"/>
          <w:rFonts w:ascii="Calibri" w:hAnsi="Calibri" w:cs="Calibri"/>
          <w:color w:val="auto"/>
          <w:sz w:val="22"/>
          <w:szCs w:val="22"/>
        </w:rPr>
        <w:footnoteReference w:id="69"/>
      </w:r>
    </w:p>
    <w:p w14:paraId="19C7248C" w14:textId="03AA0DFD" w:rsidR="004B58AD" w:rsidRPr="00310F5E" w:rsidRDefault="004B58AD" w:rsidP="00310F5E">
      <w:pPr>
        <w:pStyle w:val="Caption"/>
        <w:spacing w:after="0"/>
        <w:jc w:val="center"/>
        <w:rPr>
          <w:rFonts w:cs="Calibri"/>
          <w:b/>
          <w:bCs/>
          <w:i w:val="0"/>
          <w:iCs w:val="0"/>
          <w:color w:val="auto"/>
          <w:sz w:val="22"/>
          <w:szCs w:val="22"/>
        </w:rPr>
      </w:pPr>
      <w:bookmarkStart w:id="652" w:name="_Ref377556834"/>
      <w:r w:rsidRPr="00310F5E">
        <w:rPr>
          <w:rFonts w:cs="Calibri"/>
          <w:b/>
          <w:bCs/>
          <w:i w:val="0"/>
          <w:iCs w:val="0"/>
          <w:color w:val="auto"/>
          <w:sz w:val="22"/>
          <w:szCs w:val="22"/>
        </w:rPr>
        <w:t>Figure A1-</w:t>
      </w:r>
      <w:r w:rsidRPr="00310F5E">
        <w:rPr>
          <w:rFonts w:cs="Calibri"/>
          <w:b/>
          <w:bCs/>
          <w:i w:val="0"/>
          <w:iCs w:val="0"/>
          <w:noProof/>
          <w:color w:val="auto"/>
          <w:sz w:val="22"/>
          <w:szCs w:val="22"/>
        </w:rPr>
        <w:fldChar w:fldCharType="begin"/>
      </w:r>
      <w:r w:rsidRPr="00310F5E">
        <w:rPr>
          <w:rFonts w:cs="Calibri"/>
          <w:b/>
          <w:bCs/>
          <w:i w:val="0"/>
          <w:iCs w:val="0"/>
          <w:noProof/>
          <w:color w:val="auto"/>
          <w:sz w:val="22"/>
          <w:szCs w:val="22"/>
        </w:rPr>
        <w:instrText xml:space="preserve"> SEQ Figure_A1- \* ARABIC </w:instrText>
      </w:r>
      <w:r w:rsidRPr="00310F5E">
        <w:rPr>
          <w:rFonts w:cs="Calibri"/>
          <w:b/>
          <w:bCs/>
          <w:i w:val="0"/>
          <w:iCs w:val="0"/>
          <w:noProof/>
          <w:color w:val="auto"/>
          <w:sz w:val="22"/>
          <w:szCs w:val="22"/>
        </w:rPr>
        <w:fldChar w:fldCharType="separate"/>
      </w:r>
      <w:r w:rsidR="009C7344">
        <w:rPr>
          <w:rFonts w:cs="Calibri"/>
          <w:b/>
          <w:bCs/>
          <w:i w:val="0"/>
          <w:iCs w:val="0"/>
          <w:noProof/>
          <w:color w:val="auto"/>
          <w:sz w:val="22"/>
          <w:szCs w:val="22"/>
        </w:rPr>
        <w:t>13</w:t>
      </w:r>
      <w:r w:rsidRPr="00310F5E">
        <w:rPr>
          <w:rFonts w:cs="Calibri"/>
          <w:b/>
          <w:bCs/>
          <w:i w:val="0"/>
          <w:iCs w:val="0"/>
          <w:noProof/>
          <w:color w:val="auto"/>
          <w:sz w:val="22"/>
          <w:szCs w:val="22"/>
        </w:rPr>
        <w:fldChar w:fldCharType="end"/>
      </w:r>
      <w:bookmarkEnd w:id="652"/>
      <w:r w:rsidR="00E456C6" w:rsidRPr="00310F5E">
        <w:rPr>
          <w:rFonts w:cs="Calibri"/>
          <w:b/>
          <w:bCs/>
          <w:i w:val="0"/>
          <w:iCs w:val="0"/>
          <w:noProof/>
          <w:color w:val="auto"/>
          <w:sz w:val="22"/>
          <w:szCs w:val="22"/>
        </w:rPr>
        <w:t xml:space="preserve">. </w:t>
      </w:r>
      <w:r w:rsidRPr="00310F5E">
        <w:rPr>
          <w:rFonts w:cs="Calibri"/>
          <w:b/>
          <w:bCs/>
          <w:i w:val="0"/>
          <w:iCs w:val="0"/>
          <w:color w:val="auto"/>
          <w:sz w:val="22"/>
          <w:szCs w:val="22"/>
        </w:rPr>
        <w:t>Operating Reserve Demand Curves</w:t>
      </w:r>
    </w:p>
    <w:p w14:paraId="07D1D020" w14:textId="77777777" w:rsidR="004B58AD" w:rsidRPr="00310F5E" w:rsidRDefault="004B58AD" w:rsidP="00310F5E">
      <w:pPr>
        <w:pStyle w:val="Caption"/>
        <w:spacing w:after="0"/>
        <w:jc w:val="center"/>
        <w:rPr>
          <w:rFonts w:cs="Calibri"/>
          <w:b/>
          <w:color w:val="auto"/>
          <w:sz w:val="22"/>
          <w:szCs w:val="22"/>
        </w:rPr>
      </w:pPr>
      <w:r w:rsidRPr="00310F5E">
        <w:rPr>
          <w:rFonts w:cs="Calibri"/>
          <w:color w:val="auto"/>
          <w:sz w:val="22"/>
          <w:szCs w:val="22"/>
        </w:rPr>
        <w:t>Example: Summer Hours 15-18</w:t>
      </w:r>
    </w:p>
    <w:p w14:paraId="172A171F" w14:textId="1E216336" w:rsidR="004B58AD" w:rsidRPr="00E456C6" w:rsidRDefault="00F303F9" w:rsidP="00310F5E">
      <w:pPr>
        <w:pStyle w:val="BGInsertGraphic"/>
        <w:spacing w:before="0"/>
        <w:rPr>
          <w:rFonts w:ascii="Calibri" w:hAnsi="Calibri" w:cs="Calibri"/>
          <w:color w:val="C00000"/>
        </w:rPr>
      </w:pPr>
      <w:r>
        <w:rPr>
          <w:rFonts w:ascii="Calibri" w:hAnsi="Calibri" w:cs="Calibri"/>
          <w:noProof/>
          <w:color w:val="C00000"/>
        </w:rPr>
        <w:drawing>
          <wp:inline distT="0" distB="0" distL="0" distR="0" wp14:anchorId="005B3F62" wp14:editId="2D43AB2B">
            <wp:extent cx="4567529" cy="40767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7">
                      <a:extLst>
                        <a:ext uri="{28A0092B-C50C-407E-A947-70E740481C1C}">
                          <a14:useLocalDpi xmlns:a14="http://schemas.microsoft.com/office/drawing/2010/main" val="0"/>
                        </a:ext>
                      </a:extLst>
                    </a:blip>
                    <a:srcRect t="2208"/>
                    <a:stretch/>
                  </pic:blipFill>
                  <pic:spPr bwMode="auto">
                    <a:xfrm>
                      <a:off x="0" y="0"/>
                      <a:ext cx="4572336" cy="4080990"/>
                    </a:xfrm>
                    <a:prstGeom prst="rect">
                      <a:avLst/>
                    </a:prstGeom>
                    <a:noFill/>
                    <a:ln>
                      <a:noFill/>
                    </a:ln>
                    <a:extLst>
                      <a:ext uri="{53640926-AAD7-44D8-BBD7-CCE9431645EC}">
                        <a14:shadowObscured xmlns:a14="http://schemas.microsoft.com/office/drawing/2010/main"/>
                      </a:ext>
                    </a:extLst>
                  </pic:spPr>
                </pic:pic>
              </a:graphicData>
            </a:graphic>
          </wp:inline>
        </w:drawing>
      </w:r>
    </w:p>
    <w:p w14:paraId="44C5BC48" w14:textId="77777777" w:rsidR="004B58AD" w:rsidRPr="00A663C5" w:rsidRDefault="004B58AD" w:rsidP="004B58AD">
      <w:pPr>
        <w:pStyle w:val="BGInsertGraphic"/>
        <w:keepNext/>
        <w:spacing w:before="0"/>
        <w:ind w:left="1260" w:hanging="360"/>
        <w:jc w:val="left"/>
        <w:rPr>
          <w:rFonts w:ascii="Calibri" w:hAnsi="Calibri" w:cs="Calibri"/>
          <w:i/>
          <w:color w:val="auto"/>
          <w:sz w:val="16"/>
        </w:rPr>
      </w:pPr>
      <w:r w:rsidRPr="00A663C5">
        <w:rPr>
          <w:rFonts w:ascii="Calibri" w:hAnsi="Calibri" w:cs="Calibri"/>
          <w:i/>
          <w:color w:val="auto"/>
          <w:sz w:val="16"/>
        </w:rPr>
        <w:t>Sources and Notes:</w:t>
      </w:r>
    </w:p>
    <w:p w14:paraId="70D4DC96" w14:textId="77777777" w:rsidR="004B58AD" w:rsidRPr="00A663C5" w:rsidRDefault="004B58AD" w:rsidP="004B58AD">
      <w:pPr>
        <w:pStyle w:val="BGInsertGraphic"/>
        <w:tabs>
          <w:tab w:val="left" w:pos="1080"/>
        </w:tabs>
        <w:spacing w:before="0"/>
        <w:ind w:left="1260" w:hanging="180"/>
        <w:jc w:val="left"/>
        <w:rPr>
          <w:rFonts w:ascii="Calibri" w:hAnsi="Calibri" w:cs="Calibri"/>
          <w:color w:val="auto"/>
          <w:sz w:val="16"/>
        </w:rPr>
      </w:pPr>
      <w:r w:rsidRPr="00A663C5">
        <w:rPr>
          <w:rFonts w:ascii="Calibri" w:hAnsi="Calibri" w:cs="Calibri"/>
          <w:color w:val="auto"/>
          <w:sz w:val="16"/>
        </w:rPr>
        <w:t>ORDC curves developed consistent with ERCOT (2013).</w:t>
      </w:r>
    </w:p>
    <w:p w14:paraId="311F5CCE" w14:textId="77777777" w:rsidR="004B58AD" w:rsidRPr="00310F5E" w:rsidRDefault="004B58AD" w:rsidP="004B58AD">
      <w:pPr>
        <w:pStyle w:val="BGNormal125"/>
        <w:rPr>
          <w:rFonts w:ascii="Calibri" w:hAnsi="Calibri" w:cs="Calibri"/>
          <w:color w:val="auto"/>
          <w:sz w:val="22"/>
          <w:szCs w:val="22"/>
        </w:rPr>
      </w:pPr>
      <w:r w:rsidRPr="00310F5E">
        <w:rPr>
          <w:rFonts w:ascii="Calibri" w:hAnsi="Calibri" w:cs="Calibri"/>
          <w:color w:val="auto"/>
          <w:sz w:val="22"/>
          <w:szCs w:val="22"/>
        </w:rPr>
        <w:t>The ORDC curves are calculated based on a loss of load probability (LOLP) at each quantity of reserves remaining on the system, multiplied by the value of lost load (VOLL) caused by running short of operating reserves.</w:t>
      </w:r>
      <w:r w:rsidRPr="00310F5E">
        <w:rPr>
          <w:rStyle w:val="FootnoteReference"/>
          <w:rFonts w:ascii="Calibri" w:hAnsi="Calibri" w:cs="Calibri"/>
          <w:color w:val="auto"/>
          <w:sz w:val="22"/>
          <w:szCs w:val="22"/>
        </w:rPr>
        <w:footnoteReference w:id="70"/>
      </w:r>
      <w:r w:rsidRPr="00310F5E">
        <w:rPr>
          <w:rFonts w:ascii="Calibri" w:hAnsi="Calibri" w:cs="Calibri"/>
          <w:color w:val="auto"/>
          <w:sz w:val="22"/>
          <w:szCs w:val="22"/>
        </w:rPr>
        <w:t xml:space="preserve">  This curve reflects the incremental cost imposed by running short of reserves and is added to the marginal energy cost to estimate the total marginal system cost and price.</w:t>
      </w:r>
    </w:p>
    <w:p w14:paraId="1B381D7C" w14:textId="2BA1726A" w:rsidR="004B58AD" w:rsidRPr="00B35DC0" w:rsidRDefault="004B58AD" w:rsidP="002A2715">
      <w:pPr>
        <w:pStyle w:val="BGNormal125"/>
        <w:spacing w:after="240"/>
        <w:rPr>
          <w:rFonts w:ascii="Calibri" w:hAnsi="Calibri" w:cs="Calibri"/>
          <w:color w:val="auto"/>
          <w:sz w:val="22"/>
          <w:szCs w:val="22"/>
        </w:rPr>
      </w:pPr>
      <w:r w:rsidRPr="00B35DC0">
        <w:rPr>
          <w:rFonts w:ascii="Calibri" w:hAnsi="Calibri" w:cs="Calibri"/>
          <w:color w:val="auto"/>
          <w:sz w:val="22"/>
          <w:szCs w:val="22"/>
        </w:rPr>
        <w:t xml:space="preserve">The x-axis of the curve reflects the quantity of operating reserves available at a given time, where: (a) the spin ORDC includes all resources providing regulation up or RRS, suppliers that are online but dispatched below their maximum capacity, </w:t>
      </w:r>
      <w:proofErr w:type="spellStart"/>
      <w:r w:rsidRPr="00B35DC0">
        <w:rPr>
          <w:rFonts w:ascii="Calibri" w:hAnsi="Calibri" w:cs="Calibri"/>
          <w:color w:val="auto"/>
          <w:sz w:val="22"/>
          <w:szCs w:val="22"/>
        </w:rPr>
        <w:t>hydrosynchronous</w:t>
      </w:r>
      <w:proofErr w:type="spellEnd"/>
      <w:r w:rsidRPr="00B35DC0">
        <w:rPr>
          <w:rFonts w:ascii="Calibri" w:hAnsi="Calibri" w:cs="Calibri"/>
          <w:color w:val="auto"/>
          <w:sz w:val="22"/>
          <w:szCs w:val="22"/>
        </w:rPr>
        <w:t xml:space="preserve"> resources, non-controllable load resources, and 10-minute </w:t>
      </w:r>
      <w:proofErr w:type="spellStart"/>
      <w:r w:rsidRPr="00B35DC0">
        <w:rPr>
          <w:rFonts w:ascii="Calibri" w:hAnsi="Calibri" w:cs="Calibri"/>
          <w:color w:val="auto"/>
          <w:sz w:val="22"/>
          <w:szCs w:val="22"/>
        </w:rPr>
        <w:t>quickstart</w:t>
      </w:r>
      <w:proofErr w:type="spellEnd"/>
      <w:r w:rsidRPr="00B35DC0">
        <w:rPr>
          <w:rFonts w:ascii="Calibri" w:hAnsi="Calibri" w:cs="Calibri"/>
          <w:color w:val="auto"/>
          <w:sz w:val="22"/>
          <w:szCs w:val="22"/>
        </w:rPr>
        <w:t xml:space="preserve">; and (b) the spin + non-spin ORDC include all resources contributing to the spin x-axis as well as any resources providing NSRS and all 30-minute </w:t>
      </w:r>
      <w:proofErr w:type="spellStart"/>
      <w:r w:rsidRPr="00B35DC0">
        <w:rPr>
          <w:rFonts w:ascii="Calibri" w:hAnsi="Calibri" w:cs="Calibri"/>
          <w:color w:val="auto"/>
          <w:sz w:val="22"/>
          <w:szCs w:val="22"/>
        </w:rPr>
        <w:t>quickstart</w:t>
      </w:r>
      <w:proofErr w:type="spellEnd"/>
      <w:r w:rsidRPr="00B35DC0">
        <w:rPr>
          <w:rFonts w:ascii="Calibri" w:hAnsi="Calibri" w:cs="Calibri"/>
          <w:color w:val="auto"/>
          <w:sz w:val="22"/>
          <w:szCs w:val="22"/>
        </w:rPr>
        <w:t xml:space="preserve"> units.  </w:t>
      </w:r>
      <w:r w:rsidRPr="00A663C5">
        <w:rPr>
          <w:rFonts w:ascii="Calibri" w:hAnsi="Calibri" w:cs="Calibri"/>
          <w:color w:val="auto"/>
          <w:sz w:val="22"/>
          <w:szCs w:val="22"/>
        </w:rPr>
        <w:fldChar w:fldCharType="begin"/>
      </w:r>
      <w:r w:rsidRPr="00B35DC0">
        <w:rPr>
          <w:rFonts w:ascii="Calibri" w:hAnsi="Calibri" w:cs="Calibri"/>
          <w:color w:val="auto"/>
          <w:sz w:val="22"/>
          <w:szCs w:val="22"/>
        </w:rPr>
        <w:instrText xml:space="preserve"> REF _Ref377564118 \h </w:instrText>
      </w:r>
      <w:r w:rsidR="0050215D" w:rsidRPr="00B35DC0">
        <w:rPr>
          <w:rFonts w:ascii="Calibri" w:hAnsi="Calibri" w:cs="Calibri"/>
          <w:color w:val="auto"/>
          <w:sz w:val="22"/>
          <w:szCs w:val="22"/>
        </w:rPr>
        <w:instrText xml:space="preserve"> \* MERGEFORMAT </w:instrText>
      </w:r>
      <w:r w:rsidRPr="00A663C5">
        <w:rPr>
          <w:rFonts w:ascii="Calibri" w:hAnsi="Calibri" w:cs="Calibri"/>
          <w:color w:val="auto"/>
          <w:sz w:val="22"/>
          <w:szCs w:val="22"/>
        </w:rPr>
      </w:r>
      <w:r w:rsidRPr="00A663C5">
        <w:rPr>
          <w:rFonts w:ascii="Calibri" w:hAnsi="Calibri" w:cs="Calibri"/>
          <w:color w:val="auto"/>
          <w:sz w:val="22"/>
          <w:szCs w:val="22"/>
        </w:rPr>
        <w:fldChar w:fldCharType="separate"/>
      </w:r>
      <w:r w:rsidR="00B35DC0" w:rsidRPr="00A663C5">
        <w:rPr>
          <w:rFonts w:ascii="Calibri" w:hAnsi="Calibri" w:cs="Calibri"/>
          <w:color w:val="auto"/>
          <w:sz w:val="22"/>
          <w:szCs w:val="22"/>
        </w:rPr>
        <w:t>Table A1-9</w:t>
      </w:r>
      <w:r w:rsidRPr="00A663C5">
        <w:rPr>
          <w:rFonts w:ascii="Calibri" w:hAnsi="Calibri" w:cs="Calibri"/>
          <w:color w:val="auto"/>
          <w:sz w:val="22"/>
          <w:szCs w:val="22"/>
        </w:rPr>
        <w:fldChar w:fldCharType="end"/>
      </w:r>
      <w:r w:rsidRPr="00B35DC0">
        <w:rPr>
          <w:rFonts w:ascii="Calibri" w:hAnsi="Calibri" w:cs="Calibri"/>
          <w:color w:val="auto"/>
          <w:sz w:val="22"/>
          <w:szCs w:val="22"/>
        </w:rPr>
        <w:t xml:space="preserve"> provides a summary of the resources that are always available to contribute to the ORDC x-axis unless they have been dispatched for energy although the realized ORDC x-axis can be higher (if other resources are committed but not outputting at their maximum capability) or lower (during peaking conditions when some of the below resources are dispatched for energy).</w:t>
      </w:r>
      <w:r w:rsidRPr="00A663C5">
        <w:rPr>
          <w:rStyle w:val="FootnoteReference"/>
          <w:rFonts w:ascii="Calibri" w:hAnsi="Calibri" w:cs="Calibri"/>
          <w:color w:val="auto"/>
          <w:sz w:val="22"/>
          <w:szCs w:val="22"/>
        </w:rPr>
        <w:footnoteReference w:id="71"/>
      </w:r>
    </w:p>
    <w:p w14:paraId="0BA85C35" w14:textId="6BAF0F91" w:rsidR="004B58AD" w:rsidRPr="00B35DC0" w:rsidRDefault="004B58AD" w:rsidP="00835639">
      <w:pPr>
        <w:pStyle w:val="Caption"/>
        <w:jc w:val="center"/>
        <w:rPr>
          <w:rFonts w:cs="Calibri"/>
          <w:b/>
          <w:bCs/>
          <w:i w:val="0"/>
          <w:iCs w:val="0"/>
          <w:color w:val="auto"/>
          <w:sz w:val="22"/>
          <w:szCs w:val="22"/>
        </w:rPr>
      </w:pPr>
      <w:bookmarkStart w:id="653" w:name="_Ref377564118"/>
      <w:r w:rsidRPr="00B35DC0">
        <w:rPr>
          <w:rFonts w:cs="Calibri"/>
          <w:b/>
          <w:bCs/>
          <w:i w:val="0"/>
          <w:iCs w:val="0"/>
          <w:color w:val="auto"/>
          <w:sz w:val="22"/>
          <w:szCs w:val="22"/>
        </w:rPr>
        <w:t>Table A1-</w:t>
      </w:r>
      <w:r w:rsidRPr="00A663C5">
        <w:rPr>
          <w:rFonts w:cs="Calibri"/>
          <w:b/>
          <w:bCs/>
          <w:i w:val="0"/>
          <w:iCs w:val="0"/>
          <w:noProof/>
          <w:color w:val="auto"/>
          <w:sz w:val="22"/>
          <w:szCs w:val="22"/>
        </w:rPr>
        <w:fldChar w:fldCharType="begin"/>
      </w:r>
      <w:r w:rsidRPr="00B35DC0">
        <w:rPr>
          <w:rFonts w:cs="Calibri"/>
          <w:b/>
          <w:bCs/>
          <w:i w:val="0"/>
          <w:iCs w:val="0"/>
          <w:noProof/>
          <w:color w:val="auto"/>
          <w:sz w:val="22"/>
          <w:szCs w:val="22"/>
        </w:rPr>
        <w:instrText xml:space="preserve"> SEQ Table_A1- \* ARABIC </w:instrText>
      </w:r>
      <w:r w:rsidRPr="00A663C5">
        <w:rPr>
          <w:rFonts w:cs="Calibri"/>
          <w:b/>
          <w:bCs/>
          <w:i w:val="0"/>
          <w:iCs w:val="0"/>
          <w:noProof/>
          <w:color w:val="auto"/>
          <w:sz w:val="22"/>
          <w:szCs w:val="22"/>
        </w:rPr>
        <w:fldChar w:fldCharType="separate"/>
      </w:r>
      <w:r w:rsidR="00B35DC0">
        <w:rPr>
          <w:rFonts w:cs="Calibri"/>
          <w:b/>
          <w:bCs/>
          <w:i w:val="0"/>
          <w:iCs w:val="0"/>
          <w:noProof/>
          <w:color w:val="auto"/>
          <w:sz w:val="22"/>
          <w:szCs w:val="22"/>
        </w:rPr>
        <w:t>9</w:t>
      </w:r>
      <w:r w:rsidRPr="00A663C5">
        <w:rPr>
          <w:rFonts w:cs="Calibri"/>
          <w:b/>
          <w:bCs/>
          <w:i w:val="0"/>
          <w:iCs w:val="0"/>
          <w:noProof/>
          <w:color w:val="auto"/>
          <w:sz w:val="22"/>
          <w:szCs w:val="22"/>
        </w:rPr>
        <w:fldChar w:fldCharType="end"/>
      </w:r>
      <w:bookmarkEnd w:id="653"/>
      <w:r w:rsidR="0050215D" w:rsidRPr="00B35DC0">
        <w:rPr>
          <w:rFonts w:cs="Calibri"/>
          <w:b/>
          <w:bCs/>
          <w:i w:val="0"/>
          <w:iCs w:val="0"/>
          <w:noProof/>
          <w:color w:val="auto"/>
          <w:sz w:val="22"/>
          <w:szCs w:val="22"/>
        </w:rPr>
        <w:t xml:space="preserve">. </w:t>
      </w:r>
      <w:r w:rsidRPr="00B35DC0">
        <w:rPr>
          <w:rFonts w:cs="Calibri"/>
          <w:b/>
          <w:bCs/>
          <w:i w:val="0"/>
          <w:iCs w:val="0"/>
          <w:color w:val="auto"/>
          <w:sz w:val="22"/>
          <w:szCs w:val="22"/>
        </w:rPr>
        <w:t>Resources Always Contributing to ORDC X-Axis</w:t>
      </w:r>
      <w:r w:rsidR="005541C9" w:rsidRPr="00B35DC0">
        <w:rPr>
          <w:rFonts w:cs="Calibri"/>
          <w:b/>
          <w:bCs/>
          <w:i w:val="0"/>
          <w:iCs w:val="0"/>
          <w:color w:val="auto"/>
          <w:sz w:val="22"/>
          <w:szCs w:val="22"/>
        </w:rPr>
        <w:t xml:space="preserve"> </w:t>
      </w:r>
      <w:r w:rsidRPr="00B35DC0">
        <w:rPr>
          <w:rFonts w:cs="Calibri"/>
          <w:b/>
          <w:bCs/>
          <w:i w:val="0"/>
          <w:iCs w:val="0"/>
          <w:color w:val="auto"/>
          <w:sz w:val="22"/>
          <w:szCs w:val="22"/>
        </w:rPr>
        <w:t>Unless Dispatched for Energy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170"/>
        <w:gridCol w:w="1080"/>
      </w:tblGrid>
      <w:tr w:rsidR="00BC0BD3" w14:paraId="3C31D870" w14:textId="77777777" w:rsidTr="00A663C5">
        <w:trPr>
          <w:jc w:val="center"/>
        </w:trPr>
        <w:tc>
          <w:tcPr>
            <w:tcW w:w="3600" w:type="dxa"/>
            <w:shd w:val="clear" w:color="auto" w:fill="D9D9D9" w:themeFill="background1" w:themeFillShade="D9"/>
          </w:tcPr>
          <w:p w14:paraId="344573F4" w14:textId="27DD869E" w:rsidR="00BC0BD3" w:rsidRPr="00A663C5" w:rsidRDefault="00BC0BD3" w:rsidP="00835639">
            <w:pPr>
              <w:spacing w:after="0"/>
              <w:rPr>
                <w:b/>
                <w:bCs/>
              </w:rPr>
            </w:pPr>
            <w:r w:rsidRPr="00A663C5">
              <w:rPr>
                <w:b/>
                <w:bCs/>
              </w:rPr>
              <w:t>Spin X-Axis</w:t>
            </w:r>
          </w:p>
        </w:tc>
        <w:tc>
          <w:tcPr>
            <w:tcW w:w="1170" w:type="dxa"/>
            <w:shd w:val="clear" w:color="auto" w:fill="D9D9D9" w:themeFill="background1" w:themeFillShade="D9"/>
          </w:tcPr>
          <w:p w14:paraId="677E1980" w14:textId="77777777" w:rsidR="00BC0BD3" w:rsidRDefault="00BC0BD3" w:rsidP="00835639">
            <w:pPr>
              <w:spacing w:after="0"/>
            </w:pPr>
          </w:p>
        </w:tc>
        <w:tc>
          <w:tcPr>
            <w:tcW w:w="1080" w:type="dxa"/>
            <w:shd w:val="clear" w:color="auto" w:fill="D9D9D9" w:themeFill="background1" w:themeFillShade="D9"/>
          </w:tcPr>
          <w:p w14:paraId="6BA536BD" w14:textId="77777777" w:rsidR="00BC0BD3" w:rsidRDefault="00BC0BD3" w:rsidP="00835639">
            <w:pPr>
              <w:spacing w:after="0"/>
            </w:pPr>
          </w:p>
        </w:tc>
      </w:tr>
      <w:tr w:rsidR="00BC0BD3" w14:paraId="319CEC09" w14:textId="77777777" w:rsidTr="00A663C5">
        <w:trPr>
          <w:jc w:val="center"/>
        </w:trPr>
        <w:tc>
          <w:tcPr>
            <w:tcW w:w="3600" w:type="dxa"/>
          </w:tcPr>
          <w:p w14:paraId="5F490A31" w14:textId="587C8141" w:rsidR="00BC0BD3" w:rsidRDefault="00CE08B4" w:rsidP="00835639">
            <w:pPr>
              <w:spacing w:after="0"/>
            </w:pPr>
            <w:r>
              <w:t xml:space="preserve">     </w:t>
            </w:r>
            <w:proofErr w:type="spellStart"/>
            <w:r w:rsidR="00BC0BD3">
              <w:t>Hydrosynchronous</w:t>
            </w:r>
            <w:proofErr w:type="spellEnd"/>
            <w:r w:rsidR="00BC0BD3">
              <w:t xml:space="preserve"> Resources</w:t>
            </w:r>
          </w:p>
        </w:tc>
        <w:tc>
          <w:tcPr>
            <w:tcW w:w="1170" w:type="dxa"/>
          </w:tcPr>
          <w:p w14:paraId="1018DAE9" w14:textId="2A99776A" w:rsidR="00BC0BD3" w:rsidRDefault="00BC0BD3" w:rsidP="00835639">
            <w:pPr>
              <w:spacing w:after="0"/>
            </w:pPr>
            <w:r>
              <w:t>(MW)</w:t>
            </w:r>
          </w:p>
        </w:tc>
        <w:tc>
          <w:tcPr>
            <w:tcW w:w="1080" w:type="dxa"/>
          </w:tcPr>
          <w:p w14:paraId="2492DFB5" w14:textId="69E4703F" w:rsidR="00BC0BD3" w:rsidRDefault="00BC0BD3" w:rsidP="00835639">
            <w:pPr>
              <w:spacing w:after="0"/>
            </w:pPr>
            <w:r>
              <w:t>245</w:t>
            </w:r>
          </w:p>
        </w:tc>
      </w:tr>
      <w:tr w:rsidR="00BC0BD3" w14:paraId="3145C252" w14:textId="77777777" w:rsidTr="00A663C5">
        <w:trPr>
          <w:jc w:val="center"/>
        </w:trPr>
        <w:tc>
          <w:tcPr>
            <w:tcW w:w="3600" w:type="dxa"/>
          </w:tcPr>
          <w:p w14:paraId="6C17E178" w14:textId="3A346FE2" w:rsidR="00BC0BD3" w:rsidRDefault="00CE08B4" w:rsidP="00835639">
            <w:pPr>
              <w:spacing w:after="0"/>
            </w:pPr>
            <w:r>
              <w:t xml:space="preserve">     </w:t>
            </w:r>
            <w:r w:rsidR="00BC0BD3">
              <w:t>Non-Controllable Load Resources</w:t>
            </w:r>
          </w:p>
        </w:tc>
        <w:tc>
          <w:tcPr>
            <w:tcW w:w="1170" w:type="dxa"/>
          </w:tcPr>
          <w:p w14:paraId="6B31AE61" w14:textId="6D0F3D92" w:rsidR="00BC0BD3" w:rsidRDefault="00BC0BD3" w:rsidP="00835639">
            <w:pPr>
              <w:spacing w:after="0"/>
            </w:pPr>
            <w:r>
              <w:t>(MW)</w:t>
            </w:r>
          </w:p>
        </w:tc>
        <w:tc>
          <w:tcPr>
            <w:tcW w:w="1080" w:type="dxa"/>
          </w:tcPr>
          <w:p w14:paraId="6BFBADC1" w14:textId="4CC27EFE" w:rsidR="00BC0BD3" w:rsidRDefault="00BC0BD3" w:rsidP="00835639">
            <w:pPr>
              <w:spacing w:after="0"/>
            </w:pPr>
            <w:r>
              <w:t>1,172</w:t>
            </w:r>
          </w:p>
        </w:tc>
      </w:tr>
      <w:tr w:rsidR="00BC0BD3" w14:paraId="5178A645" w14:textId="77777777" w:rsidTr="00A663C5">
        <w:trPr>
          <w:jc w:val="center"/>
        </w:trPr>
        <w:tc>
          <w:tcPr>
            <w:tcW w:w="3600" w:type="dxa"/>
            <w:shd w:val="clear" w:color="auto" w:fill="D9D9D9" w:themeFill="background1" w:themeFillShade="D9"/>
          </w:tcPr>
          <w:p w14:paraId="5C3C8B58" w14:textId="29A1E9D4" w:rsidR="00BC0BD3" w:rsidRPr="00A663C5" w:rsidRDefault="00BC0BD3" w:rsidP="00835639">
            <w:pPr>
              <w:spacing w:after="0"/>
              <w:rPr>
                <w:b/>
                <w:bCs/>
              </w:rPr>
            </w:pPr>
            <w:r w:rsidRPr="00A663C5">
              <w:rPr>
                <w:b/>
                <w:bCs/>
              </w:rPr>
              <w:t>Non-Spin X-Axis</w:t>
            </w:r>
          </w:p>
        </w:tc>
        <w:tc>
          <w:tcPr>
            <w:tcW w:w="1170" w:type="dxa"/>
            <w:shd w:val="clear" w:color="auto" w:fill="D9D9D9" w:themeFill="background1" w:themeFillShade="D9"/>
          </w:tcPr>
          <w:p w14:paraId="19BA9AB8" w14:textId="77777777" w:rsidR="00BC0BD3" w:rsidRDefault="00BC0BD3" w:rsidP="00835639">
            <w:pPr>
              <w:spacing w:after="0"/>
            </w:pPr>
          </w:p>
        </w:tc>
        <w:tc>
          <w:tcPr>
            <w:tcW w:w="1080" w:type="dxa"/>
            <w:shd w:val="clear" w:color="auto" w:fill="D9D9D9" w:themeFill="background1" w:themeFillShade="D9"/>
          </w:tcPr>
          <w:p w14:paraId="26CE3FF7" w14:textId="77777777" w:rsidR="00BC0BD3" w:rsidRDefault="00BC0BD3" w:rsidP="00835639">
            <w:pPr>
              <w:spacing w:after="0"/>
            </w:pPr>
          </w:p>
        </w:tc>
      </w:tr>
      <w:tr w:rsidR="00BC0BD3" w14:paraId="2E1CF961" w14:textId="77777777" w:rsidTr="00A663C5">
        <w:trPr>
          <w:jc w:val="center"/>
        </w:trPr>
        <w:tc>
          <w:tcPr>
            <w:tcW w:w="3600" w:type="dxa"/>
          </w:tcPr>
          <w:p w14:paraId="1C8F801B" w14:textId="06BA07D6" w:rsidR="00BC0BD3" w:rsidRDefault="00CE08B4" w:rsidP="00835639">
            <w:pPr>
              <w:spacing w:after="0"/>
            </w:pPr>
            <w:r>
              <w:t xml:space="preserve">     </w:t>
            </w:r>
            <w:r w:rsidR="00BC0BD3">
              <w:t xml:space="preserve">30-Minute </w:t>
            </w:r>
            <w:proofErr w:type="spellStart"/>
            <w:r w:rsidR="00BC0BD3">
              <w:t>Quickstart</w:t>
            </w:r>
            <w:proofErr w:type="spellEnd"/>
          </w:p>
        </w:tc>
        <w:tc>
          <w:tcPr>
            <w:tcW w:w="1170" w:type="dxa"/>
          </w:tcPr>
          <w:p w14:paraId="483259E2" w14:textId="1976FEE7" w:rsidR="00BC0BD3" w:rsidRDefault="00BC0BD3" w:rsidP="00835639">
            <w:pPr>
              <w:spacing w:after="0"/>
            </w:pPr>
            <w:r>
              <w:t>(MW)</w:t>
            </w:r>
          </w:p>
        </w:tc>
        <w:tc>
          <w:tcPr>
            <w:tcW w:w="1080" w:type="dxa"/>
          </w:tcPr>
          <w:p w14:paraId="4EAF1748" w14:textId="1C742E2E" w:rsidR="00BC0BD3" w:rsidRDefault="00BC0BD3" w:rsidP="00835639">
            <w:pPr>
              <w:spacing w:after="0"/>
            </w:pPr>
            <w:r>
              <w:t>5,206</w:t>
            </w:r>
          </w:p>
        </w:tc>
      </w:tr>
      <w:tr w:rsidR="00BC0BD3" w14:paraId="46D9FD35" w14:textId="77777777" w:rsidTr="00A663C5">
        <w:trPr>
          <w:jc w:val="center"/>
        </w:trPr>
        <w:tc>
          <w:tcPr>
            <w:tcW w:w="3600" w:type="dxa"/>
            <w:shd w:val="clear" w:color="auto" w:fill="D9D9D9" w:themeFill="background1" w:themeFillShade="D9"/>
          </w:tcPr>
          <w:p w14:paraId="2897B802" w14:textId="2FC4469F" w:rsidR="00BC0BD3" w:rsidRPr="00A663C5" w:rsidRDefault="00BC0BD3" w:rsidP="00835639">
            <w:pPr>
              <w:spacing w:after="0"/>
              <w:rPr>
                <w:b/>
                <w:bCs/>
              </w:rPr>
            </w:pPr>
            <w:r w:rsidRPr="00A663C5">
              <w:rPr>
                <w:b/>
                <w:bCs/>
              </w:rPr>
              <w:t>Total Spin + Non-Spin</w:t>
            </w:r>
          </w:p>
        </w:tc>
        <w:tc>
          <w:tcPr>
            <w:tcW w:w="1170" w:type="dxa"/>
            <w:shd w:val="clear" w:color="auto" w:fill="D9D9D9" w:themeFill="background1" w:themeFillShade="D9"/>
          </w:tcPr>
          <w:p w14:paraId="5F7B004A" w14:textId="01294FA8" w:rsidR="00BC0BD3" w:rsidRPr="00A663C5" w:rsidRDefault="00BC0BD3" w:rsidP="00835639">
            <w:pPr>
              <w:spacing w:after="0"/>
              <w:rPr>
                <w:b/>
                <w:bCs/>
              </w:rPr>
            </w:pPr>
            <w:r w:rsidRPr="00A663C5">
              <w:rPr>
                <w:b/>
                <w:bCs/>
              </w:rPr>
              <w:t>(MW)</w:t>
            </w:r>
          </w:p>
        </w:tc>
        <w:tc>
          <w:tcPr>
            <w:tcW w:w="1080" w:type="dxa"/>
            <w:shd w:val="clear" w:color="auto" w:fill="D9D9D9" w:themeFill="background1" w:themeFillShade="D9"/>
          </w:tcPr>
          <w:p w14:paraId="0CC6EF60" w14:textId="4EF0AD08" w:rsidR="00BC0BD3" w:rsidRPr="00A663C5" w:rsidRDefault="00CE08B4" w:rsidP="00835639">
            <w:pPr>
              <w:spacing w:after="0"/>
              <w:rPr>
                <w:b/>
                <w:bCs/>
              </w:rPr>
            </w:pPr>
            <w:r w:rsidRPr="00A663C5">
              <w:rPr>
                <w:b/>
                <w:bCs/>
              </w:rPr>
              <w:t>6,623</w:t>
            </w:r>
          </w:p>
        </w:tc>
      </w:tr>
    </w:tbl>
    <w:p w14:paraId="54E60783" w14:textId="35F51D52" w:rsidR="004B58AD" w:rsidRPr="00B05DC3" w:rsidRDefault="004B58AD" w:rsidP="00FF088B">
      <w:pPr>
        <w:pStyle w:val="BGInsertGraphic"/>
        <w:jc w:val="left"/>
        <w:rPr>
          <w:rStyle w:val="CommentReference"/>
          <w:color w:val="auto"/>
        </w:rPr>
      </w:pPr>
      <w:r w:rsidRPr="005B6F33">
        <w:rPr>
          <w:color w:val="6A7277" w:themeColor="accent1"/>
        </w:rPr>
        <w:t xml:space="preserve"> </w:t>
      </w:r>
    </w:p>
    <w:p w14:paraId="7F81DE25" w14:textId="620F9024" w:rsidR="004B58AD" w:rsidRPr="00A663C5" w:rsidRDefault="004B58AD" w:rsidP="004B58AD">
      <w:pPr>
        <w:pStyle w:val="BGNormal125"/>
        <w:rPr>
          <w:rFonts w:ascii="Calibri" w:hAnsi="Calibri" w:cs="Calibri"/>
          <w:color w:val="auto"/>
          <w:sz w:val="22"/>
          <w:szCs w:val="22"/>
        </w:rPr>
      </w:pPr>
      <w:r w:rsidRPr="00A663C5">
        <w:rPr>
          <w:rFonts w:ascii="Calibri" w:hAnsi="Calibri" w:cs="Calibri"/>
          <w:color w:val="auto"/>
          <w:sz w:val="22"/>
          <w:szCs w:val="22"/>
        </w:rPr>
        <w:t xml:space="preserve">The red and pink curves in </w:t>
      </w:r>
      <w:r w:rsidRPr="00A663C5">
        <w:rPr>
          <w:rFonts w:ascii="Calibri" w:hAnsi="Calibri" w:cs="Calibri"/>
          <w:color w:val="auto"/>
          <w:sz w:val="22"/>
          <w:szCs w:val="22"/>
        </w:rPr>
        <w:fldChar w:fldCharType="begin"/>
      </w:r>
      <w:r w:rsidRPr="00A663C5">
        <w:rPr>
          <w:rFonts w:ascii="Calibri" w:hAnsi="Calibri" w:cs="Calibri"/>
          <w:color w:val="auto"/>
          <w:sz w:val="22"/>
          <w:szCs w:val="22"/>
        </w:rPr>
        <w:instrText xml:space="preserve"> REF _Ref377556834 \h </w:instrText>
      </w:r>
      <w:r w:rsidR="0050215D" w:rsidRPr="00A663C5">
        <w:rPr>
          <w:rFonts w:ascii="Calibri" w:hAnsi="Calibri" w:cs="Calibri"/>
          <w:color w:val="auto"/>
          <w:sz w:val="22"/>
          <w:szCs w:val="22"/>
        </w:rPr>
        <w:instrText xml:space="preserve"> \* MERGEFORMAT </w:instrText>
      </w:r>
      <w:r w:rsidRPr="00A663C5">
        <w:rPr>
          <w:rFonts w:ascii="Calibri" w:hAnsi="Calibri" w:cs="Calibri"/>
          <w:color w:val="auto"/>
          <w:sz w:val="22"/>
          <w:szCs w:val="22"/>
        </w:rPr>
      </w:r>
      <w:r w:rsidRPr="00A663C5">
        <w:rPr>
          <w:rFonts w:ascii="Calibri" w:hAnsi="Calibri" w:cs="Calibri"/>
          <w:color w:val="auto"/>
          <w:sz w:val="22"/>
          <w:szCs w:val="22"/>
        </w:rPr>
        <w:fldChar w:fldCharType="separate"/>
      </w:r>
      <w:r w:rsidR="009C7344" w:rsidRPr="0009094A">
        <w:rPr>
          <w:rFonts w:ascii="Calibri" w:hAnsi="Calibri" w:cs="Calibri"/>
          <w:color w:val="auto"/>
          <w:sz w:val="22"/>
          <w:szCs w:val="22"/>
        </w:rPr>
        <w:t>Figure A1-13</w:t>
      </w:r>
      <w:r w:rsidRPr="00A663C5">
        <w:rPr>
          <w:rFonts w:ascii="Calibri" w:hAnsi="Calibri" w:cs="Calibri"/>
          <w:color w:val="auto"/>
          <w:sz w:val="22"/>
          <w:szCs w:val="22"/>
        </w:rPr>
        <w:fldChar w:fldCharType="end"/>
      </w:r>
      <w:r w:rsidRPr="00A663C5">
        <w:rPr>
          <w:rFonts w:ascii="Calibri" w:hAnsi="Calibri" w:cs="Calibri"/>
          <w:color w:val="auto"/>
          <w:sz w:val="22"/>
          <w:szCs w:val="22"/>
        </w:rPr>
        <w:t xml:space="preserve"> show the ORDC curves used for price-setting purposes, calculated as if ERCOT would shed load at an ORDC x-axis of X = 2,000 MW.  However, as we explained in Appendix 1.</w:t>
      </w:r>
      <w:r w:rsidRPr="00A663C5">
        <w:rPr>
          <w:rFonts w:ascii="Calibri" w:hAnsi="Calibri" w:cs="Calibri"/>
          <w:color w:val="auto"/>
          <w:sz w:val="22"/>
          <w:szCs w:val="22"/>
        </w:rPr>
        <w:fldChar w:fldCharType="begin"/>
      </w:r>
      <w:r w:rsidRPr="00A663C5">
        <w:rPr>
          <w:rFonts w:ascii="Calibri" w:hAnsi="Calibri" w:cs="Calibri"/>
          <w:color w:val="auto"/>
          <w:sz w:val="22"/>
          <w:szCs w:val="22"/>
        </w:rPr>
        <w:instrText xml:space="preserve"> REF _Ref526448445 \n \h </w:instrText>
      </w:r>
      <w:r w:rsidR="0050215D" w:rsidRPr="00A663C5">
        <w:rPr>
          <w:rFonts w:ascii="Calibri" w:hAnsi="Calibri" w:cs="Calibri"/>
          <w:color w:val="auto"/>
          <w:sz w:val="22"/>
          <w:szCs w:val="22"/>
        </w:rPr>
        <w:instrText xml:space="preserve"> \* MERGEFORMAT </w:instrText>
      </w:r>
      <w:r w:rsidRPr="00A663C5">
        <w:rPr>
          <w:rFonts w:ascii="Calibri" w:hAnsi="Calibri" w:cs="Calibri"/>
          <w:color w:val="auto"/>
          <w:sz w:val="22"/>
          <w:szCs w:val="22"/>
        </w:rPr>
      </w:r>
      <w:r w:rsidRPr="00A663C5">
        <w:rPr>
          <w:rFonts w:ascii="Calibri" w:hAnsi="Calibri" w:cs="Calibri"/>
          <w:color w:val="auto"/>
          <w:sz w:val="22"/>
          <w:szCs w:val="22"/>
        </w:rPr>
        <w:fldChar w:fldCharType="separate"/>
      </w:r>
      <w:r w:rsidRPr="00A663C5">
        <w:rPr>
          <w:rFonts w:ascii="Calibri" w:hAnsi="Calibri" w:cs="Calibri"/>
          <w:color w:val="auto"/>
          <w:sz w:val="22"/>
          <w:szCs w:val="22"/>
        </w:rPr>
        <w:t>E</w:t>
      </w:r>
      <w:r w:rsidRPr="00A663C5">
        <w:rPr>
          <w:rFonts w:ascii="Calibri" w:hAnsi="Calibri" w:cs="Calibri"/>
          <w:color w:val="auto"/>
          <w:sz w:val="22"/>
          <w:szCs w:val="22"/>
        </w:rPr>
        <w:fldChar w:fldCharType="end"/>
      </w:r>
      <w:r w:rsidRPr="00A663C5">
        <w:rPr>
          <w:rFonts w:ascii="Calibri" w:hAnsi="Calibri" w:cs="Calibri"/>
          <w:color w:val="auto"/>
          <w:sz w:val="22"/>
          <w:szCs w:val="22"/>
        </w:rPr>
        <w:t>.</w:t>
      </w:r>
      <w:r w:rsidRPr="00A663C5">
        <w:rPr>
          <w:rFonts w:ascii="Calibri" w:hAnsi="Calibri" w:cs="Calibri"/>
          <w:color w:val="auto"/>
          <w:sz w:val="22"/>
          <w:szCs w:val="22"/>
        </w:rPr>
        <w:fldChar w:fldCharType="begin"/>
      </w:r>
      <w:r w:rsidRPr="00A663C5">
        <w:rPr>
          <w:rFonts w:ascii="Calibri" w:hAnsi="Calibri" w:cs="Calibri"/>
          <w:color w:val="auto"/>
          <w:sz w:val="22"/>
          <w:szCs w:val="22"/>
        </w:rPr>
        <w:instrText xml:space="preserve"> REF _Ref526448455 \n \h </w:instrText>
      </w:r>
      <w:r w:rsidR="0050215D" w:rsidRPr="00A663C5">
        <w:rPr>
          <w:rFonts w:ascii="Calibri" w:hAnsi="Calibri" w:cs="Calibri"/>
          <w:color w:val="auto"/>
          <w:sz w:val="22"/>
          <w:szCs w:val="22"/>
        </w:rPr>
        <w:instrText xml:space="preserve"> \* MERGEFORMAT </w:instrText>
      </w:r>
      <w:r w:rsidRPr="00A663C5">
        <w:rPr>
          <w:rFonts w:ascii="Calibri" w:hAnsi="Calibri" w:cs="Calibri"/>
          <w:color w:val="auto"/>
          <w:sz w:val="22"/>
          <w:szCs w:val="22"/>
        </w:rPr>
      </w:r>
      <w:r w:rsidRPr="00A663C5">
        <w:rPr>
          <w:rFonts w:ascii="Calibri" w:hAnsi="Calibri" w:cs="Calibri"/>
          <w:color w:val="auto"/>
          <w:sz w:val="22"/>
          <w:szCs w:val="22"/>
        </w:rPr>
        <w:fldChar w:fldCharType="separate"/>
      </w:r>
      <w:r w:rsidRPr="00A663C5">
        <w:rPr>
          <w:rFonts w:ascii="Calibri" w:hAnsi="Calibri" w:cs="Calibri"/>
          <w:color w:val="auto"/>
          <w:sz w:val="22"/>
          <w:szCs w:val="22"/>
        </w:rPr>
        <w:t>2</w:t>
      </w:r>
      <w:r w:rsidRPr="00A663C5">
        <w:rPr>
          <w:rFonts w:ascii="Calibri" w:hAnsi="Calibri" w:cs="Calibri"/>
          <w:color w:val="auto"/>
          <w:sz w:val="22"/>
          <w:szCs w:val="22"/>
        </w:rPr>
        <w:fldChar w:fldCharType="end"/>
      </w:r>
      <w:r w:rsidRPr="00A663C5">
        <w:rPr>
          <w:rFonts w:ascii="Calibri" w:hAnsi="Calibri" w:cs="Calibri"/>
          <w:color w:val="auto"/>
          <w:sz w:val="22"/>
          <w:szCs w:val="22"/>
        </w:rPr>
        <w:t xml:space="preserve"> above, we assume that load shedding will actually occur at X = 1,000 MW based on our analysis of </w:t>
      </w:r>
      <w:r w:rsidR="00FF088B">
        <w:rPr>
          <w:rFonts w:ascii="Calibri" w:hAnsi="Calibri" w:cs="Calibri"/>
          <w:color w:val="auto"/>
          <w:sz w:val="22"/>
          <w:szCs w:val="22"/>
        </w:rPr>
        <w:t>historical</w:t>
      </w:r>
      <w:r w:rsidR="00FF088B" w:rsidRPr="00A663C5">
        <w:rPr>
          <w:rFonts w:ascii="Calibri" w:hAnsi="Calibri" w:cs="Calibri"/>
          <w:color w:val="auto"/>
          <w:sz w:val="22"/>
          <w:szCs w:val="22"/>
        </w:rPr>
        <w:t xml:space="preserve"> </w:t>
      </w:r>
      <w:r w:rsidRPr="00A663C5">
        <w:rPr>
          <w:rFonts w:ascii="Calibri" w:hAnsi="Calibri" w:cs="Calibri"/>
          <w:color w:val="auto"/>
          <w:sz w:val="22"/>
          <w:szCs w:val="22"/>
        </w:rPr>
        <w:t>emergency events and consistent with the blue curves below.  In other words, we model a discrepancy between marginal costs (blue) and market prices (red) that will create some inefficiency in realized market outcomes.</w:t>
      </w:r>
    </w:p>
    <w:p w14:paraId="34341E50" w14:textId="77777777" w:rsidR="004B58AD" w:rsidRPr="00A663C5" w:rsidRDefault="004B58AD" w:rsidP="004B58AD">
      <w:pPr>
        <w:pStyle w:val="BGNormal125"/>
        <w:rPr>
          <w:rFonts w:ascii="Calibri" w:hAnsi="Calibri" w:cs="Calibri"/>
          <w:color w:val="auto"/>
          <w:sz w:val="22"/>
          <w:szCs w:val="22"/>
        </w:rPr>
      </w:pPr>
      <w:r w:rsidRPr="00A663C5">
        <w:rPr>
          <w:rFonts w:ascii="Calibri" w:hAnsi="Calibri" w:cs="Calibri"/>
          <w:color w:val="auto"/>
          <w:sz w:val="22"/>
          <w:szCs w:val="22"/>
        </w:rPr>
        <w:t>As in ERCOT’s ORDC implementation, we calculate: (a) non-spin prices using the non-spin ORDC; (b) spin prices as the sum of the non-spin and spin ORDC; and (c) energy prices as the sum of the marginal energy production cost plus the non-spin and spin ORDC prices.  However, as a simplification we do not scale the ORDC curves in proportion to VOLL minus marginal energy in each hour.</w:t>
      </w:r>
      <w:r w:rsidRPr="00A663C5">
        <w:rPr>
          <w:rStyle w:val="FootnoteReference"/>
          <w:rFonts w:ascii="Calibri" w:hAnsi="Calibri" w:cs="Calibri"/>
          <w:color w:val="auto"/>
          <w:sz w:val="22"/>
          <w:szCs w:val="22"/>
        </w:rPr>
        <w:footnoteReference w:id="72"/>
      </w:r>
      <w:r w:rsidRPr="00A663C5">
        <w:rPr>
          <w:rFonts w:ascii="Calibri" w:hAnsi="Calibri" w:cs="Calibri"/>
          <w:color w:val="auto"/>
          <w:sz w:val="22"/>
          <w:szCs w:val="22"/>
        </w:rPr>
        <w:t xml:space="preserve">  Instead, we treat the ORDC curves as fixed with a maximum total price adder of VOLL minus $500, which causes prices to rise to the cap of $9,000/MWh in scarcity conditions, because $500 is </w:t>
      </w:r>
      <w:r w:rsidRPr="00A663C5" w:rsidDel="004B6345">
        <w:rPr>
          <w:rFonts w:ascii="Calibri" w:hAnsi="Calibri" w:cs="Calibri"/>
          <w:color w:val="auto"/>
          <w:sz w:val="22"/>
          <w:szCs w:val="22"/>
        </w:rPr>
        <w:t xml:space="preserve">the </w:t>
      </w:r>
      <w:r w:rsidRPr="00A663C5">
        <w:rPr>
          <w:rFonts w:ascii="Calibri" w:hAnsi="Calibri" w:cs="Calibri"/>
          <w:color w:val="auto"/>
          <w:sz w:val="22"/>
          <w:szCs w:val="22"/>
        </w:rPr>
        <w:t xml:space="preserve">cap placed on marginal energy prices in the model.  Higher-cost </w:t>
      </w:r>
      <w:r w:rsidRPr="00A663C5" w:rsidDel="008B5E11">
        <w:rPr>
          <w:rFonts w:ascii="Calibri" w:hAnsi="Calibri" w:cs="Calibri"/>
          <w:color w:val="auto"/>
          <w:sz w:val="22"/>
          <w:szCs w:val="22"/>
        </w:rPr>
        <w:t>demand</w:t>
      </w:r>
      <w:r w:rsidRPr="00A663C5">
        <w:rPr>
          <w:rFonts w:ascii="Calibri" w:hAnsi="Calibri" w:cs="Calibri"/>
          <w:color w:val="auto"/>
          <w:sz w:val="22"/>
          <w:szCs w:val="22"/>
        </w:rPr>
        <w:t>-response resources will be triggered in response to high ORDC prices and therefore prevent prices from going even higher, but do not affect the “marginal energy component” of price-setting.  We model the ORDC curves out to a maximum quantity of 8,000 MW where the prices are near zero, although they never drop all the way to zero.</w:t>
      </w:r>
    </w:p>
    <w:p w14:paraId="4E7BBA0E" w14:textId="77777777" w:rsidR="004B58AD" w:rsidRPr="00A663C5" w:rsidRDefault="004B58AD" w:rsidP="002A2715">
      <w:pPr>
        <w:pStyle w:val="BGNormal125"/>
        <w:spacing w:after="240"/>
        <w:rPr>
          <w:rFonts w:ascii="Calibri" w:hAnsi="Calibri" w:cs="Calibri"/>
          <w:color w:val="auto"/>
          <w:sz w:val="22"/>
          <w:szCs w:val="22"/>
        </w:rPr>
      </w:pPr>
      <w:r w:rsidRPr="00A663C5">
        <w:rPr>
          <w:rFonts w:ascii="Calibri" w:hAnsi="Calibri" w:cs="Calibri"/>
          <w:color w:val="auto"/>
          <w:sz w:val="22"/>
          <w:szCs w:val="22"/>
        </w:rPr>
        <w:t>These ORDC curves create an economic incentive for units to be available as spinning or non-spinning reserve, which influences suppliers’ unit commitment decisions.  We therefore model unit commitment in three steps: (1) a week-ahead optimal unit commitment over the fleet, with the result determining which long-lead resources will be committed;</w:t>
      </w:r>
      <w:r w:rsidRPr="00A663C5">
        <w:rPr>
          <w:rStyle w:val="FootnoteReference"/>
          <w:rFonts w:ascii="Calibri" w:hAnsi="Calibri" w:cs="Calibri"/>
          <w:color w:val="auto"/>
          <w:sz w:val="22"/>
          <w:szCs w:val="22"/>
        </w:rPr>
        <w:footnoteReference w:id="73"/>
      </w:r>
      <w:r w:rsidRPr="00A663C5">
        <w:rPr>
          <w:rFonts w:ascii="Calibri" w:hAnsi="Calibri" w:cs="Calibri"/>
          <w:color w:val="auto"/>
          <w:sz w:val="22"/>
          <w:szCs w:val="22"/>
        </w:rPr>
        <w:t xml:space="preserve"> (2) a four-hour ahead unit commitment (updated hourly) with an updated fleet outage schedule, with the result determining the preliminary commitment and decommitment schedules for combined cycle units; and (3) an hourly economic dispatch that dispatches online baseload units, and can commit 10-minute and 30-minute </w:t>
      </w:r>
      <w:proofErr w:type="spellStart"/>
      <w:r w:rsidRPr="00A663C5">
        <w:rPr>
          <w:rFonts w:ascii="Calibri" w:hAnsi="Calibri" w:cs="Calibri"/>
          <w:color w:val="auto"/>
          <w:sz w:val="22"/>
          <w:szCs w:val="22"/>
        </w:rPr>
        <w:t>quickstart</w:t>
      </w:r>
      <w:proofErr w:type="spellEnd"/>
      <w:r w:rsidRPr="00A663C5">
        <w:rPr>
          <w:rFonts w:ascii="Calibri" w:hAnsi="Calibri" w:cs="Calibri"/>
          <w:color w:val="auto"/>
          <w:sz w:val="22"/>
          <w:szCs w:val="22"/>
        </w:rPr>
        <w:t xml:space="preserve"> units if energy and spin prices are high enough to make it more profitable than remaining offline (similarly, if prices are not high enough these units will economically self-decommit).</w:t>
      </w:r>
      <w:r w:rsidRPr="00A663C5">
        <w:rPr>
          <w:rStyle w:val="FootnoteReference"/>
          <w:rFonts w:ascii="Calibri" w:hAnsi="Calibri" w:cs="Calibri"/>
          <w:color w:val="auto"/>
          <w:sz w:val="22"/>
          <w:szCs w:val="22"/>
        </w:rPr>
        <w:footnoteReference w:id="74"/>
      </w:r>
      <w:r w:rsidRPr="00A663C5">
        <w:rPr>
          <w:rFonts w:ascii="Calibri" w:hAnsi="Calibri" w:cs="Calibri"/>
          <w:color w:val="auto"/>
          <w:sz w:val="22"/>
          <w:szCs w:val="22"/>
        </w:rPr>
        <w:t xml:space="preserve">  Note that 10-minute </w:t>
      </w:r>
      <w:proofErr w:type="spellStart"/>
      <w:r w:rsidRPr="00A663C5">
        <w:rPr>
          <w:rFonts w:ascii="Calibri" w:hAnsi="Calibri" w:cs="Calibri"/>
          <w:color w:val="auto"/>
          <w:sz w:val="22"/>
          <w:szCs w:val="22"/>
        </w:rPr>
        <w:t>quickstart</w:t>
      </w:r>
      <w:proofErr w:type="spellEnd"/>
      <w:r w:rsidRPr="00A663C5">
        <w:rPr>
          <w:rFonts w:ascii="Calibri" w:hAnsi="Calibri" w:cs="Calibri"/>
          <w:color w:val="auto"/>
          <w:sz w:val="22"/>
          <w:szCs w:val="22"/>
        </w:rPr>
        <w:t xml:space="preserve"> units can earn spin payments from an offline position while 30-minute </w:t>
      </w:r>
      <w:proofErr w:type="spellStart"/>
      <w:r w:rsidRPr="00A663C5">
        <w:rPr>
          <w:rFonts w:ascii="Calibri" w:hAnsi="Calibri" w:cs="Calibri"/>
          <w:color w:val="auto"/>
          <w:sz w:val="22"/>
          <w:szCs w:val="22"/>
        </w:rPr>
        <w:t>quickstart</w:t>
      </w:r>
      <w:proofErr w:type="spellEnd"/>
      <w:r w:rsidRPr="00A663C5">
        <w:rPr>
          <w:rFonts w:ascii="Calibri" w:hAnsi="Calibri" w:cs="Calibri"/>
          <w:color w:val="auto"/>
          <w:sz w:val="22"/>
          <w:szCs w:val="22"/>
        </w:rPr>
        <w:t xml:space="preserve"> units can earn non-spin payments from an offline position.  These resources will not self-commit unless doing so would result in greater energy and spin payments (net of variable and commitment costs) than would be available from an offline position.  We use a similar logic to economically commit or de-commit units until the incentives provided by the ORDC are economically consistent with the quantity of resources turned on.</w:t>
      </w:r>
    </w:p>
    <w:p w14:paraId="7B9D8080" w14:textId="31BEE3E2" w:rsidR="004B58AD" w:rsidRDefault="004B58AD" w:rsidP="00FA0DFD">
      <w:pPr>
        <w:pStyle w:val="Heading3"/>
        <w:numPr>
          <w:ilvl w:val="0"/>
          <w:numId w:val="22"/>
        </w:numPr>
      </w:pPr>
      <w:bookmarkStart w:id="654" w:name="_Toc526279151"/>
      <w:bookmarkStart w:id="655" w:name="_Toc526437303"/>
      <w:bookmarkStart w:id="656" w:name="_Toc526437490"/>
      <w:bookmarkStart w:id="657" w:name="_Ref523234900"/>
      <w:bookmarkStart w:id="658" w:name="_Ref524991043"/>
      <w:bookmarkStart w:id="659" w:name="_Toc525079631"/>
      <w:bookmarkStart w:id="660" w:name="_Toc525851058"/>
      <w:bookmarkStart w:id="661" w:name="_Toc525938089"/>
      <w:bookmarkStart w:id="662" w:name="_Toc526439946"/>
      <w:bookmarkStart w:id="663" w:name="_Toc526440056"/>
      <w:bookmarkStart w:id="664" w:name="_Ref526444325"/>
      <w:bookmarkStart w:id="665" w:name="_Toc532834334"/>
      <w:bookmarkStart w:id="666" w:name="_Toc57193607"/>
      <w:r>
        <w:t>Power Balance Penalty Curve</w:t>
      </w:r>
      <w:bookmarkEnd w:id="654"/>
      <w:bookmarkEnd w:id="655"/>
      <w:bookmarkEnd w:id="656"/>
      <w:bookmarkEnd w:id="657"/>
      <w:bookmarkEnd w:id="658"/>
      <w:bookmarkEnd w:id="659"/>
      <w:bookmarkEnd w:id="660"/>
      <w:bookmarkEnd w:id="661"/>
      <w:bookmarkEnd w:id="662"/>
      <w:bookmarkEnd w:id="663"/>
      <w:bookmarkEnd w:id="664"/>
      <w:bookmarkEnd w:id="665"/>
      <w:bookmarkEnd w:id="666"/>
    </w:p>
    <w:p w14:paraId="6457B166" w14:textId="1FB5F09C" w:rsidR="004B58AD" w:rsidRPr="00A663C5" w:rsidRDefault="004B58AD" w:rsidP="004B58AD">
      <w:pPr>
        <w:pStyle w:val="BGNormal125"/>
        <w:rPr>
          <w:rFonts w:ascii="Calibri" w:hAnsi="Calibri" w:cs="Calibri"/>
          <w:color w:val="auto"/>
          <w:sz w:val="22"/>
          <w:szCs w:val="22"/>
        </w:rPr>
      </w:pPr>
      <w:r w:rsidRPr="00B35DC0">
        <w:rPr>
          <w:rFonts w:ascii="Calibri" w:hAnsi="Calibri" w:cs="Calibri"/>
          <w:color w:val="auto"/>
          <w:sz w:val="22"/>
          <w:szCs w:val="22"/>
        </w:rPr>
        <w:t xml:space="preserve">The Power Balance Penalty Curve (PBPC) is an ERCOT market mechanism that introduces administrative scarcity pricing during periods of supply scarcity.  The PBPC is incorporated into the security constrained economic dispatch (SCED) software as a set of phantom generators at administratively-specified price and quantity pairs, as summarized in the blue curve in </w:t>
      </w:r>
      <w:r w:rsidRPr="00A663C5">
        <w:rPr>
          <w:rFonts w:ascii="Calibri" w:hAnsi="Calibri" w:cs="Calibri"/>
          <w:color w:val="auto"/>
          <w:sz w:val="22"/>
          <w:szCs w:val="22"/>
        </w:rPr>
        <w:fldChar w:fldCharType="begin"/>
      </w:r>
      <w:r w:rsidRPr="00B35DC0">
        <w:rPr>
          <w:rFonts w:ascii="Calibri" w:hAnsi="Calibri" w:cs="Calibri"/>
          <w:color w:val="auto"/>
          <w:sz w:val="22"/>
          <w:szCs w:val="22"/>
        </w:rPr>
        <w:instrText xml:space="preserve"> REF _Ref377552383 \h </w:instrText>
      </w:r>
      <w:r w:rsidR="0050215D" w:rsidRPr="00B35DC0">
        <w:rPr>
          <w:rFonts w:ascii="Calibri" w:hAnsi="Calibri" w:cs="Calibri"/>
          <w:color w:val="auto"/>
          <w:sz w:val="22"/>
          <w:szCs w:val="22"/>
        </w:rPr>
        <w:instrText xml:space="preserve"> \* MERGEFORMAT </w:instrText>
      </w:r>
      <w:r w:rsidRPr="00A663C5">
        <w:rPr>
          <w:rFonts w:ascii="Calibri" w:hAnsi="Calibri" w:cs="Calibri"/>
          <w:color w:val="auto"/>
          <w:sz w:val="22"/>
          <w:szCs w:val="22"/>
        </w:rPr>
      </w:r>
      <w:r w:rsidRPr="00A663C5">
        <w:rPr>
          <w:rFonts w:ascii="Calibri" w:hAnsi="Calibri" w:cs="Calibri"/>
          <w:color w:val="auto"/>
          <w:sz w:val="22"/>
          <w:szCs w:val="22"/>
        </w:rPr>
        <w:fldChar w:fldCharType="separate"/>
      </w:r>
      <w:r w:rsidR="009C7344" w:rsidRPr="0009094A">
        <w:rPr>
          <w:rFonts w:ascii="Calibri" w:hAnsi="Calibri" w:cs="Calibri"/>
          <w:color w:val="auto"/>
          <w:sz w:val="22"/>
          <w:szCs w:val="22"/>
        </w:rPr>
        <w:t>Figure A1-14</w:t>
      </w:r>
      <w:r w:rsidRPr="00A663C5">
        <w:rPr>
          <w:rFonts w:ascii="Calibri" w:hAnsi="Calibri" w:cs="Calibri"/>
          <w:color w:val="auto"/>
          <w:sz w:val="22"/>
          <w:szCs w:val="22"/>
        </w:rPr>
        <w:fldChar w:fldCharType="end"/>
      </w:r>
      <w:r w:rsidRPr="00B35DC0">
        <w:rPr>
          <w:rFonts w:ascii="Calibri" w:hAnsi="Calibri" w:cs="Calibri"/>
          <w:color w:val="auto"/>
          <w:sz w:val="22"/>
          <w:szCs w:val="22"/>
        </w:rPr>
        <w:t>.</w:t>
      </w:r>
      <w:r w:rsidRPr="00A663C5">
        <w:rPr>
          <w:rStyle w:val="FootnoteReference"/>
          <w:rFonts w:ascii="Calibri" w:hAnsi="Calibri" w:cs="Calibri"/>
          <w:color w:val="auto"/>
          <w:sz w:val="22"/>
          <w:szCs w:val="22"/>
        </w:rPr>
        <w:footnoteReference w:id="75"/>
      </w:r>
      <w:r w:rsidRPr="00A663C5">
        <w:rPr>
          <w:rFonts w:ascii="Calibri" w:hAnsi="Calibri" w:cs="Calibri"/>
          <w:color w:val="auto"/>
          <w:sz w:val="22"/>
          <w:szCs w:val="22"/>
        </w:rPr>
        <w:t xml:space="preserve">  Whenever a PBPC is dispatched for energy, it reflects a scarcity of supply relative to demand in that time period that, if sustained for more than a moment, will materialize as a reduction in the quantity of regulating up capability.  At the highest price, the PBPC will reach the system-wide offer cap (SWOC), which is set at the HCAP at the beginning of each calendar year but which will drop to the LCAP if the PNM threshold is exceeded as explained in Appendix 1.</w:t>
      </w:r>
      <w:r w:rsidRPr="00A663C5">
        <w:rPr>
          <w:rFonts w:ascii="Calibri" w:hAnsi="Calibri" w:cs="Calibri"/>
          <w:color w:val="auto"/>
          <w:sz w:val="22"/>
          <w:szCs w:val="22"/>
        </w:rPr>
        <w:fldChar w:fldCharType="begin"/>
      </w:r>
      <w:r w:rsidRPr="00A663C5">
        <w:rPr>
          <w:rFonts w:ascii="Calibri" w:hAnsi="Calibri" w:cs="Calibri"/>
          <w:color w:val="auto"/>
          <w:sz w:val="22"/>
          <w:szCs w:val="22"/>
        </w:rPr>
        <w:instrText xml:space="preserve"> REF _Ref526448515 \n \h </w:instrText>
      </w:r>
      <w:r w:rsidR="0050215D" w:rsidRPr="00A663C5">
        <w:rPr>
          <w:rFonts w:ascii="Calibri" w:hAnsi="Calibri" w:cs="Calibri"/>
          <w:color w:val="auto"/>
          <w:sz w:val="22"/>
          <w:szCs w:val="22"/>
        </w:rPr>
        <w:instrText xml:space="preserve"> \* MERGEFORMAT </w:instrText>
      </w:r>
      <w:r w:rsidRPr="00A663C5">
        <w:rPr>
          <w:rFonts w:ascii="Calibri" w:hAnsi="Calibri" w:cs="Calibri"/>
          <w:color w:val="auto"/>
          <w:sz w:val="22"/>
          <w:szCs w:val="22"/>
        </w:rPr>
      </w:r>
      <w:r w:rsidRPr="00A663C5">
        <w:rPr>
          <w:rFonts w:ascii="Calibri" w:hAnsi="Calibri" w:cs="Calibri"/>
          <w:color w:val="auto"/>
          <w:sz w:val="22"/>
          <w:szCs w:val="22"/>
        </w:rPr>
        <w:fldChar w:fldCharType="separate"/>
      </w:r>
      <w:r w:rsidRPr="00A663C5">
        <w:rPr>
          <w:rFonts w:ascii="Calibri" w:hAnsi="Calibri" w:cs="Calibri"/>
          <w:color w:val="auto"/>
          <w:sz w:val="22"/>
          <w:szCs w:val="22"/>
        </w:rPr>
        <w:t>E</w:t>
      </w:r>
      <w:r w:rsidRPr="00A663C5">
        <w:rPr>
          <w:rFonts w:ascii="Calibri" w:hAnsi="Calibri" w:cs="Calibri"/>
          <w:color w:val="auto"/>
          <w:sz w:val="22"/>
          <w:szCs w:val="22"/>
        </w:rPr>
        <w:fldChar w:fldCharType="end"/>
      </w:r>
      <w:r w:rsidRPr="00A663C5">
        <w:rPr>
          <w:rFonts w:ascii="Calibri" w:hAnsi="Calibri" w:cs="Calibri"/>
          <w:color w:val="auto"/>
          <w:sz w:val="22"/>
          <w:szCs w:val="22"/>
        </w:rPr>
        <w:t>.</w:t>
      </w:r>
      <w:r w:rsidRPr="00A663C5">
        <w:rPr>
          <w:rFonts w:ascii="Calibri" w:hAnsi="Calibri" w:cs="Calibri"/>
          <w:color w:val="auto"/>
          <w:sz w:val="22"/>
          <w:szCs w:val="22"/>
        </w:rPr>
        <w:fldChar w:fldCharType="begin"/>
      </w:r>
      <w:r w:rsidRPr="00A663C5">
        <w:rPr>
          <w:rFonts w:ascii="Calibri" w:hAnsi="Calibri" w:cs="Calibri"/>
          <w:color w:val="auto"/>
          <w:sz w:val="22"/>
          <w:szCs w:val="22"/>
        </w:rPr>
        <w:instrText xml:space="preserve"> REF _Ref526448521 \n \h </w:instrText>
      </w:r>
      <w:r w:rsidR="0050215D" w:rsidRPr="00A663C5">
        <w:rPr>
          <w:rFonts w:ascii="Calibri" w:hAnsi="Calibri" w:cs="Calibri"/>
          <w:color w:val="auto"/>
          <w:sz w:val="22"/>
          <w:szCs w:val="22"/>
        </w:rPr>
        <w:instrText xml:space="preserve"> \* MERGEFORMAT </w:instrText>
      </w:r>
      <w:r w:rsidRPr="00A663C5">
        <w:rPr>
          <w:rFonts w:ascii="Calibri" w:hAnsi="Calibri" w:cs="Calibri"/>
          <w:color w:val="auto"/>
          <w:sz w:val="22"/>
          <w:szCs w:val="22"/>
        </w:rPr>
      </w:r>
      <w:r w:rsidRPr="00A663C5">
        <w:rPr>
          <w:rFonts w:ascii="Calibri" w:hAnsi="Calibri" w:cs="Calibri"/>
          <w:color w:val="auto"/>
          <w:sz w:val="22"/>
          <w:szCs w:val="22"/>
        </w:rPr>
        <w:fldChar w:fldCharType="separate"/>
      </w:r>
      <w:r w:rsidRPr="00A663C5">
        <w:rPr>
          <w:rFonts w:ascii="Calibri" w:hAnsi="Calibri" w:cs="Calibri"/>
          <w:color w:val="auto"/>
          <w:sz w:val="22"/>
          <w:szCs w:val="22"/>
        </w:rPr>
        <w:t>1</w:t>
      </w:r>
      <w:r w:rsidRPr="00A663C5">
        <w:rPr>
          <w:rFonts w:ascii="Calibri" w:hAnsi="Calibri" w:cs="Calibri"/>
          <w:color w:val="auto"/>
          <w:sz w:val="22"/>
          <w:szCs w:val="22"/>
        </w:rPr>
        <w:fldChar w:fldCharType="end"/>
      </w:r>
      <w:r w:rsidRPr="00A663C5">
        <w:rPr>
          <w:rFonts w:ascii="Calibri" w:hAnsi="Calibri" w:cs="Calibri"/>
          <w:color w:val="auto"/>
          <w:sz w:val="22"/>
          <w:szCs w:val="22"/>
        </w:rPr>
        <w:t xml:space="preserve"> above.</w:t>
      </w:r>
    </w:p>
    <w:p w14:paraId="133D7C7C" w14:textId="77777777" w:rsidR="004B58AD" w:rsidRPr="00B35DC0" w:rsidRDefault="004B58AD" w:rsidP="008B0478">
      <w:pPr>
        <w:pStyle w:val="BGNormal125"/>
        <w:spacing w:after="240"/>
        <w:rPr>
          <w:rFonts w:ascii="Calibri" w:hAnsi="Calibri" w:cs="Calibri"/>
          <w:color w:val="auto"/>
          <w:sz w:val="22"/>
          <w:szCs w:val="22"/>
        </w:rPr>
      </w:pPr>
      <w:r w:rsidRPr="00A663C5">
        <w:rPr>
          <w:rFonts w:ascii="Calibri" w:hAnsi="Calibri" w:cs="Calibri"/>
          <w:color w:val="auto"/>
          <w:sz w:val="22"/>
          <w:szCs w:val="22"/>
        </w:rPr>
        <w:t>We similarly model the PBPC as phantom supply that may influence the realized price, and that will cause a reduction in available regulating reserves whenever called.  However, we model only the first 200 MW of the curve at prices below the cap, and assume that all price points on the PBPC will increase according to the scheduled SWOC.</w:t>
      </w:r>
      <w:r w:rsidRPr="00A663C5">
        <w:rPr>
          <w:rStyle w:val="FootnoteReference"/>
          <w:rFonts w:ascii="Calibri" w:hAnsi="Calibri" w:cs="Calibri"/>
          <w:color w:val="auto"/>
          <w:sz w:val="22"/>
          <w:szCs w:val="22"/>
        </w:rPr>
        <w:footnoteReference w:id="76"/>
      </w:r>
      <w:r w:rsidRPr="00A663C5">
        <w:rPr>
          <w:rFonts w:ascii="Calibri" w:hAnsi="Calibri" w:cs="Calibri"/>
          <w:color w:val="auto"/>
          <w:sz w:val="22"/>
          <w:szCs w:val="22"/>
        </w:rPr>
        <w:t xml:space="preserve">  We also assume that the prices in the PBPC are reflective of the marginal cost incurred by going short of each quantity of regulating reserves.</w:t>
      </w:r>
      <w:r w:rsidRPr="00A663C5">
        <w:rPr>
          <w:rStyle w:val="FootnoteReference"/>
          <w:rFonts w:ascii="Calibri" w:hAnsi="Calibri" w:cs="Calibri"/>
          <w:color w:val="auto"/>
          <w:sz w:val="22"/>
          <w:szCs w:val="22"/>
        </w:rPr>
        <w:footnoteReference w:id="77"/>
      </w:r>
      <w:r w:rsidRPr="00A663C5">
        <w:rPr>
          <w:rFonts w:ascii="Calibri" w:hAnsi="Calibri" w:cs="Calibri"/>
          <w:color w:val="auto"/>
          <w:sz w:val="22"/>
          <w:szCs w:val="22"/>
        </w:rPr>
        <w:t xml:space="preserve">  Consistent with current market design, we assume that once the PNM threshold is exceeded, the maximum price in the PBPC will be set at the LCAP + $1/MWh or $2,001/MWh.</w:t>
      </w:r>
      <w:r w:rsidRPr="00A663C5">
        <w:rPr>
          <w:rStyle w:val="FootnoteReference"/>
          <w:rFonts w:ascii="Calibri" w:hAnsi="Calibri" w:cs="Calibri"/>
          <w:color w:val="auto"/>
          <w:sz w:val="22"/>
          <w:szCs w:val="22"/>
        </w:rPr>
        <w:footnoteReference w:id="78"/>
      </w:r>
      <w:r w:rsidRPr="00B35DC0">
        <w:rPr>
          <w:rFonts w:ascii="Calibri" w:hAnsi="Calibri" w:cs="Calibri"/>
          <w:color w:val="auto"/>
          <w:sz w:val="22"/>
          <w:szCs w:val="22"/>
        </w:rPr>
        <w:t xml:space="preserve">  Note that even after the maximum PBPC price is reduced, ERCOT market prices may still rise to a maximum value of VOLL equal to $9,000/MWh during scarcity conditions because of the ORDC as explained in the following section.</w:t>
      </w:r>
    </w:p>
    <w:p w14:paraId="38DD6023" w14:textId="21DC5083" w:rsidR="004B58AD" w:rsidRPr="00B35DC0" w:rsidRDefault="004B58AD" w:rsidP="008B0478">
      <w:pPr>
        <w:pStyle w:val="Caption"/>
        <w:spacing w:after="0"/>
        <w:jc w:val="center"/>
        <w:rPr>
          <w:rFonts w:cs="Calibri"/>
          <w:b/>
          <w:bCs/>
          <w:i w:val="0"/>
          <w:iCs w:val="0"/>
          <w:color w:val="auto"/>
          <w:sz w:val="22"/>
          <w:szCs w:val="22"/>
        </w:rPr>
      </w:pPr>
      <w:bookmarkStart w:id="667" w:name="_Ref377552383"/>
      <w:r w:rsidRPr="00B35DC0">
        <w:rPr>
          <w:rFonts w:cs="Calibri"/>
          <w:b/>
          <w:bCs/>
          <w:i w:val="0"/>
          <w:iCs w:val="0"/>
          <w:color w:val="auto"/>
          <w:sz w:val="22"/>
          <w:szCs w:val="22"/>
        </w:rPr>
        <w:t>Figure A1-</w:t>
      </w:r>
      <w:r w:rsidRPr="00A663C5">
        <w:rPr>
          <w:rFonts w:cs="Calibri"/>
          <w:b/>
          <w:bCs/>
          <w:i w:val="0"/>
          <w:iCs w:val="0"/>
          <w:noProof/>
          <w:color w:val="auto"/>
          <w:sz w:val="22"/>
          <w:szCs w:val="22"/>
        </w:rPr>
        <w:fldChar w:fldCharType="begin"/>
      </w:r>
      <w:r w:rsidRPr="00B35DC0">
        <w:rPr>
          <w:rFonts w:cs="Calibri"/>
          <w:b/>
          <w:bCs/>
          <w:i w:val="0"/>
          <w:iCs w:val="0"/>
          <w:noProof/>
          <w:color w:val="auto"/>
          <w:sz w:val="22"/>
          <w:szCs w:val="22"/>
        </w:rPr>
        <w:instrText xml:space="preserve"> SEQ Figure_A1- \* ARABIC </w:instrText>
      </w:r>
      <w:r w:rsidRPr="00A663C5">
        <w:rPr>
          <w:rFonts w:cs="Calibri"/>
          <w:b/>
          <w:bCs/>
          <w:i w:val="0"/>
          <w:iCs w:val="0"/>
          <w:noProof/>
          <w:color w:val="auto"/>
          <w:sz w:val="22"/>
          <w:szCs w:val="22"/>
        </w:rPr>
        <w:fldChar w:fldCharType="separate"/>
      </w:r>
      <w:r w:rsidR="009C7344">
        <w:rPr>
          <w:rFonts w:cs="Calibri"/>
          <w:b/>
          <w:bCs/>
          <w:i w:val="0"/>
          <w:iCs w:val="0"/>
          <w:noProof/>
          <w:color w:val="auto"/>
          <w:sz w:val="22"/>
          <w:szCs w:val="22"/>
        </w:rPr>
        <w:t>14</w:t>
      </w:r>
      <w:r w:rsidRPr="00A663C5">
        <w:rPr>
          <w:rFonts w:cs="Calibri"/>
          <w:b/>
          <w:bCs/>
          <w:i w:val="0"/>
          <w:iCs w:val="0"/>
          <w:noProof/>
          <w:color w:val="auto"/>
          <w:sz w:val="22"/>
          <w:szCs w:val="22"/>
        </w:rPr>
        <w:fldChar w:fldCharType="end"/>
      </w:r>
      <w:bookmarkEnd w:id="667"/>
      <w:r w:rsidR="0050215D" w:rsidRPr="00B35DC0">
        <w:rPr>
          <w:rFonts w:cs="Calibri"/>
          <w:b/>
          <w:bCs/>
          <w:i w:val="0"/>
          <w:iCs w:val="0"/>
          <w:noProof/>
          <w:color w:val="auto"/>
          <w:sz w:val="22"/>
          <w:szCs w:val="22"/>
        </w:rPr>
        <w:t xml:space="preserve">. </w:t>
      </w:r>
      <w:r w:rsidRPr="00B35DC0">
        <w:rPr>
          <w:rFonts w:cs="Calibri"/>
          <w:b/>
          <w:bCs/>
          <w:i w:val="0"/>
          <w:iCs w:val="0"/>
          <w:color w:val="auto"/>
          <w:sz w:val="22"/>
          <w:szCs w:val="22"/>
        </w:rPr>
        <w:t>Power Balance Penalty Curve</w:t>
      </w:r>
    </w:p>
    <w:p w14:paraId="1FBDF64F" w14:textId="61371630" w:rsidR="004B58AD" w:rsidRPr="00E045A6" w:rsidRDefault="004B58AD" w:rsidP="004B58AD">
      <w:pPr>
        <w:pStyle w:val="BGInsertGraphic"/>
        <w:keepNext/>
        <w:spacing w:before="0"/>
        <w:ind w:left="907" w:hanging="907"/>
        <w:rPr>
          <w:rFonts w:asciiTheme="minorHAnsi" w:hAnsiTheme="minorHAnsi"/>
          <w:i/>
          <w:color w:val="6A7277" w:themeColor="accent1"/>
          <w:sz w:val="16"/>
        </w:rPr>
      </w:pPr>
      <w:r w:rsidRPr="00F36A39">
        <w:rPr>
          <w:rFonts w:asciiTheme="minorHAnsi" w:hAnsiTheme="minorHAnsi"/>
          <w:i/>
          <w:color w:val="6A7277" w:themeColor="accent1"/>
          <w:sz w:val="16"/>
        </w:rPr>
        <w:t xml:space="preserve"> </w:t>
      </w:r>
      <w:r w:rsidR="00CB4AF1">
        <w:rPr>
          <w:rFonts w:asciiTheme="minorHAnsi" w:hAnsiTheme="minorHAnsi"/>
          <w:i/>
          <w:noProof/>
          <w:color w:val="6A7277" w:themeColor="accent1"/>
          <w:sz w:val="16"/>
        </w:rPr>
        <w:drawing>
          <wp:inline distT="0" distB="0" distL="0" distR="0" wp14:anchorId="7F4D75F6" wp14:editId="62851E51">
            <wp:extent cx="4242558" cy="366141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50208" cy="3668012"/>
                    </a:xfrm>
                    <a:prstGeom prst="rect">
                      <a:avLst/>
                    </a:prstGeom>
                    <a:noFill/>
                  </pic:spPr>
                </pic:pic>
              </a:graphicData>
            </a:graphic>
          </wp:inline>
        </w:drawing>
      </w:r>
    </w:p>
    <w:p w14:paraId="559EF523" w14:textId="77777777" w:rsidR="004B58AD" w:rsidRPr="0029655A" w:rsidRDefault="004B58AD" w:rsidP="004B58AD">
      <w:pPr>
        <w:pStyle w:val="BGInsertGraphic"/>
        <w:keepNext/>
        <w:tabs>
          <w:tab w:val="left" w:pos="1260"/>
          <w:tab w:val="left" w:pos="8370"/>
        </w:tabs>
        <w:ind w:left="1350" w:right="990" w:hanging="270"/>
        <w:jc w:val="both"/>
        <w:rPr>
          <w:rFonts w:ascii="Calibri" w:hAnsi="Calibri" w:cs="Calibri"/>
          <w:i/>
          <w:color w:val="auto"/>
          <w:sz w:val="16"/>
        </w:rPr>
      </w:pPr>
      <w:r w:rsidRPr="0029655A">
        <w:rPr>
          <w:rFonts w:ascii="Calibri" w:hAnsi="Calibri" w:cs="Calibri"/>
          <w:i/>
          <w:color w:val="auto"/>
          <w:sz w:val="16"/>
        </w:rPr>
        <w:t>Sources and Notes:</w:t>
      </w:r>
      <w:r w:rsidRPr="0029655A">
        <w:rPr>
          <w:rFonts w:ascii="Calibri" w:hAnsi="Calibri" w:cs="Calibri"/>
          <w:i/>
          <w:color w:val="auto"/>
          <w:sz w:val="16"/>
        </w:rPr>
        <w:tab/>
      </w:r>
    </w:p>
    <w:p w14:paraId="4BE0BF60" w14:textId="2C88D7B2" w:rsidR="00531F4C" w:rsidRPr="000F0C8B" w:rsidRDefault="004B58AD" w:rsidP="000F0C8B">
      <w:pPr>
        <w:pStyle w:val="BGInsertGraphic"/>
        <w:tabs>
          <w:tab w:val="left" w:pos="1260"/>
          <w:tab w:val="left" w:pos="8370"/>
        </w:tabs>
        <w:spacing w:before="0"/>
        <w:ind w:left="1350" w:right="990" w:hanging="270"/>
        <w:jc w:val="both"/>
        <w:rPr>
          <w:rFonts w:ascii="Calibri" w:hAnsi="Calibri" w:cs="Calibri"/>
          <w:color w:val="auto"/>
          <w:sz w:val="16"/>
        </w:rPr>
      </w:pPr>
      <w:r w:rsidRPr="0029655A">
        <w:rPr>
          <w:rFonts w:ascii="Calibri" w:hAnsi="Calibri" w:cs="Calibri"/>
          <w:i/>
          <w:color w:val="auto"/>
          <w:sz w:val="16"/>
        </w:rPr>
        <w:t xml:space="preserve"> </w:t>
      </w:r>
      <w:r w:rsidRPr="0029655A">
        <w:rPr>
          <w:rFonts w:ascii="Calibri" w:hAnsi="Calibri" w:cs="Calibri"/>
          <w:i/>
          <w:color w:val="auto"/>
          <w:sz w:val="16"/>
        </w:rPr>
        <w:tab/>
      </w:r>
      <w:r w:rsidRPr="0029655A">
        <w:rPr>
          <w:rFonts w:ascii="Calibri" w:hAnsi="Calibri" w:cs="Calibri"/>
          <w:color w:val="auto"/>
          <w:sz w:val="16"/>
        </w:rPr>
        <w:t>PBPC numbers from ERCOT (201</w:t>
      </w:r>
      <w:r w:rsidR="00587FE3" w:rsidRPr="0029655A">
        <w:rPr>
          <w:rFonts w:ascii="Calibri" w:hAnsi="Calibri" w:cs="Calibri"/>
          <w:color w:val="auto"/>
          <w:sz w:val="16"/>
        </w:rPr>
        <w:t>9b)</w:t>
      </w:r>
      <w:r w:rsidRPr="0029655A">
        <w:rPr>
          <w:rFonts w:ascii="Calibri" w:hAnsi="Calibri" w:cs="Calibri"/>
          <w:color w:val="auto"/>
          <w:sz w:val="16"/>
        </w:rPr>
        <w:t>, p. 22-23.</w:t>
      </w:r>
    </w:p>
    <w:p w14:paraId="5B399B14" w14:textId="5F586FAE" w:rsidR="00531F4C" w:rsidRPr="00E41111" w:rsidRDefault="00531F4C" w:rsidP="00531F4C">
      <w:pPr>
        <w:pStyle w:val="Heading1"/>
        <w:rPr>
          <w:sz w:val="28"/>
          <w:szCs w:val="28"/>
        </w:rPr>
      </w:pPr>
      <w:bookmarkStart w:id="668" w:name="_Toc57193608"/>
      <w:r w:rsidRPr="00E41111">
        <w:rPr>
          <w:sz w:val="28"/>
          <w:szCs w:val="28"/>
        </w:rPr>
        <w:t>APPENDIX 2: EFFECTIVE LOAD CARRYING CAPABILITY</w:t>
      </w:r>
      <w:bookmarkEnd w:id="668"/>
    </w:p>
    <w:p w14:paraId="6329DD27" w14:textId="77777777" w:rsidR="00E41111" w:rsidRDefault="00E41111" w:rsidP="002A2715">
      <w:pPr>
        <w:spacing w:before="240"/>
        <w:jc w:val="both"/>
      </w:pPr>
      <w:r>
        <w:t>The reserve margin is the sum of all dependable generating capacity divided by expected peak load. Dependable generating capacity varies for non-dispatchable or energy-limited resources and generally depends on simulations which calculate the comparable conventional capacity for the resource being evaluated. Very constrained resources such as 1-hour energy storage or low capacity factor wind would be expected to have ratios much lower than 100% while very dependable resources such as long duration storage would have ratios close to 100%.</w:t>
      </w:r>
    </w:p>
    <w:p w14:paraId="58160186" w14:textId="77777777" w:rsidR="00E41111" w:rsidRDefault="00E41111" w:rsidP="00A663C5">
      <w:pPr>
        <w:jc w:val="both"/>
      </w:pPr>
      <w:r>
        <w:t>The actual steps to determine these ratios are as follows:</w:t>
      </w:r>
    </w:p>
    <w:p w14:paraId="5F456225" w14:textId="5A7D2BD9" w:rsidR="00E41111" w:rsidRDefault="00E41111" w:rsidP="00A663C5">
      <w:pPr>
        <w:pStyle w:val="ListParagraph"/>
        <w:numPr>
          <w:ilvl w:val="0"/>
          <w:numId w:val="29"/>
        </w:numPr>
        <w:spacing w:after="160" w:line="259" w:lineRule="auto"/>
        <w:jc w:val="both"/>
      </w:pPr>
      <w:r>
        <w:t>Calibrate system reliability to 0.1 LOLE by removing or adding conventional capacity.</w:t>
      </w:r>
    </w:p>
    <w:p w14:paraId="03D317F0" w14:textId="77777777" w:rsidR="00E41111" w:rsidRDefault="00E41111" w:rsidP="00A663C5">
      <w:pPr>
        <w:pStyle w:val="ListParagraph"/>
        <w:numPr>
          <w:ilvl w:val="0"/>
          <w:numId w:val="29"/>
        </w:numPr>
        <w:spacing w:after="160" w:line="259" w:lineRule="auto"/>
        <w:jc w:val="both"/>
      </w:pPr>
      <w:r>
        <w:t>Remove the non-dispatchable or energy-limited resource portfolio in question. This will increase the frequency of LOLE events.</w:t>
      </w:r>
    </w:p>
    <w:p w14:paraId="5449F447" w14:textId="77777777" w:rsidR="00E41111" w:rsidRDefault="00E41111" w:rsidP="00A663C5">
      <w:pPr>
        <w:pStyle w:val="ListParagraph"/>
        <w:numPr>
          <w:ilvl w:val="0"/>
          <w:numId w:val="29"/>
        </w:numPr>
        <w:spacing w:after="160" w:line="259" w:lineRule="auto"/>
        <w:jc w:val="both"/>
      </w:pPr>
      <w:r>
        <w:t xml:space="preserve">Restore LOLE to 0.1 by adding conventional capacity. </w:t>
      </w:r>
    </w:p>
    <w:p w14:paraId="517C9B2F" w14:textId="4A7A8CED" w:rsidR="00E41111" w:rsidRDefault="00E41111" w:rsidP="00E41111">
      <w:pPr>
        <w:pStyle w:val="ListParagraph"/>
        <w:numPr>
          <w:ilvl w:val="0"/>
          <w:numId w:val="29"/>
        </w:numPr>
        <w:spacing w:after="160" w:line="259" w:lineRule="auto"/>
        <w:jc w:val="both"/>
      </w:pPr>
      <w:r>
        <w:t>Calculate the ELCC by dividing the conventional capacity added in step 3.</w:t>
      </w:r>
    </w:p>
    <w:p w14:paraId="362B65AB" w14:textId="57C6DE24" w:rsidR="00E41111" w:rsidRDefault="00E41111" w:rsidP="00E41111">
      <w:pPr>
        <w:spacing w:after="160" w:line="259" w:lineRule="auto"/>
        <w:jc w:val="both"/>
      </w:pPr>
      <w:r>
        <w:t xml:space="preserve">Figure A2-1 contains a visual example of the process described above. </w:t>
      </w:r>
    </w:p>
    <w:p w14:paraId="538D9AF4" w14:textId="18BB5E68" w:rsidR="00E41111" w:rsidRPr="00E41111" w:rsidRDefault="00E41111" w:rsidP="008B0478">
      <w:pPr>
        <w:pStyle w:val="Caption"/>
        <w:spacing w:after="0"/>
        <w:jc w:val="center"/>
        <w:rPr>
          <w:rFonts w:cs="Calibri"/>
          <w:b/>
          <w:bCs/>
          <w:i w:val="0"/>
          <w:iCs w:val="0"/>
          <w:color w:val="auto"/>
          <w:sz w:val="22"/>
          <w:szCs w:val="22"/>
        </w:rPr>
      </w:pPr>
      <w:r w:rsidRPr="00B35DC0">
        <w:rPr>
          <w:rFonts w:cs="Calibri"/>
          <w:b/>
          <w:bCs/>
          <w:i w:val="0"/>
          <w:iCs w:val="0"/>
          <w:color w:val="auto"/>
          <w:sz w:val="22"/>
          <w:szCs w:val="22"/>
        </w:rPr>
        <w:t>Figure A</w:t>
      </w:r>
      <w:r>
        <w:rPr>
          <w:rFonts w:cs="Calibri"/>
          <w:b/>
          <w:bCs/>
          <w:i w:val="0"/>
          <w:iCs w:val="0"/>
          <w:color w:val="auto"/>
          <w:sz w:val="22"/>
          <w:szCs w:val="22"/>
        </w:rPr>
        <w:t>2</w:t>
      </w:r>
      <w:r w:rsidRPr="00B35DC0">
        <w:rPr>
          <w:rFonts w:cs="Calibri"/>
          <w:b/>
          <w:bCs/>
          <w:i w:val="0"/>
          <w:iCs w:val="0"/>
          <w:color w:val="auto"/>
          <w:sz w:val="22"/>
          <w:szCs w:val="22"/>
        </w:rPr>
        <w:t>-</w:t>
      </w:r>
      <w:r>
        <w:rPr>
          <w:rFonts w:cs="Calibri"/>
          <w:b/>
          <w:bCs/>
          <w:i w:val="0"/>
          <w:iCs w:val="0"/>
          <w:color w:val="auto"/>
          <w:sz w:val="22"/>
          <w:szCs w:val="22"/>
        </w:rPr>
        <w:t>1</w:t>
      </w:r>
      <w:r w:rsidRPr="00B35DC0">
        <w:rPr>
          <w:rFonts w:cs="Calibri"/>
          <w:b/>
          <w:bCs/>
          <w:i w:val="0"/>
          <w:iCs w:val="0"/>
          <w:noProof/>
          <w:color w:val="auto"/>
          <w:sz w:val="22"/>
          <w:szCs w:val="22"/>
        </w:rPr>
        <w:t xml:space="preserve">. </w:t>
      </w:r>
      <w:r>
        <w:rPr>
          <w:rFonts w:cs="Calibri"/>
          <w:b/>
          <w:bCs/>
          <w:i w:val="0"/>
          <w:iCs w:val="0"/>
          <w:color w:val="auto"/>
          <w:sz w:val="22"/>
          <w:szCs w:val="22"/>
        </w:rPr>
        <w:t>ELCC Visual Example</w:t>
      </w:r>
    </w:p>
    <w:p w14:paraId="46278AB7" w14:textId="54DD92CF" w:rsidR="00E41111" w:rsidRDefault="00E41111" w:rsidP="000F0C8B">
      <w:pPr>
        <w:spacing w:after="0"/>
        <w:jc w:val="center"/>
      </w:pPr>
      <w:r>
        <w:rPr>
          <w:noProof/>
        </w:rPr>
        <w:drawing>
          <wp:inline distT="0" distB="0" distL="0" distR="0" wp14:anchorId="474C5FCD" wp14:editId="50DC5E94">
            <wp:extent cx="4608830" cy="3919855"/>
            <wp:effectExtent l="0" t="0" r="127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830" cy="3919855"/>
                    </a:xfrm>
                    <a:prstGeom prst="rect">
                      <a:avLst/>
                    </a:prstGeom>
                    <a:noFill/>
                  </pic:spPr>
                </pic:pic>
              </a:graphicData>
            </a:graphic>
          </wp:inline>
        </w:drawing>
      </w:r>
    </w:p>
    <w:p w14:paraId="5355F04E" w14:textId="77777777" w:rsidR="000F0C8B" w:rsidRDefault="000F0C8B" w:rsidP="000F0C8B">
      <w:pPr>
        <w:spacing w:after="0"/>
        <w:jc w:val="center"/>
      </w:pPr>
    </w:p>
    <w:p w14:paraId="760178E0" w14:textId="77777777" w:rsidR="00E41111" w:rsidRDefault="00E41111" w:rsidP="00A663C5">
      <w:pPr>
        <w:pStyle w:val="Heading2"/>
      </w:pPr>
      <w:bookmarkStart w:id="669" w:name="_Toc57193609"/>
      <w:r>
        <w:t>Average ELCC versus Incremental ELCC</w:t>
      </w:r>
      <w:bookmarkEnd w:id="669"/>
    </w:p>
    <w:p w14:paraId="318726E2" w14:textId="77777777" w:rsidR="00E41111" w:rsidRDefault="00E41111" w:rsidP="00A663C5">
      <w:pPr>
        <w:jc w:val="both"/>
      </w:pPr>
      <w:r>
        <w:t>The calculation steps explained above are for average ELCC. It determines the value of an entire portfolio. Calculations for incremental ELCC would typically be done in reverse. Add a small resource to a calibrated system and determine the capacity to remove to determine ELCC. Average ELCC would be used for reserve margin accounting. Incremental ELCC is used for procurement decisions.</w:t>
      </w:r>
    </w:p>
    <w:p w14:paraId="28EB692B" w14:textId="0344EAFE" w:rsidR="00E41111" w:rsidRDefault="00E41111" w:rsidP="00556234">
      <w:pPr>
        <w:jc w:val="both"/>
      </w:pPr>
      <w:r>
        <w:t>In Figure A2-2, the average ELCC illustration on the left shows the reduction in net load which would approximately correspond to the average ELCC value. The illustration on the right shows the renewable profile of an incremental resource against the net load profile of a system with an existing penetration of renewable. The Incremental ELCC value would approximately correspond to the average output during the net load peak.</w:t>
      </w:r>
    </w:p>
    <w:p w14:paraId="45F445B4" w14:textId="49F94F13" w:rsidR="00E41111" w:rsidRPr="00E41111" w:rsidRDefault="00E41111" w:rsidP="002A2715">
      <w:pPr>
        <w:pStyle w:val="Caption"/>
        <w:spacing w:after="0"/>
        <w:jc w:val="center"/>
        <w:rPr>
          <w:rFonts w:cs="Calibri"/>
          <w:b/>
          <w:bCs/>
          <w:i w:val="0"/>
          <w:iCs w:val="0"/>
          <w:color w:val="auto"/>
          <w:sz w:val="22"/>
          <w:szCs w:val="22"/>
        </w:rPr>
      </w:pPr>
      <w:r w:rsidRPr="00B35DC0">
        <w:rPr>
          <w:rFonts w:cs="Calibri"/>
          <w:b/>
          <w:bCs/>
          <w:i w:val="0"/>
          <w:iCs w:val="0"/>
          <w:color w:val="auto"/>
          <w:sz w:val="22"/>
          <w:szCs w:val="22"/>
        </w:rPr>
        <w:t>Figure A</w:t>
      </w:r>
      <w:r>
        <w:rPr>
          <w:rFonts w:cs="Calibri"/>
          <w:b/>
          <w:bCs/>
          <w:i w:val="0"/>
          <w:iCs w:val="0"/>
          <w:color w:val="auto"/>
          <w:sz w:val="22"/>
          <w:szCs w:val="22"/>
        </w:rPr>
        <w:t>2</w:t>
      </w:r>
      <w:r w:rsidRPr="00B35DC0">
        <w:rPr>
          <w:rFonts w:cs="Calibri"/>
          <w:b/>
          <w:bCs/>
          <w:i w:val="0"/>
          <w:iCs w:val="0"/>
          <w:color w:val="auto"/>
          <w:sz w:val="22"/>
          <w:szCs w:val="22"/>
        </w:rPr>
        <w:t>-</w:t>
      </w:r>
      <w:r>
        <w:rPr>
          <w:rFonts w:cs="Calibri"/>
          <w:b/>
          <w:bCs/>
          <w:i w:val="0"/>
          <w:iCs w:val="0"/>
          <w:color w:val="auto"/>
          <w:sz w:val="22"/>
          <w:szCs w:val="22"/>
        </w:rPr>
        <w:t>2</w:t>
      </w:r>
      <w:r w:rsidRPr="00A550A2">
        <w:rPr>
          <w:rFonts w:cs="Calibri"/>
          <w:b/>
          <w:bCs/>
          <w:i w:val="0"/>
          <w:iCs w:val="0"/>
          <w:noProof/>
          <w:color w:val="auto"/>
          <w:sz w:val="22"/>
          <w:szCs w:val="22"/>
        </w:rPr>
        <w:fldChar w:fldCharType="begin"/>
      </w:r>
      <w:r w:rsidRPr="00B35DC0">
        <w:rPr>
          <w:rFonts w:cs="Calibri"/>
          <w:b/>
          <w:bCs/>
          <w:i w:val="0"/>
          <w:iCs w:val="0"/>
          <w:noProof/>
          <w:color w:val="auto"/>
          <w:sz w:val="22"/>
          <w:szCs w:val="22"/>
        </w:rPr>
        <w:instrText xml:space="preserve"> SEQ Figure_A1- \* ARABIC </w:instrText>
      </w:r>
      <w:r w:rsidRPr="00A550A2">
        <w:rPr>
          <w:rFonts w:cs="Calibri"/>
          <w:b/>
          <w:bCs/>
          <w:i w:val="0"/>
          <w:iCs w:val="0"/>
          <w:noProof/>
          <w:color w:val="auto"/>
          <w:sz w:val="22"/>
          <w:szCs w:val="22"/>
        </w:rPr>
        <w:fldChar w:fldCharType="end"/>
      </w:r>
      <w:r w:rsidRPr="00B35DC0">
        <w:rPr>
          <w:rFonts w:cs="Calibri"/>
          <w:b/>
          <w:bCs/>
          <w:i w:val="0"/>
          <w:iCs w:val="0"/>
          <w:noProof/>
          <w:color w:val="auto"/>
          <w:sz w:val="22"/>
          <w:szCs w:val="22"/>
        </w:rPr>
        <w:t xml:space="preserve">. </w:t>
      </w:r>
      <w:r>
        <w:rPr>
          <w:rFonts w:cs="Calibri"/>
          <w:b/>
          <w:bCs/>
          <w:i w:val="0"/>
          <w:iCs w:val="0"/>
          <w:color w:val="auto"/>
          <w:sz w:val="22"/>
          <w:szCs w:val="22"/>
        </w:rPr>
        <w:t>Average ELCC Versus Incremental ELCC</w:t>
      </w:r>
    </w:p>
    <w:p w14:paraId="6A2E71E2" w14:textId="77777777" w:rsidR="00E41111" w:rsidRDefault="00E41111" w:rsidP="00A663C5">
      <w:pPr>
        <w:jc w:val="both"/>
      </w:pPr>
      <w:r>
        <w:rPr>
          <w:noProof/>
        </w:rPr>
        <mc:AlternateContent>
          <mc:Choice Requires="wps">
            <w:drawing>
              <wp:anchor distT="0" distB="0" distL="114300" distR="114300" simplePos="0" relativeHeight="251671552" behindDoc="0" locked="0" layoutInCell="1" allowOverlap="1" wp14:anchorId="6B286625" wp14:editId="07E38185">
                <wp:simplePos x="0" y="0"/>
                <wp:positionH relativeFrom="column">
                  <wp:posOffset>4819015</wp:posOffset>
                </wp:positionH>
                <wp:positionV relativeFrom="paragraph">
                  <wp:posOffset>301625</wp:posOffset>
                </wp:positionV>
                <wp:extent cx="161925" cy="209550"/>
                <wp:effectExtent l="0" t="0" r="28575" b="19050"/>
                <wp:wrapNone/>
                <wp:docPr id="5" name="Oval 5"/>
                <wp:cNvGraphicFramePr/>
                <a:graphic xmlns:a="http://schemas.openxmlformats.org/drawingml/2006/main">
                  <a:graphicData uri="http://schemas.microsoft.com/office/word/2010/wordprocessingShape">
                    <wps:wsp>
                      <wps:cNvSpPr/>
                      <wps:spPr>
                        <a:xfrm>
                          <a:off x="0" y="0"/>
                          <a:ext cx="161925" cy="209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130CD5" id="Oval 5" o:spid="_x0000_s1026" style="position:absolute;margin-left:379.45pt;margin-top:23.75pt;width:12.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" filled="f" strokecolor="#34383b [1604]"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3DEC8A55" wp14:editId="3683AF81">
                <wp:simplePos x="0" y="0"/>
                <wp:positionH relativeFrom="column">
                  <wp:posOffset>4543425</wp:posOffset>
                </wp:positionH>
                <wp:positionV relativeFrom="paragraph">
                  <wp:posOffset>409575</wp:posOffset>
                </wp:positionV>
                <wp:extent cx="333375" cy="647700"/>
                <wp:effectExtent l="0" t="38100" r="47625" b="19050"/>
                <wp:wrapNone/>
                <wp:docPr id="40" name="Straight Arrow Connector 40"/>
                <wp:cNvGraphicFramePr/>
                <a:graphic xmlns:a="http://schemas.openxmlformats.org/drawingml/2006/main">
                  <a:graphicData uri="http://schemas.microsoft.com/office/word/2010/wordprocessingShape">
                    <wps:wsp>
                      <wps:cNvCnPr/>
                      <wps:spPr>
                        <a:xfrm flipV="1">
                          <a:off x="0" y="0"/>
                          <a:ext cx="333375"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921C15" id="_x0000_t32" coordsize="21600,21600" o:spt="32" o:oned="t" path="m,l21600,21600e" filled="f">
                <v:path arrowok="t" fillok="f" o:connecttype="none"/>
                <o:lock v:ext="edit" shapetype="t"/>
              </v:shapetype>
              <v:shape id="Straight Arrow Connector 40" o:spid="_x0000_s1026" type="#_x0000_t32" style="position:absolute;margin-left:357.75pt;margin-top:32.25pt;width:26.25pt;height:5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" strokecolor="#302f35 [3213]"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4F0AC6B" wp14:editId="50138CCA">
                <wp:simplePos x="0" y="0"/>
                <wp:positionH relativeFrom="column">
                  <wp:posOffset>1485900</wp:posOffset>
                </wp:positionH>
                <wp:positionV relativeFrom="paragraph">
                  <wp:posOffset>428625</wp:posOffset>
                </wp:positionV>
                <wp:extent cx="371475" cy="581025"/>
                <wp:effectExtent l="0" t="38100" r="47625" b="28575"/>
                <wp:wrapNone/>
                <wp:docPr id="41" name="Straight Arrow Connector 41"/>
                <wp:cNvGraphicFramePr/>
                <a:graphic xmlns:a="http://schemas.openxmlformats.org/drawingml/2006/main">
                  <a:graphicData uri="http://schemas.microsoft.com/office/word/2010/wordprocessingShape">
                    <wps:wsp>
                      <wps:cNvCnPr/>
                      <wps:spPr>
                        <a:xfrm flipV="1">
                          <a:off x="0" y="0"/>
                          <a:ext cx="371475" cy="581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2366E" id="Straight Arrow Connector 41" o:spid="_x0000_s1026" type="#_x0000_t32" style="position:absolute;margin-left:117pt;margin-top:33.75pt;width:29.25pt;height:45.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" strokecolor="#302f35 [3213]"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190D0E68" wp14:editId="24EE6A46">
                <wp:simplePos x="0" y="0"/>
                <wp:positionH relativeFrom="column">
                  <wp:posOffset>885826</wp:posOffset>
                </wp:positionH>
                <wp:positionV relativeFrom="paragraph">
                  <wp:posOffset>1019175</wp:posOffset>
                </wp:positionV>
                <wp:extent cx="990600" cy="2952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990600" cy="295275"/>
                        </a:xfrm>
                        <a:prstGeom prst="rect">
                          <a:avLst/>
                        </a:prstGeom>
                        <a:solidFill>
                          <a:schemeClr val="lt1"/>
                        </a:solidFill>
                        <a:ln w="6350">
                          <a:solidFill>
                            <a:prstClr val="black"/>
                          </a:solidFill>
                        </a:ln>
                      </wps:spPr>
                      <wps:txbx>
                        <w:txbxContent>
                          <w:p w14:paraId="44D8BB56" w14:textId="77777777" w:rsidR="003B5525" w:rsidRDefault="003B5525" w:rsidP="00E41111">
                            <w:r>
                              <w:t>Average ELCC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D0E68" id="Text Box 1" o:spid="_x0000_s1028" type="#_x0000_t202" style="position:absolute;left:0;text-align:left;margin-left:69.75pt;margin-top:80.25pt;width:78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" fillcolor="white [3201]" strokeweight=".5pt">
                <v:textbox>
                  <w:txbxContent>
                    <w:p w14:paraId="44D8BB56" w14:textId="77777777" w:rsidR="003B5525" w:rsidRDefault="003B5525" w:rsidP="00E41111">
                      <w:r>
                        <w:t>Average ELCC</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96FC5A3" wp14:editId="7FFDDF9E">
                <wp:simplePos x="0" y="0"/>
                <wp:positionH relativeFrom="column">
                  <wp:posOffset>3914775</wp:posOffset>
                </wp:positionH>
                <wp:positionV relativeFrom="paragraph">
                  <wp:posOffset>1095376</wp:posOffset>
                </wp:positionV>
                <wp:extent cx="1238250" cy="28575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1238250" cy="285750"/>
                        </a:xfrm>
                        <a:prstGeom prst="rect">
                          <a:avLst/>
                        </a:prstGeom>
                        <a:solidFill>
                          <a:schemeClr val="lt1"/>
                        </a:solidFill>
                        <a:ln w="6350">
                          <a:solidFill>
                            <a:prstClr val="black"/>
                          </a:solidFill>
                        </a:ln>
                      </wps:spPr>
                      <wps:txbx>
                        <w:txbxContent>
                          <w:p w14:paraId="59A61F54" w14:textId="77777777" w:rsidR="003B5525" w:rsidRDefault="003B5525" w:rsidP="00E41111">
                            <w:r>
                              <w:t>Incremental ELCC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FC5A3" id="Text Box 42" o:spid="_x0000_s1029" type="#_x0000_t202" style="position:absolute;left:0;text-align:left;margin-left:308.25pt;margin-top:86.25pt;width: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" fillcolor="white [3201]" strokeweight=".5pt">
                <v:textbox>
                  <w:txbxContent>
                    <w:p w14:paraId="59A61F54" w14:textId="77777777" w:rsidR="003B5525" w:rsidRDefault="003B5525" w:rsidP="00E41111">
                      <w:r>
                        <w:t>Incremental ELCC</w:t>
                      </w:r>
                    </w:p>
                  </w:txbxContent>
                </v:textbox>
              </v:shape>
            </w:pict>
          </mc:Fallback>
        </mc:AlternateContent>
      </w:r>
      <w:r w:rsidRPr="00654ECC">
        <w:rPr>
          <w:noProof/>
        </w:rPr>
        <w:drawing>
          <wp:inline distT="0" distB="0" distL="0" distR="0" wp14:anchorId="4978B5B2" wp14:editId="36DF4CE6">
            <wp:extent cx="5943600" cy="2266950"/>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2F692-047A-4AB5-B102-4564007EF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2F692-047A-4AB5-B102-4564007EFFCD}"/>
                        </a:ext>
                      </a:extLst>
                    </pic:cNvPr>
                    <pic:cNvPicPr>
                      <a:picLocks noChangeAspect="1"/>
                    </pic:cNvPicPr>
                  </pic:nvPicPr>
                  <pic:blipFill>
                    <a:blip r:embed="rId80"/>
                    <a:stretch>
                      <a:fillRect/>
                    </a:stretch>
                  </pic:blipFill>
                  <pic:spPr>
                    <a:xfrm>
                      <a:off x="0" y="0"/>
                      <a:ext cx="5943600" cy="2266950"/>
                    </a:xfrm>
                    <a:prstGeom prst="rect">
                      <a:avLst/>
                    </a:prstGeom>
                  </pic:spPr>
                </pic:pic>
              </a:graphicData>
            </a:graphic>
          </wp:inline>
        </w:drawing>
      </w:r>
    </w:p>
    <w:p w14:paraId="12D3CE16" w14:textId="6012FC76" w:rsidR="00E41111" w:rsidRDefault="00E41111" w:rsidP="00A663C5">
      <w:pPr>
        <w:jc w:val="both"/>
      </w:pPr>
      <w:r>
        <w:t xml:space="preserve">Both of these methods differ from the implicit ELCC calculations in the CDR accounting in ERCOT. The capacity credit given to wind and solar in CDR is based on the average of the top 20 gross load hours. Since this method doesn’t consider that the net load may have shifted due to the renewable output, it will overstate the ELCC of the renewable resources. Table </w:t>
      </w:r>
      <w:r w:rsidR="006F36E5">
        <w:t>A</w:t>
      </w:r>
      <w:r>
        <w:t>2-1 shows a comparison of methods of ELCC calculation using synthetic data for both wind and solar.</w:t>
      </w:r>
    </w:p>
    <w:p w14:paraId="536C30A7" w14:textId="42D6E6EB" w:rsidR="000F0C8B" w:rsidRDefault="000F0C8B" w:rsidP="00A663C5">
      <w:pPr>
        <w:jc w:val="both"/>
      </w:pPr>
    </w:p>
    <w:p w14:paraId="496595D8" w14:textId="59325C74" w:rsidR="000F0C8B" w:rsidRDefault="000F0C8B" w:rsidP="00A663C5">
      <w:pPr>
        <w:jc w:val="both"/>
      </w:pPr>
    </w:p>
    <w:p w14:paraId="7C11B7F0" w14:textId="4ECA5E4F" w:rsidR="000F0C8B" w:rsidRDefault="000F0C8B" w:rsidP="00A663C5">
      <w:pPr>
        <w:jc w:val="both"/>
      </w:pPr>
    </w:p>
    <w:p w14:paraId="4490DABC" w14:textId="04243691" w:rsidR="000F0C8B" w:rsidRDefault="000F0C8B" w:rsidP="00A663C5">
      <w:pPr>
        <w:jc w:val="both"/>
      </w:pPr>
    </w:p>
    <w:p w14:paraId="7C4E0B19" w14:textId="590CC7A6" w:rsidR="000F0C8B" w:rsidRDefault="000F0C8B" w:rsidP="00A663C5">
      <w:pPr>
        <w:jc w:val="both"/>
      </w:pPr>
    </w:p>
    <w:p w14:paraId="5A541806" w14:textId="672A8D85" w:rsidR="000F0C8B" w:rsidRDefault="000F0C8B" w:rsidP="00A663C5">
      <w:pPr>
        <w:jc w:val="both"/>
      </w:pPr>
    </w:p>
    <w:p w14:paraId="6684245F" w14:textId="7674306B" w:rsidR="000F0C8B" w:rsidRDefault="000F0C8B" w:rsidP="00A663C5">
      <w:pPr>
        <w:jc w:val="both"/>
      </w:pPr>
    </w:p>
    <w:p w14:paraId="627265E4" w14:textId="77777777" w:rsidR="000F0C8B" w:rsidRDefault="000F0C8B" w:rsidP="00A663C5">
      <w:pPr>
        <w:jc w:val="both"/>
      </w:pPr>
    </w:p>
    <w:p w14:paraId="6295D371" w14:textId="5D6AEF84" w:rsidR="00E41111" w:rsidRPr="00E025BC" w:rsidRDefault="00E41111" w:rsidP="006F36E5">
      <w:pPr>
        <w:pStyle w:val="Caption"/>
        <w:jc w:val="center"/>
        <w:rPr>
          <w:rFonts w:cs="Calibri"/>
          <w:b/>
          <w:bCs/>
          <w:i w:val="0"/>
          <w:iCs w:val="0"/>
          <w:color w:val="auto"/>
          <w:sz w:val="22"/>
          <w:szCs w:val="22"/>
        </w:rPr>
      </w:pPr>
      <w:r w:rsidRPr="00E025BC">
        <w:rPr>
          <w:rFonts w:cs="Calibri"/>
          <w:b/>
          <w:bCs/>
          <w:i w:val="0"/>
          <w:iCs w:val="0"/>
          <w:color w:val="auto"/>
          <w:sz w:val="22"/>
          <w:szCs w:val="22"/>
        </w:rPr>
        <w:t>Table</w:t>
      </w:r>
      <w:r w:rsidR="006F36E5">
        <w:rPr>
          <w:rFonts w:cs="Calibri"/>
          <w:b/>
          <w:bCs/>
          <w:i w:val="0"/>
          <w:iCs w:val="0"/>
          <w:noProof/>
          <w:color w:val="auto"/>
          <w:sz w:val="22"/>
          <w:szCs w:val="22"/>
        </w:rPr>
        <w:t xml:space="preserve"> A2-1</w:t>
      </w:r>
      <w:r w:rsidRPr="00E025BC">
        <w:rPr>
          <w:rFonts w:cs="Calibri"/>
          <w:b/>
          <w:bCs/>
          <w:i w:val="0"/>
          <w:iCs w:val="0"/>
          <w:noProof/>
          <w:color w:val="auto"/>
          <w:sz w:val="22"/>
          <w:szCs w:val="22"/>
        </w:rPr>
        <w:t xml:space="preserve">. </w:t>
      </w:r>
      <w:r>
        <w:rPr>
          <w:rFonts w:cs="Calibri"/>
          <w:b/>
          <w:bCs/>
          <w:i w:val="0"/>
          <w:iCs w:val="0"/>
          <w:color w:val="auto"/>
          <w:sz w:val="22"/>
          <w:szCs w:val="22"/>
        </w:rPr>
        <w:t>Average Output and Net Load Reduction ELCC Comparison</w:t>
      </w:r>
    </w:p>
    <w:tbl>
      <w:tblPr>
        <w:tblW w:w="5000" w:type="pct"/>
        <w:jc w:val="center"/>
        <w:tblCellMar>
          <w:left w:w="0" w:type="dxa"/>
          <w:right w:w="0" w:type="dxa"/>
        </w:tblCellMar>
        <w:tblLook w:val="0600" w:firstRow="0" w:lastRow="0" w:firstColumn="0" w:lastColumn="0" w:noHBand="1" w:noVBand="1"/>
      </w:tblPr>
      <w:tblGrid>
        <w:gridCol w:w="1024"/>
        <w:gridCol w:w="2034"/>
        <w:gridCol w:w="2034"/>
        <w:gridCol w:w="248"/>
        <w:gridCol w:w="2034"/>
        <w:gridCol w:w="2032"/>
      </w:tblGrid>
      <w:tr w:rsidR="00E41111" w:rsidRPr="006E164E" w14:paraId="179DA6A1" w14:textId="77777777" w:rsidTr="006F36E5">
        <w:trPr>
          <w:trHeight w:val="300"/>
          <w:jc w:val="center"/>
        </w:trPr>
        <w:tc>
          <w:tcPr>
            <w:tcW w:w="545"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8DD91C2" w14:textId="496C7262" w:rsidR="00E41111" w:rsidRPr="006E164E" w:rsidRDefault="00E41111" w:rsidP="006F36E5">
            <w:pPr>
              <w:spacing w:after="0" w:line="240" w:lineRule="auto"/>
              <w:jc w:val="center"/>
              <w:textAlignment w:val="bottom"/>
              <w:rPr>
                <w:rFonts w:eastAsia="Times New Roman" w:cs="Calibri"/>
              </w:rPr>
            </w:pPr>
          </w:p>
        </w:tc>
        <w:tc>
          <w:tcPr>
            <w:tcW w:w="2161"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72D950B"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b/>
                <w:bCs/>
                <w:color w:val="000000"/>
              </w:rPr>
              <w:t>Wind</w:t>
            </w:r>
          </w:p>
        </w:tc>
        <w:tc>
          <w:tcPr>
            <w:tcW w:w="13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ABBB179" w14:textId="77777777" w:rsidR="00E41111" w:rsidRPr="006E164E" w:rsidRDefault="00E41111" w:rsidP="00A663C5">
            <w:pPr>
              <w:spacing w:after="0" w:line="240" w:lineRule="auto"/>
              <w:jc w:val="center"/>
              <w:rPr>
                <w:rFonts w:eastAsia="Times New Roman" w:cs="Calibri"/>
              </w:rPr>
            </w:pPr>
          </w:p>
        </w:tc>
        <w:tc>
          <w:tcPr>
            <w:tcW w:w="2161"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D9426B4"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b/>
                <w:bCs/>
                <w:color w:val="000000"/>
              </w:rPr>
              <w:t>Solar</w:t>
            </w:r>
          </w:p>
        </w:tc>
      </w:tr>
      <w:tr w:rsidR="00E41111" w:rsidRPr="006E164E" w14:paraId="1B8DFE74" w14:textId="77777777" w:rsidTr="006F36E5">
        <w:trPr>
          <w:trHeight w:val="600"/>
          <w:jc w:val="center"/>
        </w:trPr>
        <w:tc>
          <w:tcPr>
            <w:tcW w:w="545"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160E1CCC" w14:textId="606CEB0C" w:rsidR="00E41111" w:rsidRPr="006E164E" w:rsidRDefault="00E41111" w:rsidP="006F36E5">
            <w:pPr>
              <w:spacing w:after="0" w:line="240" w:lineRule="auto"/>
              <w:jc w:val="center"/>
              <w:textAlignment w:val="bottom"/>
              <w:rPr>
                <w:rFonts w:eastAsia="Times New Roman" w:cs="Calibri"/>
              </w:rPr>
            </w:pP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36737B54"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b/>
                <w:bCs/>
                <w:color w:val="000000"/>
              </w:rPr>
              <w:t>Avg Output During Top 20 Load Hours</w:t>
            </w:r>
            <w:r>
              <w:rPr>
                <w:rFonts w:eastAsia="Times New Roman" w:cs="Calibri"/>
                <w:b/>
                <w:bCs/>
                <w:color w:val="000000"/>
              </w:rPr>
              <w:t xml:space="preserve"> (ERCOT Accounting Method)</w:t>
            </w: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074F085B"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b/>
                <w:bCs/>
                <w:color w:val="000000"/>
              </w:rPr>
              <w:t>Net Load Reduction</w:t>
            </w:r>
            <w:r>
              <w:rPr>
                <w:rFonts w:eastAsia="Times New Roman" w:cs="Calibri"/>
                <w:b/>
                <w:bCs/>
                <w:color w:val="000000"/>
              </w:rPr>
              <w:t xml:space="preserve"> (True Reliability Contribution)</w:t>
            </w:r>
          </w:p>
        </w:tc>
        <w:tc>
          <w:tcPr>
            <w:tcW w:w="132"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E003F6E" w14:textId="77777777" w:rsidR="00E41111" w:rsidRPr="006E164E" w:rsidRDefault="00E41111" w:rsidP="00A663C5">
            <w:pPr>
              <w:spacing w:after="0" w:line="240" w:lineRule="auto"/>
              <w:jc w:val="center"/>
              <w:rPr>
                <w:rFonts w:eastAsia="Times New Roman" w:cs="Calibri"/>
              </w:rPr>
            </w:pP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6A8E5DE3"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b/>
                <w:bCs/>
                <w:color w:val="000000"/>
              </w:rPr>
              <w:t>Avg Output During Top 20 Load Hours</w:t>
            </w:r>
            <w:r>
              <w:rPr>
                <w:rFonts w:eastAsia="Times New Roman" w:cs="Calibri"/>
                <w:b/>
                <w:bCs/>
                <w:color w:val="000000"/>
              </w:rPr>
              <w:t xml:space="preserve"> (ERCOT Accounting Method)</w:t>
            </w:r>
          </w:p>
        </w:tc>
        <w:tc>
          <w:tcPr>
            <w:tcW w:w="1081" w:type="pct"/>
            <w:tcBorders>
              <w:top w:val="single" w:sz="8" w:space="0" w:color="000000"/>
              <w:left w:val="nil"/>
              <w:bottom w:val="single" w:sz="4" w:space="0" w:color="000000"/>
              <w:right w:val="nil"/>
            </w:tcBorders>
            <w:shd w:val="clear" w:color="auto" w:fill="auto"/>
            <w:tcMar>
              <w:top w:w="15" w:type="dxa"/>
              <w:left w:w="15" w:type="dxa"/>
              <w:bottom w:w="0" w:type="dxa"/>
              <w:right w:w="15" w:type="dxa"/>
            </w:tcMar>
            <w:vAlign w:val="center"/>
            <w:hideMark/>
          </w:tcPr>
          <w:p w14:paraId="72B4C246"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b/>
                <w:bCs/>
                <w:color w:val="000000"/>
              </w:rPr>
              <w:t>Net Load Reduction</w:t>
            </w:r>
            <w:r>
              <w:rPr>
                <w:rFonts w:eastAsia="Times New Roman" w:cs="Calibri"/>
                <w:b/>
                <w:bCs/>
                <w:color w:val="000000"/>
              </w:rPr>
              <w:t xml:space="preserve"> (True Reliability Contribution)</w:t>
            </w:r>
          </w:p>
        </w:tc>
      </w:tr>
      <w:tr w:rsidR="00E41111" w:rsidRPr="006E164E" w14:paraId="53BC7401" w14:textId="77777777" w:rsidTr="006F36E5">
        <w:trPr>
          <w:trHeight w:val="300"/>
          <w:jc w:val="center"/>
        </w:trPr>
        <w:tc>
          <w:tcPr>
            <w:tcW w:w="545"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316767E8"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2010</w:t>
            </w: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6709F8DC"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12%</w:t>
            </w: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049CF800"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8%</w:t>
            </w:r>
          </w:p>
        </w:tc>
        <w:tc>
          <w:tcPr>
            <w:tcW w:w="132"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14E2D6F1" w14:textId="77777777" w:rsidR="00E41111" w:rsidRPr="006E164E" w:rsidRDefault="00E41111" w:rsidP="00A663C5">
            <w:pPr>
              <w:spacing w:after="0" w:line="240" w:lineRule="auto"/>
              <w:jc w:val="center"/>
              <w:rPr>
                <w:rFonts w:eastAsia="Times New Roman" w:cs="Calibri"/>
              </w:rPr>
            </w:pP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5D5CA534"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78%</w:t>
            </w:r>
          </w:p>
        </w:tc>
        <w:tc>
          <w:tcPr>
            <w:tcW w:w="1081" w:type="pct"/>
            <w:tcBorders>
              <w:top w:val="single" w:sz="4" w:space="0" w:color="000000"/>
              <w:left w:val="nil"/>
              <w:bottom w:val="nil"/>
              <w:right w:val="nil"/>
            </w:tcBorders>
            <w:shd w:val="clear" w:color="auto" w:fill="D9D9D9"/>
            <w:tcMar>
              <w:top w:w="15" w:type="dxa"/>
              <w:left w:w="15" w:type="dxa"/>
              <w:bottom w:w="0" w:type="dxa"/>
              <w:right w:w="15" w:type="dxa"/>
            </w:tcMar>
            <w:vAlign w:val="center"/>
            <w:hideMark/>
          </w:tcPr>
          <w:p w14:paraId="463AAAEF"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75%</w:t>
            </w:r>
          </w:p>
        </w:tc>
      </w:tr>
      <w:tr w:rsidR="00E41111" w:rsidRPr="006E164E" w14:paraId="0C1B6B1E" w14:textId="77777777" w:rsidTr="006F36E5">
        <w:trPr>
          <w:trHeight w:val="300"/>
          <w:jc w:val="center"/>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7FBB3AC1"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2011</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4CC9E9A3"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24%</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914DEDD"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12%</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30B6BD85"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6D916D42"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83%</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F1963ED"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72%</w:t>
            </w:r>
          </w:p>
        </w:tc>
      </w:tr>
      <w:tr w:rsidR="00E41111" w:rsidRPr="006E164E" w14:paraId="7498E67C" w14:textId="77777777" w:rsidTr="006F36E5">
        <w:trPr>
          <w:trHeight w:val="300"/>
          <w:jc w:val="center"/>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12E926A8"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2012</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157CBCD2"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13%</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6D648A32"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6%</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45168C10"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0D080ADF"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80%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0895C450"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72%</w:t>
            </w:r>
          </w:p>
        </w:tc>
      </w:tr>
      <w:tr w:rsidR="00E41111" w:rsidRPr="006E164E" w14:paraId="179912BB" w14:textId="77777777" w:rsidTr="006F36E5">
        <w:trPr>
          <w:trHeight w:val="300"/>
          <w:jc w:val="center"/>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28CF1072"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2013</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2AB6A062"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24%</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3B33A791"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13%</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47B048F5"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50EBAC54"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82%</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C3EFDBC"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80%</w:t>
            </w:r>
          </w:p>
        </w:tc>
      </w:tr>
      <w:tr w:rsidR="00E41111" w:rsidRPr="006E164E" w14:paraId="559C8D06" w14:textId="77777777" w:rsidTr="006F36E5">
        <w:trPr>
          <w:trHeight w:val="300"/>
          <w:jc w:val="center"/>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6670461B"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2014</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7C3E6028"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24%</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7FFBE360"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16%</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7D4EDC06"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555BBFA6"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80%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3BD42BAE"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68%</w:t>
            </w:r>
          </w:p>
        </w:tc>
      </w:tr>
      <w:tr w:rsidR="00E41111" w:rsidRPr="006E164E" w14:paraId="2AD9746A" w14:textId="77777777" w:rsidTr="006F36E5">
        <w:trPr>
          <w:trHeight w:val="300"/>
          <w:jc w:val="center"/>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71DAFEB6"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2015</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96A7CA8"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18%</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053D32A5"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13%</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17CC8FED"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1DBA427A"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81%</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0D9511D3"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76%</w:t>
            </w:r>
          </w:p>
        </w:tc>
      </w:tr>
      <w:tr w:rsidR="00E41111" w:rsidRPr="006E164E" w14:paraId="7854F0DD" w14:textId="77777777" w:rsidTr="006F36E5">
        <w:trPr>
          <w:trHeight w:val="300"/>
          <w:jc w:val="center"/>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7353D927"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2016</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72BE946B"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30%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1450B267"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21%</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76D8D1B0"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76F13695"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76%</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1EC7F6D4"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71%</w:t>
            </w:r>
          </w:p>
        </w:tc>
      </w:tr>
      <w:tr w:rsidR="00E41111" w:rsidRPr="006E164E" w14:paraId="2111C9DC" w14:textId="77777777" w:rsidTr="006F36E5">
        <w:trPr>
          <w:trHeight w:val="300"/>
          <w:jc w:val="center"/>
        </w:trPr>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6DA943EC"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2017</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119F9578"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24%</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3235E341" w14:textId="77777777" w:rsidR="00E41111" w:rsidRPr="006E164E" w:rsidRDefault="00E41111" w:rsidP="0091652D">
            <w:pPr>
              <w:spacing w:after="0" w:line="240" w:lineRule="auto"/>
              <w:jc w:val="center"/>
              <w:textAlignment w:val="bottom"/>
              <w:rPr>
                <w:rFonts w:eastAsia="Times New Roman" w:cs="Calibri"/>
              </w:rPr>
            </w:pPr>
            <w:r w:rsidRPr="006E164E">
              <w:rPr>
                <w:rFonts w:eastAsia="Times New Roman" w:cs="Calibri"/>
                <w:color w:val="000000"/>
              </w:rPr>
              <w:t>18%</w:t>
            </w:r>
          </w:p>
        </w:tc>
        <w:tc>
          <w:tcPr>
            <w:tcW w:w="132" w:type="pct"/>
            <w:tcBorders>
              <w:top w:val="nil"/>
              <w:left w:val="nil"/>
              <w:bottom w:val="nil"/>
              <w:right w:val="nil"/>
            </w:tcBorders>
            <w:shd w:val="clear" w:color="auto" w:fill="auto"/>
            <w:tcMar>
              <w:top w:w="15" w:type="dxa"/>
              <w:left w:w="15" w:type="dxa"/>
              <w:bottom w:w="0" w:type="dxa"/>
              <w:right w:w="15" w:type="dxa"/>
            </w:tcMar>
            <w:vAlign w:val="center"/>
            <w:hideMark/>
          </w:tcPr>
          <w:p w14:paraId="585BF31A"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5A8A1904"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75%</w:t>
            </w:r>
          </w:p>
        </w:tc>
        <w:tc>
          <w:tcPr>
            <w:tcW w:w="1081" w:type="pct"/>
            <w:tcBorders>
              <w:top w:val="nil"/>
              <w:left w:val="nil"/>
              <w:bottom w:val="nil"/>
              <w:right w:val="nil"/>
            </w:tcBorders>
            <w:shd w:val="clear" w:color="auto" w:fill="auto"/>
            <w:tcMar>
              <w:top w:w="15" w:type="dxa"/>
              <w:left w:w="15" w:type="dxa"/>
              <w:bottom w:w="0" w:type="dxa"/>
              <w:right w:w="15" w:type="dxa"/>
            </w:tcMar>
            <w:vAlign w:val="center"/>
            <w:hideMark/>
          </w:tcPr>
          <w:p w14:paraId="7EEE8FDB"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68%</w:t>
            </w:r>
          </w:p>
        </w:tc>
      </w:tr>
      <w:tr w:rsidR="00E41111" w:rsidRPr="006E164E" w14:paraId="13DC2D55" w14:textId="77777777" w:rsidTr="006F36E5">
        <w:trPr>
          <w:trHeight w:val="300"/>
          <w:jc w:val="center"/>
        </w:trPr>
        <w:tc>
          <w:tcPr>
            <w:tcW w:w="545" w:type="pct"/>
            <w:tcBorders>
              <w:top w:val="nil"/>
              <w:left w:val="nil"/>
              <w:bottom w:val="nil"/>
              <w:right w:val="nil"/>
            </w:tcBorders>
            <w:shd w:val="clear" w:color="auto" w:fill="D9D9D9"/>
            <w:tcMar>
              <w:top w:w="15" w:type="dxa"/>
              <w:left w:w="15" w:type="dxa"/>
              <w:bottom w:w="0" w:type="dxa"/>
              <w:right w:w="15" w:type="dxa"/>
            </w:tcMar>
            <w:vAlign w:val="center"/>
            <w:hideMark/>
          </w:tcPr>
          <w:p w14:paraId="4279B5CB"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2018</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5240016A"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7C832316"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16%</w:t>
            </w:r>
          </w:p>
        </w:tc>
        <w:tc>
          <w:tcPr>
            <w:tcW w:w="132" w:type="pct"/>
            <w:tcBorders>
              <w:top w:val="nil"/>
              <w:left w:val="nil"/>
              <w:bottom w:val="nil"/>
              <w:right w:val="nil"/>
            </w:tcBorders>
            <w:shd w:val="clear" w:color="auto" w:fill="D9D9D9"/>
            <w:tcMar>
              <w:top w:w="15" w:type="dxa"/>
              <w:left w:w="15" w:type="dxa"/>
              <w:bottom w:w="0" w:type="dxa"/>
              <w:right w:w="15" w:type="dxa"/>
            </w:tcMar>
            <w:vAlign w:val="center"/>
            <w:hideMark/>
          </w:tcPr>
          <w:p w14:paraId="4DE5EC31"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08A2EE8B"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76%</w:t>
            </w:r>
          </w:p>
        </w:tc>
        <w:tc>
          <w:tcPr>
            <w:tcW w:w="1081" w:type="pct"/>
            <w:tcBorders>
              <w:top w:val="nil"/>
              <w:left w:val="nil"/>
              <w:bottom w:val="nil"/>
              <w:right w:val="nil"/>
            </w:tcBorders>
            <w:shd w:val="clear" w:color="auto" w:fill="D9D9D9"/>
            <w:tcMar>
              <w:top w:w="15" w:type="dxa"/>
              <w:left w:w="15" w:type="dxa"/>
              <w:bottom w:w="0" w:type="dxa"/>
              <w:right w:w="15" w:type="dxa"/>
            </w:tcMar>
            <w:vAlign w:val="center"/>
            <w:hideMark/>
          </w:tcPr>
          <w:p w14:paraId="6DA5FCB2"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70%</w:t>
            </w:r>
          </w:p>
        </w:tc>
      </w:tr>
      <w:tr w:rsidR="00E41111" w:rsidRPr="006E164E" w14:paraId="2EAF0CEF" w14:textId="77777777" w:rsidTr="006F36E5">
        <w:trPr>
          <w:trHeight w:val="300"/>
          <w:jc w:val="center"/>
        </w:trPr>
        <w:tc>
          <w:tcPr>
            <w:tcW w:w="545"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0C3C251"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2019</w:t>
            </w: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10245E2"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27%</w:t>
            </w: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F3FF299" w14:textId="77777777" w:rsidR="00E41111" w:rsidRPr="006E164E" w:rsidRDefault="00E41111" w:rsidP="00556234">
            <w:pPr>
              <w:spacing w:after="0" w:line="240" w:lineRule="auto"/>
              <w:jc w:val="center"/>
              <w:textAlignment w:val="bottom"/>
              <w:rPr>
                <w:rFonts w:eastAsia="Times New Roman" w:cs="Calibri"/>
              </w:rPr>
            </w:pPr>
            <w:r w:rsidRPr="006E164E">
              <w:rPr>
                <w:rFonts w:eastAsia="Times New Roman" w:cs="Calibri"/>
                <w:color w:val="000000"/>
              </w:rPr>
              <w:t>16%</w:t>
            </w:r>
          </w:p>
        </w:tc>
        <w:tc>
          <w:tcPr>
            <w:tcW w:w="132"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534ADAEE" w14:textId="77777777" w:rsidR="00E41111" w:rsidRPr="006E164E" w:rsidRDefault="00E41111" w:rsidP="00A663C5">
            <w:pPr>
              <w:spacing w:after="0" w:line="240" w:lineRule="auto"/>
              <w:jc w:val="center"/>
              <w:rPr>
                <w:rFonts w:eastAsia="Times New Roman" w:cs="Calibri"/>
              </w:rPr>
            </w:pP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79BDC655"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79%</w:t>
            </w:r>
          </w:p>
        </w:tc>
        <w:tc>
          <w:tcPr>
            <w:tcW w:w="1081" w:type="pct"/>
            <w:tcBorders>
              <w:top w:val="nil"/>
              <w:left w:val="nil"/>
              <w:bottom w:val="single" w:sz="4" w:space="0" w:color="000000"/>
              <w:right w:val="nil"/>
            </w:tcBorders>
            <w:shd w:val="clear" w:color="auto" w:fill="auto"/>
            <w:tcMar>
              <w:top w:w="15" w:type="dxa"/>
              <w:left w:w="15" w:type="dxa"/>
              <w:bottom w:w="0" w:type="dxa"/>
              <w:right w:w="15" w:type="dxa"/>
            </w:tcMar>
            <w:vAlign w:val="center"/>
            <w:hideMark/>
          </w:tcPr>
          <w:p w14:paraId="006E9DF9"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color w:val="000000"/>
              </w:rPr>
              <w:t>65%</w:t>
            </w:r>
          </w:p>
        </w:tc>
      </w:tr>
      <w:tr w:rsidR="00E41111" w:rsidRPr="006E164E" w14:paraId="123E5119" w14:textId="77777777" w:rsidTr="006F36E5">
        <w:trPr>
          <w:trHeight w:val="300"/>
          <w:jc w:val="center"/>
        </w:trPr>
        <w:tc>
          <w:tcPr>
            <w:tcW w:w="545"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C8FFE80"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b/>
                <w:bCs/>
                <w:color w:val="000000"/>
              </w:rPr>
              <w:t>Average</w:t>
            </w: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B233308"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b/>
                <w:bCs/>
                <w:color w:val="000000"/>
              </w:rPr>
              <w:t>22%</w:t>
            </w: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069706A"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b/>
                <w:bCs/>
                <w:color w:val="000000"/>
              </w:rPr>
              <w:t>14%</w:t>
            </w:r>
          </w:p>
        </w:tc>
        <w:tc>
          <w:tcPr>
            <w:tcW w:w="132"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80A8509" w14:textId="77777777" w:rsidR="00E41111" w:rsidRPr="006E164E" w:rsidRDefault="00E41111" w:rsidP="00A663C5">
            <w:pPr>
              <w:spacing w:after="0" w:line="240" w:lineRule="auto"/>
              <w:jc w:val="center"/>
              <w:rPr>
                <w:rFonts w:eastAsia="Times New Roman" w:cs="Calibri"/>
              </w:rPr>
            </w:pP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69E896D"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b/>
                <w:bCs/>
                <w:color w:val="000000"/>
              </w:rPr>
              <w:t>79%</w:t>
            </w:r>
          </w:p>
        </w:tc>
        <w:tc>
          <w:tcPr>
            <w:tcW w:w="1081" w:type="pct"/>
            <w:tcBorders>
              <w:top w:val="single" w:sz="4"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B0B0EAA" w14:textId="77777777" w:rsidR="00E41111" w:rsidRPr="006E164E" w:rsidRDefault="00E41111" w:rsidP="006F36E5">
            <w:pPr>
              <w:spacing w:after="0" w:line="240" w:lineRule="auto"/>
              <w:jc w:val="center"/>
              <w:textAlignment w:val="bottom"/>
              <w:rPr>
                <w:rFonts w:eastAsia="Times New Roman" w:cs="Calibri"/>
              </w:rPr>
            </w:pPr>
            <w:r w:rsidRPr="006E164E">
              <w:rPr>
                <w:rFonts w:eastAsia="Times New Roman" w:cs="Calibri"/>
                <w:b/>
                <w:bCs/>
                <w:color w:val="000000"/>
              </w:rPr>
              <w:t>72%</w:t>
            </w:r>
          </w:p>
        </w:tc>
      </w:tr>
    </w:tbl>
    <w:p w14:paraId="1E21941C" w14:textId="36C0D63B" w:rsidR="00F27FFA" w:rsidRDefault="00F27FFA" w:rsidP="00F27FFA">
      <w:pPr>
        <w:pStyle w:val="Heading2"/>
      </w:pPr>
      <w:bookmarkStart w:id="670" w:name="_Toc57193610"/>
      <w:r>
        <w:t>ELCC Results</w:t>
      </w:r>
      <w:bookmarkEnd w:id="670"/>
    </w:p>
    <w:p w14:paraId="270128C2" w14:textId="0965B6C7" w:rsidR="00E41111" w:rsidRDefault="00E41111" w:rsidP="00556234">
      <w:pPr>
        <w:jc w:val="both"/>
      </w:pPr>
      <w:r>
        <w:t xml:space="preserve">The net load reductions in Table </w:t>
      </w:r>
      <w:r w:rsidR="006F36E5">
        <w:t>A</w:t>
      </w:r>
      <w:r>
        <w:t>2</w:t>
      </w:r>
      <w:r w:rsidR="006F36E5">
        <w:t>-1</w:t>
      </w:r>
      <w:r>
        <w:t xml:space="preserve"> indicate the true reliability contribution, but SERVM simulations are required to get precise values. Performing the average ELCC simulations results in ELCCs for the entire renewable portfolio in Table </w:t>
      </w:r>
      <w:r w:rsidR="006F36E5">
        <w:t>A2-2</w:t>
      </w:r>
      <w:r>
        <w:t>.</w:t>
      </w:r>
    </w:p>
    <w:p w14:paraId="20110B19" w14:textId="4C09EAE6" w:rsidR="006F36E5" w:rsidRDefault="006F36E5" w:rsidP="006F36E5">
      <w:pPr>
        <w:pStyle w:val="Caption"/>
        <w:jc w:val="center"/>
        <w:rPr>
          <w:rFonts w:cs="Calibri"/>
          <w:b/>
          <w:bCs/>
          <w:i w:val="0"/>
          <w:iCs w:val="0"/>
          <w:color w:val="auto"/>
          <w:sz w:val="22"/>
          <w:szCs w:val="22"/>
        </w:rPr>
      </w:pPr>
      <w:r w:rsidRPr="00E025BC">
        <w:rPr>
          <w:rFonts w:cs="Calibri"/>
          <w:b/>
          <w:bCs/>
          <w:i w:val="0"/>
          <w:iCs w:val="0"/>
          <w:color w:val="auto"/>
          <w:sz w:val="22"/>
          <w:szCs w:val="22"/>
        </w:rPr>
        <w:t>Table</w:t>
      </w:r>
      <w:r>
        <w:rPr>
          <w:rFonts w:cs="Calibri"/>
          <w:b/>
          <w:bCs/>
          <w:i w:val="0"/>
          <w:iCs w:val="0"/>
          <w:noProof/>
          <w:color w:val="auto"/>
          <w:sz w:val="22"/>
          <w:szCs w:val="22"/>
        </w:rPr>
        <w:t xml:space="preserve"> A2-2</w:t>
      </w:r>
      <w:r w:rsidRPr="00E025BC">
        <w:rPr>
          <w:rFonts w:cs="Calibri"/>
          <w:b/>
          <w:bCs/>
          <w:i w:val="0"/>
          <w:iCs w:val="0"/>
          <w:noProof/>
          <w:color w:val="auto"/>
          <w:sz w:val="22"/>
          <w:szCs w:val="22"/>
        </w:rPr>
        <w:t xml:space="preserve">. </w:t>
      </w:r>
      <w:r>
        <w:rPr>
          <w:rFonts w:cs="Calibri"/>
          <w:b/>
          <w:bCs/>
          <w:i w:val="0"/>
          <w:iCs w:val="0"/>
          <w:color w:val="auto"/>
          <w:sz w:val="22"/>
          <w:szCs w:val="22"/>
        </w:rPr>
        <w:t>Average ELCC Simulation Results for Entire Renewable Portfolio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080"/>
        <w:gridCol w:w="1260"/>
        <w:gridCol w:w="3281"/>
      </w:tblGrid>
      <w:tr w:rsidR="006F36E5" w14:paraId="378B378D" w14:textId="77777777" w:rsidTr="006F36E5">
        <w:trPr>
          <w:trHeight w:val="20"/>
        </w:trPr>
        <w:tc>
          <w:tcPr>
            <w:tcW w:w="3775" w:type="dxa"/>
            <w:tcBorders>
              <w:top w:val="single" w:sz="4" w:space="0" w:color="auto"/>
              <w:bottom w:val="single" w:sz="4" w:space="0" w:color="auto"/>
            </w:tcBorders>
          </w:tcPr>
          <w:p w14:paraId="7B0D28D9" w14:textId="77777777" w:rsidR="006F36E5" w:rsidRDefault="006F36E5" w:rsidP="006F36E5">
            <w:pPr>
              <w:spacing w:after="0"/>
            </w:pPr>
          </w:p>
        </w:tc>
        <w:tc>
          <w:tcPr>
            <w:tcW w:w="1080" w:type="dxa"/>
            <w:tcBorders>
              <w:top w:val="single" w:sz="4" w:space="0" w:color="auto"/>
              <w:bottom w:val="single" w:sz="4" w:space="0" w:color="auto"/>
            </w:tcBorders>
            <w:vAlign w:val="center"/>
          </w:tcPr>
          <w:p w14:paraId="42E5047E" w14:textId="5B40CCEC" w:rsidR="006F36E5" w:rsidRPr="006F36E5" w:rsidRDefault="006F36E5" w:rsidP="006F36E5">
            <w:pPr>
              <w:spacing w:after="0"/>
              <w:jc w:val="center"/>
              <w:rPr>
                <w:b/>
                <w:bCs/>
              </w:rPr>
            </w:pPr>
            <w:r w:rsidRPr="006F36E5">
              <w:rPr>
                <w:b/>
                <w:bCs/>
              </w:rPr>
              <w:t>2020</w:t>
            </w:r>
          </w:p>
        </w:tc>
        <w:tc>
          <w:tcPr>
            <w:tcW w:w="1260" w:type="dxa"/>
            <w:tcBorders>
              <w:top w:val="single" w:sz="4" w:space="0" w:color="auto"/>
              <w:bottom w:val="single" w:sz="4" w:space="0" w:color="auto"/>
            </w:tcBorders>
            <w:vAlign w:val="center"/>
          </w:tcPr>
          <w:p w14:paraId="66EA32C2" w14:textId="00FC997B" w:rsidR="006F36E5" w:rsidRPr="006F36E5" w:rsidRDefault="006F36E5" w:rsidP="006F36E5">
            <w:pPr>
              <w:spacing w:after="0"/>
              <w:jc w:val="center"/>
              <w:rPr>
                <w:b/>
                <w:bCs/>
              </w:rPr>
            </w:pPr>
            <w:r w:rsidRPr="006F36E5">
              <w:rPr>
                <w:b/>
                <w:bCs/>
              </w:rPr>
              <w:t>2024</w:t>
            </w:r>
          </w:p>
        </w:tc>
        <w:tc>
          <w:tcPr>
            <w:tcW w:w="3281" w:type="dxa"/>
            <w:tcBorders>
              <w:top w:val="single" w:sz="4" w:space="0" w:color="auto"/>
              <w:bottom w:val="single" w:sz="4" w:space="0" w:color="auto"/>
            </w:tcBorders>
            <w:vAlign w:val="center"/>
          </w:tcPr>
          <w:p w14:paraId="41AA2647" w14:textId="65AD9B12" w:rsidR="006F36E5" w:rsidRPr="006F36E5" w:rsidRDefault="006F36E5" w:rsidP="006F36E5">
            <w:pPr>
              <w:spacing w:after="0"/>
              <w:jc w:val="center"/>
              <w:rPr>
                <w:b/>
                <w:bCs/>
              </w:rPr>
            </w:pPr>
            <w:r w:rsidRPr="006F36E5">
              <w:rPr>
                <w:b/>
                <w:bCs/>
              </w:rPr>
              <w:t>2024 High Renewable</w:t>
            </w:r>
          </w:p>
        </w:tc>
      </w:tr>
      <w:tr w:rsidR="006F36E5" w14:paraId="423330D1" w14:textId="77777777" w:rsidTr="006F36E5">
        <w:trPr>
          <w:trHeight w:val="20"/>
        </w:trPr>
        <w:tc>
          <w:tcPr>
            <w:tcW w:w="3775" w:type="dxa"/>
            <w:tcBorders>
              <w:top w:val="single" w:sz="4" w:space="0" w:color="auto"/>
            </w:tcBorders>
            <w:shd w:val="clear" w:color="auto" w:fill="D9D9D9" w:themeFill="background1" w:themeFillShade="D9"/>
          </w:tcPr>
          <w:p w14:paraId="72DEFA2E" w14:textId="4575E517" w:rsidR="006F36E5" w:rsidRDefault="006F36E5" w:rsidP="006F36E5">
            <w:pPr>
              <w:spacing w:after="0"/>
            </w:pPr>
            <w:r>
              <w:t>All Renewable ELCC (MW)</w:t>
            </w:r>
          </w:p>
        </w:tc>
        <w:tc>
          <w:tcPr>
            <w:tcW w:w="1080" w:type="dxa"/>
            <w:tcBorders>
              <w:top w:val="single" w:sz="4" w:space="0" w:color="auto"/>
            </w:tcBorders>
            <w:shd w:val="clear" w:color="auto" w:fill="D9D9D9" w:themeFill="background1" w:themeFillShade="D9"/>
            <w:vAlign w:val="center"/>
          </w:tcPr>
          <w:p w14:paraId="6F30AE5E" w14:textId="0B052751" w:rsidR="006F36E5" w:rsidRDefault="006F36E5" w:rsidP="006F36E5">
            <w:pPr>
              <w:spacing w:after="0"/>
              <w:jc w:val="center"/>
            </w:pPr>
            <w:r>
              <w:t>9,436</w:t>
            </w:r>
          </w:p>
        </w:tc>
        <w:tc>
          <w:tcPr>
            <w:tcW w:w="1260" w:type="dxa"/>
            <w:tcBorders>
              <w:top w:val="single" w:sz="4" w:space="0" w:color="auto"/>
            </w:tcBorders>
            <w:shd w:val="clear" w:color="auto" w:fill="D9D9D9" w:themeFill="background1" w:themeFillShade="D9"/>
            <w:vAlign w:val="center"/>
          </w:tcPr>
          <w:p w14:paraId="399E4F80" w14:textId="04EBED12" w:rsidR="006F36E5" w:rsidRDefault="006F36E5" w:rsidP="006F36E5">
            <w:pPr>
              <w:spacing w:after="0"/>
              <w:jc w:val="center"/>
            </w:pPr>
            <w:r>
              <w:t>18,693</w:t>
            </w:r>
          </w:p>
        </w:tc>
        <w:tc>
          <w:tcPr>
            <w:tcW w:w="3281" w:type="dxa"/>
            <w:tcBorders>
              <w:top w:val="single" w:sz="4" w:space="0" w:color="auto"/>
            </w:tcBorders>
            <w:shd w:val="clear" w:color="auto" w:fill="D9D9D9" w:themeFill="background1" w:themeFillShade="D9"/>
            <w:vAlign w:val="center"/>
          </w:tcPr>
          <w:p w14:paraId="095CA504" w14:textId="12842A90" w:rsidR="006F36E5" w:rsidRDefault="006F36E5" w:rsidP="006F36E5">
            <w:pPr>
              <w:spacing w:after="0"/>
              <w:jc w:val="center"/>
            </w:pPr>
            <w:r>
              <w:t>22,844</w:t>
            </w:r>
          </w:p>
        </w:tc>
      </w:tr>
      <w:tr w:rsidR="006F36E5" w14:paraId="502355B6" w14:textId="77777777" w:rsidTr="006F36E5">
        <w:trPr>
          <w:trHeight w:val="20"/>
        </w:trPr>
        <w:tc>
          <w:tcPr>
            <w:tcW w:w="3775" w:type="dxa"/>
          </w:tcPr>
          <w:p w14:paraId="40E49BC4" w14:textId="6C244635" w:rsidR="006F36E5" w:rsidRDefault="006F36E5" w:rsidP="006F36E5">
            <w:pPr>
              <w:spacing w:after="0"/>
            </w:pPr>
            <w:r>
              <w:t>All Renewable Installed Capacity (MW)</w:t>
            </w:r>
          </w:p>
        </w:tc>
        <w:tc>
          <w:tcPr>
            <w:tcW w:w="1080" w:type="dxa"/>
            <w:vAlign w:val="center"/>
          </w:tcPr>
          <w:p w14:paraId="1D387FE1" w14:textId="163E00A5" w:rsidR="006F36E5" w:rsidRDefault="006F36E5" w:rsidP="006F36E5">
            <w:pPr>
              <w:spacing w:after="0"/>
              <w:jc w:val="center"/>
            </w:pPr>
            <w:r>
              <w:t>37,923</w:t>
            </w:r>
          </w:p>
        </w:tc>
        <w:tc>
          <w:tcPr>
            <w:tcW w:w="1260" w:type="dxa"/>
            <w:vAlign w:val="center"/>
          </w:tcPr>
          <w:p w14:paraId="1B8E8DC4" w14:textId="67838353" w:rsidR="006F36E5" w:rsidRDefault="006F36E5" w:rsidP="006F36E5">
            <w:pPr>
              <w:spacing w:after="0"/>
              <w:jc w:val="center"/>
            </w:pPr>
            <w:r>
              <w:t>53,397</w:t>
            </w:r>
          </w:p>
        </w:tc>
        <w:tc>
          <w:tcPr>
            <w:tcW w:w="3281" w:type="dxa"/>
            <w:vAlign w:val="center"/>
          </w:tcPr>
          <w:p w14:paraId="46E1666E" w14:textId="1925C4D7" w:rsidR="006F36E5" w:rsidRDefault="006F36E5" w:rsidP="006F36E5">
            <w:pPr>
              <w:spacing w:after="0"/>
              <w:jc w:val="center"/>
            </w:pPr>
            <w:r>
              <w:t>73,397</w:t>
            </w:r>
          </w:p>
        </w:tc>
      </w:tr>
      <w:tr w:rsidR="006F36E5" w14:paraId="19522C5B" w14:textId="77777777" w:rsidTr="006F36E5">
        <w:trPr>
          <w:trHeight w:val="20"/>
        </w:trPr>
        <w:tc>
          <w:tcPr>
            <w:tcW w:w="3775" w:type="dxa"/>
            <w:shd w:val="clear" w:color="auto" w:fill="D9D9D9" w:themeFill="background1" w:themeFillShade="D9"/>
          </w:tcPr>
          <w:p w14:paraId="3859982F" w14:textId="7D05F1B6" w:rsidR="006F36E5" w:rsidRDefault="006F36E5" w:rsidP="006F36E5">
            <w:pPr>
              <w:spacing w:after="0"/>
            </w:pPr>
            <w:r>
              <w:t>All Renewable ELCC (%)</w:t>
            </w:r>
          </w:p>
        </w:tc>
        <w:tc>
          <w:tcPr>
            <w:tcW w:w="1080" w:type="dxa"/>
            <w:shd w:val="clear" w:color="auto" w:fill="D9D9D9" w:themeFill="background1" w:themeFillShade="D9"/>
            <w:vAlign w:val="center"/>
          </w:tcPr>
          <w:p w14:paraId="60301711" w14:textId="5C32EB3C" w:rsidR="006F36E5" w:rsidRDefault="006F36E5" w:rsidP="006F36E5">
            <w:pPr>
              <w:spacing w:after="0"/>
              <w:jc w:val="center"/>
            </w:pPr>
            <w:r>
              <w:t>25%</w:t>
            </w:r>
          </w:p>
        </w:tc>
        <w:tc>
          <w:tcPr>
            <w:tcW w:w="1260" w:type="dxa"/>
            <w:shd w:val="clear" w:color="auto" w:fill="D9D9D9" w:themeFill="background1" w:themeFillShade="D9"/>
            <w:vAlign w:val="center"/>
          </w:tcPr>
          <w:p w14:paraId="2FF1D8C5" w14:textId="2CFB2B9B" w:rsidR="006F36E5" w:rsidRDefault="006F36E5" w:rsidP="006F36E5">
            <w:pPr>
              <w:spacing w:after="0"/>
              <w:jc w:val="center"/>
            </w:pPr>
            <w:r>
              <w:t>35%</w:t>
            </w:r>
          </w:p>
        </w:tc>
        <w:tc>
          <w:tcPr>
            <w:tcW w:w="3281" w:type="dxa"/>
            <w:shd w:val="clear" w:color="auto" w:fill="D9D9D9" w:themeFill="background1" w:themeFillShade="D9"/>
            <w:vAlign w:val="center"/>
          </w:tcPr>
          <w:p w14:paraId="6C15BF20" w14:textId="6166F692" w:rsidR="006F36E5" w:rsidRDefault="006F36E5" w:rsidP="006F36E5">
            <w:pPr>
              <w:spacing w:after="0"/>
              <w:jc w:val="center"/>
            </w:pPr>
            <w:r>
              <w:t>31%</w:t>
            </w:r>
          </w:p>
        </w:tc>
      </w:tr>
    </w:tbl>
    <w:p w14:paraId="7285616E" w14:textId="0FF2F55D" w:rsidR="00E41111" w:rsidRDefault="00E41111" w:rsidP="00A663C5">
      <w:pPr>
        <w:jc w:val="both"/>
      </w:pPr>
    </w:p>
    <w:p w14:paraId="01F7B9B1" w14:textId="59BBC0C1" w:rsidR="00E41111" w:rsidRDefault="00E41111" w:rsidP="00556234">
      <w:pPr>
        <w:jc w:val="both"/>
      </w:pPr>
      <w:r>
        <w:t xml:space="preserve">These renewable portfolio totals will be used in later steps since the sum of individual technology or zonal ELCCs cannot exceed the renewable portfolio total. Technology specific ELCCs are calculated by removing only the study resource. Since wind and solar exhibit some synergy for reliability contribution, the sum of the raw ELCCs for wind and solar is greater than the entire portfolio ELCC. Figure </w:t>
      </w:r>
      <w:r w:rsidR="006F36E5">
        <w:t>A2-3</w:t>
      </w:r>
      <w:r>
        <w:t xml:space="preserve"> shows how the addition of solar pushes the net load to late in the day when the aggregate ERCOT wind output is expected to produce more energy. The higher energy translates to higher ELCC. In reverse, wind would push the net load peak to earlier in the day, increasing the ELCC for solar as well.</w:t>
      </w:r>
    </w:p>
    <w:p w14:paraId="12DE9FA8" w14:textId="019FA6F5" w:rsidR="000F0C8B" w:rsidRDefault="000F0C8B" w:rsidP="00556234">
      <w:pPr>
        <w:jc w:val="both"/>
      </w:pPr>
    </w:p>
    <w:p w14:paraId="64D4BDF3" w14:textId="5087EEEA" w:rsidR="000F0C8B" w:rsidRDefault="000F0C8B" w:rsidP="00556234">
      <w:pPr>
        <w:jc w:val="both"/>
      </w:pPr>
    </w:p>
    <w:p w14:paraId="09E571EF" w14:textId="77777777" w:rsidR="000F0C8B" w:rsidRDefault="000F0C8B" w:rsidP="00556234">
      <w:pPr>
        <w:jc w:val="both"/>
      </w:pPr>
    </w:p>
    <w:p w14:paraId="5012BA7E" w14:textId="5ABF5D44" w:rsidR="006F36E5" w:rsidRPr="006F36E5" w:rsidRDefault="006F36E5" w:rsidP="000F0C8B">
      <w:pPr>
        <w:pStyle w:val="Caption"/>
        <w:spacing w:after="0"/>
        <w:jc w:val="center"/>
        <w:rPr>
          <w:rFonts w:cs="Calibri"/>
          <w:b/>
          <w:bCs/>
          <w:i w:val="0"/>
          <w:iCs w:val="0"/>
          <w:color w:val="auto"/>
          <w:sz w:val="22"/>
          <w:szCs w:val="22"/>
        </w:rPr>
      </w:pPr>
      <w:r w:rsidRPr="00B35DC0">
        <w:rPr>
          <w:rFonts w:cs="Calibri"/>
          <w:b/>
          <w:bCs/>
          <w:i w:val="0"/>
          <w:iCs w:val="0"/>
          <w:color w:val="auto"/>
          <w:sz w:val="22"/>
          <w:szCs w:val="22"/>
        </w:rPr>
        <w:t>Figure A</w:t>
      </w:r>
      <w:r>
        <w:rPr>
          <w:rFonts w:cs="Calibri"/>
          <w:b/>
          <w:bCs/>
          <w:i w:val="0"/>
          <w:iCs w:val="0"/>
          <w:color w:val="auto"/>
          <w:sz w:val="22"/>
          <w:szCs w:val="22"/>
        </w:rPr>
        <w:t>2</w:t>
      </w:r>
      <w:r w:rsidRPr="00B35DC0">
        <w:rPr>
          <w:rFonts w:cs="Calibri"/>
          <w:b/>
          <w:bCs/>
          <w:i w:val="0"/>
          <w:iCs w:val="0"/>
          <w:color w:val="auto"/>
          <w:sz w:val="22"/>
          <w:szCs w:val="22"/>
        </w:rPr>
        <w:t>-</w:t>
      </w:r>
      <w:r>
        <w:rPr>
          <w:rFonts w:cs="Calibri"/>
          <w:b/>
          <w:bCs/>
          <w:i w:val="0"/>
          <w:iCs w:val="0"/>
          <w:color w:val="auto"/>
          <w:sz w:val="22"/>
          <w:szCs w:val="22"/>
        </w:rPr>
        <w:t>3</w:t>
      </w:r>
      <w:r w:rsidRPr="00A550A2">
        <w:rPr>
          <w:rFonts w:cs="Calibri"/>
          <w:b/>
          <w:bCs/>
          <w:i w:val="0"/>
          <w:iCs w:val="0"/>
          <w:noProof/>
          <w:color w:val="auto"/>
          <w:sz w:val="22"/>
          <w:szCs w:val="22"/>
        </w:rPr>
        <w:fldChar w:fldCharType="begin"/>
      </w:r>
      <w:r w:rsidRPr="00B35DC0">
        <w:rPr>
          <w:rFonts w:cs="Calibri"/>
          <w:b/>
          <w:bCs/>
          <w:i w:val="0"/>
          <w:iCs w:val="0"/>
          <w:noProof/>
          <w:color w:val="auto"/>
          <w:sz w:val="22"/>
          <w:szCs w:val="22"/>
        </w:rPr>
        <w:instrText xml:space="preserve"> SEQ Figure_A1- \* ARABIC </w:instrText>
      </w:r>
      <w:r w:rsidRPr="00A550A2">
        <w:rPr>
          <w:rFonts w:cs="Calibri"/>
          <w:b/>
          <w:bCs/>
          <w:i w:val="0"/>
          <w:iCs w:val="0"/>
          <w:noProof/>
          <w:color w:val="auto"/>
          <w:sz w:val="22"/>
          <w:szCs w:val="22"/>
        </w:rPr>
        <w:fldChar w:fldCharType="end"/>
      </w:r>
      <w:r w:rsidRPr="00B35DC0">
        <w:rPr>
          <w:rFonts w:cs="Calibri"/>
          <w:b/>
          <w:bCs/>
          <w:i w:val="0"/>
          <w:iCs w:val="0"/>
          <w:noProof/>
          <w:color w:val="auto"/>
          <w:sz w:val="22"/>
          <w:szCs w:val="22"/>
        </w:rPr>
        <w:t xml:space="preserve">. </w:t>
      </w:r>
      <w:r>
        <w:rPr>
          <w:rFonts w:cs="Calibri"/>
          <w:b/>
          <w:bCs/>
          <w:i w:val="0"/>
          <w:iCs w:val="0"/>
          <w:color w:val="auto"/>
          <w:sz w:val="22"/>
          <w:szCs w:val="22"/>
        </w:rPr>
        <w:t>Effects of Addition of Solar to Net Load Shape</w:t>
      </w:r>
    </w:p>
    <w:p w14:paraId="179B712D" w14:textId="77777777" w:rsidR="00E41111" w:rsidRDefault="00E41111" w:rsidP="00A663C5">
      <w:pPr>
        <w:jc w:val="center"/>
      </w:pPr>
      <w:r w:rsidRPr="004B0729">
        <w:rPr>
          <w:noProof/>
        </w:rPr>
        <w:drawing>
          <wp:inline distT="0" distB="0" distL="0" distR="0" wp14:anchorId="412FF7B8" wp14:editId="683F2894">
            <wp:extent cx="5943600" cy="4033520"/>
            <wp:effectExtent l="0" t="0" r="0" b="5080"/>
            <wp:docPr id="47"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29E8C6-222D-434F-988A-8EABE2A1B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29E8C6-222D-434F-988A-8EABE2A1BE61}"/>
                        </a:ext>
                      </a:extLst>
                    </pic:cNvPr>
                    <pic:cNvPicPr>
                      <a:picLocks noChangeAspect="1"/>
                    </pic:cNvPicPr>
                  </pic:nvPicPr>
                  <pic:blipFill>
                    <a:blip r:embed="rId81"/>
                    <a:stretch>
                      <a:fillRect/>
                    </a:stretch>
                  </pic:blipFill>
                  <pic:spPr>
                    <a:xfrm>
                      <a:off x="0" y="0"/>
                      <a:ext cx="5943600" cy="4033520"/>
                    </a:xfrm>
                    <a:prstGeom prst="rect">
                      <a:avLst/>
                    </a:prstGeom>
                  </pic:spPr>
                </pic:pic>
              </a:graphicData>
            </a:graphic>
          </wp:inline>
        </w:drawing>
      </w:r>
    </w:p>
    <w:p w14:paraId="415195D4" w14:textId="6CF33B3D" w:rsidR="00E41111" w:rsidRDefault="00E41111" w:rsidP="002A2715">
      <w:pPr>
        <w:spacing w:before="240"/>
        <w:jc w:val="both"/>
      </w:pPr>
      <w:r>
        <w:t xml:space="preserve">The resulting raw ELCCs for each technology are shown in Tables </w:t>
      </w:r>
      <w:r w:rsidR="006F36E5">
        <w:t>A2-3</w:t>
      </w:r>
      <w:r>
        <w:t xml:space="preserve"> and </w:t>
      </w:r>
      <w:r w:rsidR="006F36E5">
        <w:t>A2-4</w:t>
      </w:r>
      <w:r>
        <w:t>. As expected the sum of the individual technology ELCCs is larger than the entire portfolio ELCC, since the standalone analyses include the full synergistic benefits from the other technology. This would be double counting the benefit by assigning it to each of wind and solar.</w:t>
      </w:r>
    </w:p>
    <w:p w14:paraId="64ED3082" w14:textId="4D9A5E6B" w:rsidR="006F36E5" w:rsidRDefault="006F36E5" w:rsidP="006F36E5">
      <w:pPr>
        <w:pStyle w:val="Caption"/>
        <w:jc w:val="center"/>
        <w:rPr>
          <w:rFonts w:cs="Calibri"/>
          <w:b/>
          <w:bCs/>
          <w:i w:val="0"/>
          <w:iCs w:val="0"/>
          <w:color w:val="auto"/>
          <w:sz w:val="22"/>
          <w:szCs w:val="22"/>
        </w:rPr>
      </w:pPr>
      <w:r w:rsidRPr="00E025BC">
        <w:rPr>
          <w:rFonts w:cs="Calibri"/>
          <w:b/>
          <w:bCs/>
          <w:i w:val="0"/>
          <w:iCs w:val="0"/>
          <w:color w:val="auto"/>
          <w:sz w:val="22"/>
          <w:szCs w:val="22"/>
        </w:rPr>
        <w:t>Table</w:t>
      </w:r>
      <w:r>
        <w:rPr>
          <w:rFonts w:cs="Calibri"/>
          <w:b/>
          <w:bCs/>
          <w:i w:val="0"/>
          <w:iCs w:val="0"/>
          <w:noProof/>
          <w:color w:val="auto"/>
          <w:sz w:val="22"/>
          <w:szCs w:val="22"/>
        </w:rPr>
        <w:t xml:space="preserve"> A2-3</w:t>
      </w:r>
      <w:r w:rsidRPr="00E025BC">
        <w:rPr>
          <w:rFonts w:cs="Calibri"/>
          <w:b/>
          <w:bCs/>
          <w:i w:val="0"/>
          <w:iCs w:val="0"/>
          <w:noProof/>
          <w:color w:val="auto"/>
          <w:sz w:val="22"/>
          <w:szCs w:val="22"/>
        </w:rPr>
        <w:t xml:space="preserve">. </w:t>
      </w:r>
      <w:r w:rsidR="00556234">
        <w:rPr>
          <w:rFonts w:cs="Calibri"/>
          <w:b/>
          <w:bCs/>
          <w:i w:val="0"/>
          <w:iCs w:val="0"/>
          <w:color w:val="auto"/>
          <w:sz w:val="22"/>
          <w:szCs w:val="22"/>
        </w:rPr>
        <w:t>Wind Technology Raw ELCC Values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080"/>
        <w:gridCol w:w="1260"/>
        <w:gridCol w:w="3281"/>
      </w:tblGrid>
      <w:tr w:rsidR="006F36E5" w14:paraId="4C57CF47" w14:textId="77777777" w:rsidTr="00517625">
        <w:trPr>
          <w:trHeight w:val="20"/>
        </w:trPr>
        <w:tc>
          <w:tcPr>
            <w:tcW w:w="3775" w:type="dxa"/>
            <w:tcBorders>
              <w:top w:val="single" w:sz="4" w:space="0" w:color="auto"/>
              <w:bottom w:val="single" w:sz="4" w:space="0" w:color="auto"/>
            </w:tcBorders>
          </w:tcPr>
          <w:p w14:paraId="30FB5E01" w14:textId="77777777" w:rsidR="006F36E5" w:rsidRDefault="006F36E5" w:rsidP="00517625">
            <w:pPr>
              <w:spacing w:after="0"/>
            </w:pPr>
          </w:p>
        </w:tc>
        <w:tc>
          <w:tcPr>
            <w:tcW w:w="1080" w:type="dxa"/>
            <w:tcBorders>
              <w:top w:val="single" w:sz="4" w:space="0" w:color="auto"/>
              <w:bottom w:val="single" w:sz="4" w:space="0" w:color="auto"/>
            </w:tcBorders>
            <w:vAlign w:val="center"/>
          </w:tcPr>
          <w:p w14:paraId="365227ED" w14:textId="77777777" w:rsidR="006F36E5" w:rsidRPr="006F36E5" w:rsidRDefault="006F36E5" w:rsidP="00517625">
            <w:pPr>
              <w:spacing w:after="0"/>
              <w:jc w:val="center"/>
              <w:rPr>
                <w:b/>
                <w:bCs/>
              </w:rPr>
            </w:pPr>
            <w:r w:rsidRPr="006F36E5">
              <w:rPr>
                <w:b/>
                <w:bCs/>
              </w:rPr>
              <w:t>2020</w:t>
            </w:r>
          </w:p>
        </w:tc>
        <w:tc>
          <w:tcPr>
            <w:tcW w:w="1260" w:type="dxa"/>
            <w:tcBorders>
              <w:top w:val="single" w:sz="4" w:space="0" w:color="auto"/>
              <w:bottom w:val="single" w:sz="4" w:space="0" w:color="auto"/>
            </w:tcBorders>
            <w:vAlign w:val="center"/>
          </w:tcPr>
          <w:p w14:paraId="08D28797" w14:textId="77777777" w:rsidR="006F36E5" w:rsidRPr="006F36E5" w:rsidRDefault="006F36E5" w:rsidP="00517625">
            <w:pPr>
              <w:spacing w:after="0"/>
              <w:jc w:val="center"/>
              <w:rPr>
                <w:b/>
                <w:bCs/>
              </w:rPr>
            </w:pPr>
            <w:r w:rsidRPr="006F36E5">
              <w:rPr>
                <w:b/>
                <w:bCs/>
              </w:rPr>
              <w:t>2024</w:t>
            </w:r>
          </w:p>
        </w:tc>
        <w:tc>
          <w:tcPr>
            <w:tcW w:w="3281" w:type="dxa"/>
            <w:tcBorders>
              <w:top w:val="single" w:sz="4" w:space="0" w:color="auto"/>
              <w:bottom w:val="single" w:sz="4" w:space="0" w:color="auto"/>
            </w:tcBorders>
            <w:vAlign w:val="center"/>
          </w:tcPr>
          <w:p w14:paraId="0FA87331" w14:textId="77777777" w:rsidR="006F36E5" w:rsidRPr="006F36E5" w:rsidRDefault="006F36E5" w:rsidP="00517625">
            <w:pPr>
              <w:spacing w:after="0"/>
              <w:jc w:val="center"/>
              <w:rPr>
                <w:b/>
                <w:bCs/>
              </w:rPr>
            </w:pPr>
            <w:r w:rsidRPr="006F36E5">
              <w:rPr>
                <w:b/>
                <w:bCs/>
              </w:rPr>
              <w:t>2024 High Renewable</w:t>
            </w:r>
          </w:p>
        </w:tc>
      </w:tr>
      <w:tr w:rsidR="006F36E5" w14:paraId="2C5D507B" w14:textId="77777777" w:rsidTr="00517625">
        <w:trPr>
          <w:trHeight w:val="20"/>
        </w:trPr>
        <w:tc>
          <w:tcPr>
            <w:tcW w:w="3775" w:type="dxa"/>
            <w:tcBorders>
              <w:top w:val="single" w:sz="4" w:space="0" w:color="auto"/>
            </w:tcBorders>
            <w:shd w:val="clear" w:color="auto" w:fill="D9D9D9" w:themeFill="background1" w:themeFillShade="D9"/>
          </w:tcPr>
          <w:p w14:paraId="5FB7C4A3" w14:textId="6583511E" w:rsidR="006F36E5" w:rsidRDefault="006F36E5" w:rsidP="00517625">
            <w:pPr>
              <w:spacing w:after="0"/>
            </w:pPr>
            <w:r>
              <w:t>Wind Raw SERVM ELCC (MW)</w:t>
            </w:r>
          </w:p>
        </w:tc>
        <w:tc>
          <w:tcPr>
            <w:tcW w:w="1080" w:type="dxa"/>
            <w:tcBorders>
              <w:top w:val="single" w:sz="4" w:space="0" w:color="auto"/>
            </w:tcBorders>
            <w:shd w:val="clear" w:color="auto" w:fill="D9D9D9" w:themeFill="background1" w:themeFillShade="D9"/>
            <w:vAlign w:val="center"/>
          </w:tcPr>
          <w:p w14:paraId="27FF85FF" w14:textId="4EF1D4C0" w:rsidR="006F36E5" w:rsidRDefault="006F36E5" w:rsidP="00517625">
            <w:pPr>
              <w:spacing w:after="0"/>
              <w:jc w:val="center"/>
            </w:pPr>
            <w:r>
              <w:t>5,422</w:t>
            </w:r>
          </w:p>
        </w:tc>
        <w:tc>
          <w:tcPr>
            <w:tcW w:w="1260" w:type="dxa"/>
            <w:tcBorders>
              <w:top w:val="single" w:sz="4" w:space="0" w:color="auto"/>
            </w:tcBorders>
            <w:shd w:val="clear" w:color="auto" w:fill="D9D9D9" w:themeFill="background1" w:themeFillShade="D9"/>
            <w:vAlign w:val="center"/>
          </w:tcPr>
          <w:p w14:paraId="10C446E1" w14:textId="2A774D74" w:rsidR="006F36E5" w:rsidRDefault="006F36E5" w:rsidP="00517625">
            <w:pPr>
              <w:spacing w:after="0"/>
              <w:jc w:val="center"/>
            </w:pPr>
            <w:r>
              <w:t>7,045</w:t>
            </w:r>
          </w:p>
        </w:tc>
        <w:tc>
          <w:tcPr>
            <w:tcW w:w="3281" w:type="dxa"/>
            <w:tcBorders>
              <w:top w:val="single" w:sz="4" w:space="0" w:color="auto"/>
            </w:tcBorders>
            <w:shd w:val="clear" w:color="auto" w:fill="D9D9D9" w:themeFill="background1" w:themeFillShade="D9"/>
            <w:vAlign w:val="center"/>
          </w:tcPr>
          <w:p w14:paraId="54DFE4E7" w14:textId="62596C35" w:rsidR="006F36E5" w:rsidRDefault="006F36E5" w:rsidP="00517625">
            <w:pPr>
              <w:spacing w:after="0"/>
              <w:jc w:val="center"/>
            </w:pPr>
            <w:r>
              <w:t>9,194</w:t>
            </w:r>
          </w:p>
        </w:tc>
      </w:tr>
      <w:tr w:rsidR="006F36E5" w14:paraId="0466E6A9" w14:textId="77777777" w:rsidTr="00517625">
        <w:trPr>
          <w:trHeight w:val="20"/>
        </w:trPr>
        <w:tc>
          <w:tcPr>
            <w:tcW w:w="3775" w:type="dxa"/>
          </w:tcPr>
          <w:p w14:paraId="12E53B01" w14:textId="60E72271" w:rsidR="006F36E5" w:rsidRDefault="006F36E5" w:rsidP="00517625">
            <w:pPr>
              <w:spacing w:after="0"/>
            </w:pPr>
            <w:r>
              <w:t>Wind Installed Capacity (MW)</w:t>
            </w:r>
          </w:p>
        </w:tc>
        <w:tc>
          <w:tcPr>
            <w:tcW w:w="1080" w:type="dxa"/>
            <w:vAlign w:val="center"/>
          </w:tcPr>
          <w:p w14:paraId="7F15514D" w14:textId="4F4B9B69" w:rsidR="006F36E5" w:rsidRDefault="006F36E5" w:rsidP="00517625">
            <w:pPr>
              <w:spacing w:after="0"/>
              <w:jc w:val="center"/>
            </w:pPr>
            <w:r>
              <w:t>32,026</w:t>
            </w:r>
          </w:p>
        </w:tc>
        <w:tc>
          <w:tcPr>
            <w:tcW w:w="1260" w:type="dxa"/>
            <w:vAlign w:val="center"/>
          </w:tcPr>
          <w:p w14:paraId="6FDD0329" w14:textId="21E63F0C" w:rsidR="006F36E5" w:rsidRDefault="006F36E5" w:rsidP="00517625">
            <w:pPr>
              <w:spacing w:after="0"/>
              <w:jc w:val="center"/>
            </w:pPr>
            <w:r>
              <w:t>37,396</w:t>
            </w:r>
          </w:p>
        </w:tc>
        <w:tc>
          <w:tcPr>
            <w:tcW w:w="3281" w:type="dxa"/>
            <w:vAlign w:val="center"/>
          </w:tcPr>
          <w:p w14:paraId="0CCF3668" w14:textId="656D3C55" w:rsidR="006F36E5" w:rsidRDefault="006F36E5" w:rsidP="00517625">
            <w:pPr>
              <w:spacing w:after="0"/>
              <w:jc w:val="center"/>
            </w:pPr>
            <w:r>
              <w:t>42,396</w:t>
            </w:r>
          </w:p>
        </w:tc>
      </w:tr>
      <w:tr w:rsidR="006F36E5" w14:paraId="1E64D7BF" w14:textId="77777777" w:rsidTr="00517625">
        <w:trPr>
          <w:trHeight w:val="20"/>
        </w:trPr>
        <w:tc>
          <w:tcPr>
            <w:tcW w:w="3775" w:type="dxa"/>
            <w:shd w:val="clear" w:color="auto" w:fill="D9D9D9" w:themeFill="background1" w:themeFillShade="D9"/>
          </w:tcPr>
          <w:p w14:paraId="7AABA1AE" w14:textId="1E05E7A4" w:rsidR="006F36E5" w:rsidRDefault="006F36E5" w:rsidP="00517625">
            <w:pPr>
              <w:spacing w:after="0"/>
            </w:pPr>
            <w:r>
              <w:t>Wind ELCC (%)</w:t>
            </w:r>
          </w:p>
        </w:tc>
        <w:tc>
          <w:tcPr>
            <w:tcW w:w="1080" w:type="dxa"/>
            <w:shd w:val="clear" w:color="auto" w:fill="D9D9D9" w:themeFill="background1" w:themeFillShade="D9"/>
            <w:vAlign w:val="center"/>
          </w:tcPr>
          <w:p w14:paraId="25668A92" w14:textId="734D80DA" w:rsidR="006F36E5" w:rsidRDefault="006F36E5" w:rsidP="00517625">
            <w:pPr>
              <w:spacing w:after="0"/>
              <w:jc w:val="center"/>
            </w:pPr>
            <w:r>
              <w:t>17%</w:t>
            </w:r>
          </w:p>
        </w:tc>
        <w:tc>
          <w:tcPr>
            <w:tcW w:w="1260" w:type="dxa"/>
            <w:shd w:val="clear" w:color="auto" w:fill="D9D9D9" w:themeFill="background1" w:themeFillShade="D9"/>
            <w:vAlign w:val="center"/>
          </w:tcPr>
          <w:p w14:paraId="69DECE57" w14:textId="48D2787E" w:rsidR="006F36E5" w:rsidRDefault="006F36E5" w:rsidP="00517625">
            <w:pPr>
              <w:spacing w:after="0"/>
              <w:jc w:val="center"/>
            </w:pPr>
            <w:r>
              <w:t>19%</w:t>
            </w:r>
          </w:p>
        </w:tc>
        <w:tc>
          <w:tcPr>
            <w:tcW w:w="3281" w:type="dxa"/>
            <w:shd w:val="clear" w:color="auto" w:fill="D9D9D9" w:themeFill="background1" w:themeFillShade="D9"/>
            <w:vAlign w:val="center"/>
          </w:tcPr>
          <w:p w14:paraId="239ECE80" w14:textId="3AB6DB7B" w:rsidR="006F36E5" w:rsidRDefault="006F36E5" w:rsidP="00517625">
            <w:pPr>
              <w:spacing w:after="0"/>
              <w:jc w:val="center"/>
            </w:pPr>
            <w:r>
              <w:t>22%</w:t>
            </w:r>
          </w:p>
        </w:tc>
      </w:tr>
    </w:tbl>
    <w:p w14:paraId="71EDC59F" w14:textId="140EC3AB" w:rsidR="00E41111" w:rsidRDefault="00E41111" w:rsidP="00A663C5">
      <w:pPr>
        <w:jc w:val="both"/>
      </w:pPr>
    </w:p>
    <w:p w14:paraId="609E26E1" w14:textId="1E10609F" w:rsidR="006F36E5" w:rsidRPr="00E025BC" w:rsidRDefault="006F36E5" w:rsidP="006F36E5">
      <w:pPr>
        <w:pStyle w:val="Caption"/>
        <w:jc w:val="center"/>
        <w:rPr>
          <w:rFonts w:cs="Calibri"/>
          <w:b/>
          <w:bCs/>
          <w:i w:val="0"/>
          <w:iCs w:val="0"/>
          <w:color w:val="auto"/>
          <w:sz w:val="22"/>
          <w:szCs w:val="22"/>
        </w:rPr>
      </w:pPr>
      <w:r w:rsidRPr="00E025BC">
        <w:rPr>
          <w:rFonts w:cs="Calibri"/>
          <w:b/>
          <w:bCs/>
          <w:i w:val="0"/>
          <w:iCs w:val="0"/>
          <w:color w:val="auto"/>
          <w:sz w:val="22"/>
          <w:szCs w:val="22"/>
        </w:rPr>
        <w:t>Table</w:t>
      </w:r>
      <w:r>
        <w:rPr>
          <w:rFonts w:cs="Calibri"/>
          <w:b/>
          <w:bCs/>
          <w:i w:val="0"/>
          <w:iCs w:val="0"/>
          <w:noProof/>
          <w:color w:val="auto"/>
          <w:sz w:val="22"/>
          <w:szCs w:val="22"/>
        </w:rPr>
        <w:t xml:space="preserve"> A2-4</w:t>
      </w:r>
      <w:r w:rsidRPr="00E025BC">
        <w:rPr>
          <w:rFonts w:cs="Calibri"/>
          <w:b/>
          <w:bCs/>
          <w:i w:val="0"/>
          <w:iCs w:val="0"/>
          <w:noProof/>
          <w:color w:val="auto"/>
          <w:sz w:val="22"/>
          <w:szCs w:val="22"/>
        </w:rPr>
        <w:t xml:space="preserve">. </w:t>
      </w:r>
      <w:r w:rsidR="00556234">
        <w:rPr>
          <w:rFonts w:cs="Calibri"/>
          <w:b/>
          <w:bCs/>
          <w:i w:val="0"/>
          <w:iCs w:val="0"/>
          <w:noProof/>
          <w:color w:val="auto"/>
          <w:sz w:val="22"/>
          <w:szCs w:val="22"/>
        </w:rPr>
        <w:t>Solar</w:t>
      </w:r>
      <w:r w:rsidR="00556234">
        <w:rPr>
          <w:rFonts w:cs="Calibri"/>
          <w:b/>
          <w:bCs/>
          <w:i w:val="0"/>
          <w:iCs w:val="0"/>
          <w:color w:val="auto"/>
          <w:sz w:val="22"/>
          <w:szCs w:val="22"/>
        </w:rPr>
        <w:t xml:space="preserve"> Technology Raw ELCC Values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080"/>
        <w:gridCol w:w="1260"/>
        <w:gridCol w:w="3281"/>
      </w:tblGrid>
      <w:tr w:rsidR="006F36E5" w14:paraId="5D334CA2" w14:textId="77777777" w:rsidTr="00517625">
        <w:trPr>
          <w:trHeight w:val="20"/>
        </w:trPr>
        <w:tc>
          <w:tcPr>
            <w:tcW w:w="3775" w:type="dxa"/>
            <w:tcBorders>
              <w:top w:val="single" w:sz="4" w:space="0" w:color="auto"/>
              <w:bottom w:val="single" w:sz="4" w:space="0" w:color="auto"/>
            </w:tcBorders>
          </w:tcPr>
          <w:p w14:paraId="3BBC3160" w14:textId="77777777" w:rsidR="006F36E5" w:rsidRDefault="006F36E5" w:rsidP="00517625">
            <w:pPr>
              <w:spacing w:after="0"/>
            </w:pPr>
          </w:p>
        </w:tc>
        <w:tc>
          <w:tcPr>
            <w:tcW w:w="1080" w:type="dxa"/>
            <w:tcBorders>
              <w:top w:val="single" w:sz="4" w:space="0" w:color="auto"/>
              <w:bottom w:val="single" w:sz="4" w:space="0" w:color="auto"/>
            </w:tcBorders>
            <w:vAlign w:val="center"/>
          </w:tcPr>
          <w:p w14:paraId="3DBEFB1A" w14:textId="77777777" w:rsidR="006F36E5" w:rsidRPr="006F36E5" w:rsidRDefault="006F36E5" w:rsidP="00517625">
            <w:pPr>
              <w:spacing w:after="0"/>
              <w:jc w:val="center"/>
              <w:rPr>
                <w:b/>
                <w:bCs/>
              </w:rPr>
            </w:pPr>
            <w:r w:rsidRPr="006F36E5">
              <w:rPr>
                <w:b/>
                <w:bCs/>
              </w:rPr>
              <w:t>2020</w:t>
            </w:r>
          </w:p>
        </w:tc>
        <w:tc>
          <w:tcPr>
            <w:tcW w:w="1260" w:type="dxa"/>
            <w:tcBorders>
              <w:top w:val="single" w:sz="4" w:space="0" w:color="auto"/>
              <w:bottom w:val="single" w:sz="4" w:space="0" w:color="auto"/>
            </w:tcBorders>
            <w:vAlign w:val="center"/>
          </w:tcPr>
          <w:p w14:paraId="62B3FC5E" w14:textId="77777777" w:rsidR="006F36E5" w:rsidRPr="006F36E5" w:rsidRDefault="006F36E5" w:rsidP="00517625">
            <w:pPr>
              <w:spacing w:after="0"/>
              <w:jc w:val="center"/>
              <w:rPr>
                <w:b/>
                <w:bCs/>
              </w:rPr>
            </w:pPr>
            <w:r w:rsidRPr="006F36E5">
              <w:rPr>
                <w:b/>
                <w:bCs/>
              </w:rPr>
              <w:t>2024</w:t>
            </w:r>
          </w:p>
        </w:tc>
        <w:tc>
          <w:tcPr>
            <w:tcW w:w="3281" w:type="dxa"/>
            <w:tcBorders>
              <w:top w:val="single" w:sz="4" w:space="0" w:color="auto"/>
              <w:bottom w:val="single" w:sz="4" w:space="0" w:color="auto"/>
            </w:tcBorders>
            <w:vAlign w:val="center"/>
          </w:tcPr>
          <w:p w14:paraId="2DE59FE1" w14:textId="77777777" w:rsidR="006F36E5" w:rsidRPr="006F36E5" w:rsidRDefault="006F36E5" w:rsidP="00517625">
            <w:pPr>
              <w:spacing w:after="0"/>
              <w:jc w:val="center"/>
              <w:rPr>
                <w:b/>
                <w:bCs/>
              </w:rPr>
            </w:pPr>
            <w:r w:rsidRPr="006F36E5">
              <w:rPr>
                <w:b/>
                <w:bCs/>
              </w:rPr>
              <w:t>2024 High Renewable</w:t>
            </w:r>
          </w:p>
        </w:tc>
      </w:tr>
      <w:tr w:rsidR="006F36E5" w14:paraId="6E3E3DEF" w14:textId="77777777" w:rsidTr="00517625">
        <w:trPr>
          <w:trHeight w:val="20"/>
        </w:trPr>
        <w:tc>
          <w:tcPr>
            <w:tcW w:w="3775" w:type="dxa"/>
            <w:tcBorders>
              <w:top w:val="single" w:sz="4" w:space="0" w:color="auto"/>
            </w:tcBorders>
            <w:shd w:val="clear" w:color="auto" w:fill="D9D9D9" w:themeFill="background1" w:themeFillShade="D9"/>
          </w:tcPr>
          <w:p w14:paraId="140FD126" w14:textId="48B77BA7" w:rsidR="006F36E5" w:rsidRDefault="006F36E5" w:rsidP="00517625">
            <w:pPr>
              <w:spacing w:after="0"/>
            </w:pPr>
            <w:r>
              <w:t>Solar Raw SERVM ELCC (MW)</w:t>
            </w:r>
          </w:p>
        </w:tc>
        <w:tc>
          <w:tcPr>
            <w:tcW w:w="1080" w:type="dxa"/>
            <w:tcBorders>
              <w:top w:val="single" w:sz="4" w:space="0" w:color="auto"/>
            </w:tcBorders>
            <w:shd w:val="clear" w:color="auto" w:fill="D9D9D9" w:themeFill="background1" w:themeFillShade="D9"/>
            <w:vAlign w:val="center"/>
          </w:tcPr>
          <w:p w14:paraId="3DD760AB" w14:textId="11B7033D" w:rsidR="006F36E5" w:rsidRDefault="00556234" w:rsidP="00517625">
            <w:pPr>
              <w:spacing w:after="0"/>
              <w:jc w:val="center"/>
            </w:pPr>
            <w:r>
              <w:t>4,711</w:t>
            </w:r>
          </w:p>
        </w:tc>
        <w:tc>
          <w:tcPr>
            <w:tcW w:w="1260" w:type="dxa"/>
            <w:tcBorders>
              <w:top w:val="single" w:sz="4" w:space="0" w:color="auto"/>
            </w:tcBorders>
            <w:shd w:val="clear" w:color="auto" w:fill="D9D9D9" w:themeFill="background1" w:themeFillShade="D9"/>
            <w:vAlign w:val="center"/>
          </w:tcPr>
          <w:p w14:paraId="0AA44D00" w14:textId="33866D6D" w:rsidR="006F36E5" w:rsidRDefault="00556234" w:rsidP="00517625">
            <w:pPr>
              <w:spacing w:after="0"/>
              <w:jc w:val="center"/>
            </w:pPr>
            <w:r>
              <w:t>12,529</w:t>
            </w:r>
          </w:p>
        </w:tc>
        <w:tc>
          <w:tcPr>
            <w:tcW w:w="3281" w:type="dxa"/>
            <w:tcBorders>
              <w:top w:val="single" w:sz="4" w:space="0" w:color="auto"/>
            </w:tcBorders>
            <w:shd w:val="clear" w:color="auto" w:fill="D9D9D9" w:themeFill="background1" w:themeFillShade="D9"/>
            <w:vAlign w:val="center"/>
          </w:tcPr>
          <w:p w14:paraId="5C2ABA69" w14:textId="300192F3" w:rsidR="006F36E5" w:rsidRDefault="00556234" w:rsidP="00517625">
            <w:pPr>
              <w:spacing w:after="0"/>
              <w:jc w:val="center"/>
            </w:pPr>
            <w:r>
              <w:t>17,095</w:t>
            </w:r>
          </w:p>
        </w:tc>
      </w:tr>
      <w:tr w:rsidR="006F36E5" w14:paraId="1BE2ED18" w14:textId="77777777" w:rsidTr="00517625">
        <w:trPr>
          <w:trHeight w:val="20"/>
        </w:trPr>
        <w:tc>
          <w:tcPr>
            <w:tcW w:w="3775" w:type="dxa"/>
          </w:tcPr>
          <w:p w14:paraId="64DAFA53" w14:textId="09E1A4FB" w:rsidR="006F36E5" w:rsidRDefault="006F36E5" w:rsidP="00517625">
            <w:pPr>
              <w:spacing w:after="0"/>
            </w:pPr>
            <w:r>
              <w:t>Solar Installed Capacity (MW)</w:t>
            </w:r>
          </w:p>
        </w:tc>
        <w:tc>
          <w:tcPr>
            <w:tcW w:w="1080" w:type="dxa"/>
            <w:vAlign w:val="center"/>
          </w:tcPr>
          <w:p w14:paraId="3FC22FC6" w14:textId="62FC72BC" w:rsidR="006F36E5" w:rsidRDefault="00556234" w:rsidP="00517625">
            <w:pPr>
              <w:spacing w:after="0"/>
              <w:jc w:val="center"/>
            </w:pPr>
            <w:r>
              <w:t>5,897</w:t>
            </w:r>
          </w:p>
        </w:tc>
        <w:tc>
          <w:tcPr>
            <w:tcW w:w="1260" w:type="dxa"/>
            <w:vAlign w:val="center"/>
          </w:tcPr>
          <w:p w14:paraId="17AF8ECE" w14:textId="3735648A" w:rsidR="006F36E5" w:rsidRDefault="00556234" w:rsidP="00517625">
            <w:pPr>
              <w:spacing w:after="0"/>
              <w:jc w:val="center"/>
            </w:pPr>
            <w:r>
              <w:t>16,001</w:t>
            </w:r>
          </w:p>
        </w:tc>
        <w:tc>
          <w:tcPr>
            <w:tcW w:w="3281" w:type="dxa"/>
            <w:vAlign w:val="center"/>
          </w:tcPr>
          <w:p w14:paraId="45064070" w14:textId="7CB2DD01" w:rsidR="006F36E5" w:rsidRDefault="00556234" w:rsidP="00517625">
            <w:pPr>
              <w:spacing w:after="0"/>
              <w:jc w:val="center"/>
            </w:pPr>
            <w:r>
              <w:t>31,002</w:t>
            </w:r>
          </w:p>
        </w:tc>
      </w:tr>
      <w:tr w:rsidR="006F36E5" w14:paraId="48647DB9" w14:textId="77777777" w:rsidTr="00517625">
        <w:trPr>
          <w:trHeight w:val="20"/>
        </w:trPr>
        <w:tc>
          <w:tcPr>
            <w:tcW w:w="3775" w:type="dxa"/>
            <w:shd w:val="clear" w:color="auto" w:fill="D9D9D9" w:themeFill="background1" w:themeFillShade="D9"/>
          </w:tcPr>
          <w:p w14:paraId="6BAE747A" w14:textId="47A3F2B9" w:rsidR="006F36E5" w:rsidRDefault="006F36E5" w:rsidP="00517625">
            <w:pPr>
              <w:spacing w:after="0"/>
            </w:pPr>
            <w:r>
              <w:t>Solar ELCC (%)</w:t>
            </w:r>
          </w:p>
        </w:tc>
        <w:tc>
          <w:tcPr>
            <w:tcW w:w="1080" w:type="dxa"/>
            <w:shd w:val="clear" w:color="auto" w:fill="D9D9D9" w:themeFill="background1" w:themeFillShade="D9"/>
            <w:vAlign w:val="center"/>
          </w:tcPr>
          <w:p w14:paraId="1EB76675" w14:textId="46CEA495" w:rsidR="006F36E5" w:rsidRDefault="00556234" w:rsidP="00517625">
            <w:pPr>
              <w:spacing w:after="0"/>
              <w:jc w:val="center"/>
            </w:pPr>
            <w:r>
              <w:t>80%</w:t>
            </w:r>
          </w:p>
        </w:tc>
        <w:tc>
          <w:tcPr>
            <w:tcW w:w="1260" w:type="dxa"/>
            <w:shd w:val="clear" w:color="auto" w:fill="D9D9D9" w:themeFill="background1" w:themeFillShade="D9"/>
            <w:vAlign w:val="center"/>
          </w:tcPr>
          <w:p w14:paraId="7CE24CF9" w14:textId="04370DA7" w:rsidR="006F36E5" w:rsidRDefault="00556234" w:rsidP="00517625">
            <w:pPr>
              <w:spacing w:after="0"/>
              <w:jc w:val="center"/>
            </w:pPr>
            <w:r>
              <w:t>78%</w:t>
            </w:r>
          </w:p>
        </w:tc>
        <w:tc>
          <w:tcPr>
            <w:tcW w:w="3281" w:type="dxa"/>
            <w:shd w:val="clear" w:color="auto" w:fill="D9D9D9" w:themeFill="background1" w:themeFillShade="D9"/>
            <w:vAlign w:val="center"/>
          </w:tcPr>
          <w:p w14:paraId="10AFEEB0" w14:textId="01D0A848" w:rsidR="006F36E5" w:rsidRDefault="00556234" w:rsidP="00517625">
            <w:pPr>
              <w:spacing w:after="0"/>
              <w:jc w:val="center"/>
            </w:pPr>
            <w:r>
              <w:t>55%</w:t>
            </w:r>
          </w:p>
        </w:tc>
      </w:tr>
    </w:tbl>
    <w:p w14:paraId="66B7B87A" w14:textId="3CD47898" w:rsidR="00E41111" w:rsidRDefault="00E41111" w:rsidP="00A663C5">
      <w:pPr>
        <w:jc w:val="both"/>
      </w:pPr>
    </w:p>
    <w:p w14:paraId="312D125D" w14:textId="77777777" w:rsidR="00E41111" w:rsidRDefault="00E41111" w:rsidP="00A663C5">
      <w:pPr>
        <w:jc w:val="both"/>
      </w:pPr>
      <w:r>
        <w:t>Since the sum is larger, the total portfolio ELCC needs to be allocated to each respective technology according to the following formulas:</w:t>
      </w:r>
    </w:p>
    <w:p w14:paraId="49F6554B" w14:textId="6F8271CC" w:rsidR="00556234" w:rsidRPr="004B0729" w:rsidRDefault="00556234" w:rsidP="00556234">
      <w:pPr>
        <w:numPr>
          <w:ilvl w:val="1"/>
          <w:numId w:val="30"/>
        </w:numPr>
        <w:spacing w:after="160" w:line="259" w:lineRule="auto"/>
        <w:jc w:val="both"/>
      </w:pPr>
      <m:oMath>
        <m:r>
          <w:rPr>
            <w:rFonts w:ascii="Cambria Math" w:hAnsi="Cambria Math"/>
          </w:rPr>
          <m:t xml:space="preserve">Wind ELCC= </m:t>
        </m:r>
        <m:f>
          <m:fPr>
            <m:ctrlPr>
              <w:rPr>
                <w:rFonts w:ascii="Cambria Math" w:hAnsi="Cambria Math"/>
                <w:i/>
              </w:rPr>
            </m:ctrlPr>
          </m:fPr>
          <m:num>
            <m:r>
              <w:rPr>
                <w:rFonts w:ascii="Cambria Math" w:hAnsi="Cambria Math"/>
              </w:rPr>
              <m:t>Wind ELCC</m:t>
            </m:r>
          </m:num>
          <m:den>
            <m:r>
              <w:rPr>
                <w:rFonts w:ascii="Cambria Math" w:hAnsi="Cambria Math"/>
              </w:rPr>
              <m:t>(Wind ELCC+Solar ELCC)</m:t>
            </m:r>
          </m:den>
        </m:f>
        <m:r>
          <w:rPr>
            <w:rFonts w:ascii="Cambria Math" w:hAnsi="Cambria Math"/>
          </w:rPr>
          <m:t>*Renewable ELCC</m:t>
        </m:r>
      </m:oMath>
    </w:p>
    <w:p w14:paraId="474B455E" w14:textId="43FBCE37" w:rsidR="00556234" w:rsidRDefault="00556234" w:rsidP="00556234">
      <w:pPr>
        <w:numPr>
          <w:ilvl w:val="1"/>
          <w:numId w:val="30"/>
        </w:numPr>
        <w:spacing w:after="160" w:line="259" w:lineRule="auto"/>
        <w:jc w:val="both"/>
      </w:pPr>
      <m:oMath>
        <m:r>
          <w:rPr>
            <w:rFonts w:ascii="Cambria Math" w:hAnsi="Cambria Math"/>
          </w:rPr>
          <m:t xml:space="preserve">Solar ELCC= </m:t>
        </m:r>
        <m:f>
          <m:fPr>
            <m:ctrlPr>
              <w:rPr>
                <w:rFonts w:ascii="Cambria Math" w:hAnsi="Cambria Math"/>
                <w:i/>
              </w:rPr>
            </m:ctrlPr>
          </m:fPr>
          <m:num>
            <m:r>
              <w:rPr>
                <w:rFonts w:ascii="Cambria Math" w:hAnsi="Cambria Math"/>
              </w:rPr>
              <m:t>Solar ELCC</m:t>
            </m:r>
          </m:num>
          <m:den>
            <m:r>
              <w:rPr>
                <w:rFonts w:ascii="Cambria Math" w:hAnsi="Cambria Math"/>
              </w:rPr>
              <m:t>(Wind ELCC+Solar ELCC)</m:t>
            </m:r>
          </m:den>
        </m:f>
        <m:r>
          <w:rPr>
            <w:rFonts w:ascii="Cambria Math" w:hAnsi="Cambria Math"/>
          </w:rPr>
          <m:t>*Renewable ELCC</m:t>
        </m:r>
      </m:oMath>
    </w:p>
    <w:p w14:paraId="349257E5" w14:textId="71077CAA" w:rsidR="00E41111" w:rsidRDefault="00E41111" w:rsidP="00556234">
      <w:pPr>
        <w:jc w:val="both"/>
      </w:pPr>
      <w:r>
        <w:t xml:space="preserve">The results of these calculations are shown in Tables </w:t>
      </w:r>
      <w:r w:rsidR="00556234">
        <w:t>A2-5</w:t>
      </w:r>
      <w:r>
        <w:t xml:space="preserve"> and </w:t>
      </w:r>
      <w:r w:rsidR="00556234">
        <w:t>A2-6</w:t>
      </w:r>
      <w:r>
        <w:t>.</w:t>
      </w:r>
    </w:p>
    <w:p w14:paraId="5E48F15D" w14:textId="23F4E472" w:rsidR="006F36E5" w:rsidRDefault="006F36E5" w:rsidP="006F36E5">
      <w:pPr>
        <w:pStyle w:val="Caption"/>
        <w:jc w:val="center"/>
        <w:rPr>
          <w:rFonts w:cs="Calibri"/>
          <w:b/>
          <w:bCs/>
          <w:i w:val="0"/>
          <w:iCs w:val="0"/>
          <w:color w:val="auto"/>
          <w:sz w:val="22"/>
          <w:szCs w:val="22"/>
        </w:rPr>
      </w:pPr>
      <w:r w:rsidRPr="00E025BC">
        <w:rPr>
          <w:rFonts w:cs="Calibri"/>
          <w:b/>
          <w:bCs/>
          <w:i w:val="0"/>
          <w:iCs w:val="0"/>
          <w:color w:val="auto"/>
          <w:sz w:val="22"/>
          <w:szCs w:val="22"/>
        </w:rPr>
        <w:t>Table</w:t>
      </w:r>
      <w:r>
        <w:rPr>
          <w:rFonts w:cs="Calibri"/>
          <w:b/>
          <w:bCs/>
          <w:i w:val="0"/>
          <w:iCs w:val="0"/>
          <w:noProof/>
          <w:color w:val="auto"/>
          <w:sz w:val="22"/>
          <w:szCs w:val="22"/>
        </w:rPr>
        <w:t xml:space="preserve"> </w:t>
      </w:r>
      <w:r w:rsidR="00556234">
        <w:rPr>
          <w:rFonts w:cs="Calibri"/>
          <w:b/>
          <w:bCs/>
          <w:i w:val="0"/>
          <w:iCs w:val="0"/>
          <w:noProof/>
          <w:color w:val="auto"/>
          <w:sz w:val="22"/>
          <w:szCs w:val="22"/>
        </w:rPr>
        <w:t>A</w:t>
      </w:r>
      <w:r>
        <w:rPr>
          <w:rFonts w:cs="Calibri"/>
          <w:b/>
          <w:bCs/>
          <w:i w:val="0"/>
          <w:iCs w:val="0"/>
          <w:noProof/>
          <w:color w:val="auto"/>
          <w:sz w:val="22"/>
          <w:szCs w:val="22"/>
        </w:rPr>
        <w:t>2-</w:t>
      </w:r>
      <w:r w:rsidR="00556234">
        <w:rPr>
          <w:rFonts w:cs="Calibri"/>
          <w:b/>
          <w:bCs/>
          <w:i w:val="0"/>
          <w:iCs w:val="0"/>
          <w:noProof/>
          <w:color w:val="auto"/>
          <w:sz w:val="22"/>
          <w:szCs w:val="22"/>
        </w:rPr>
        <w:t>5</w:t>
      </w:r>
      <w:r w:rsidRPr="00E025BC">
        <w:rPr>
          <w:rFonts w:cs="Calibri"/>
          <w:b/>
          <w:bCs/>
          <w:i w:val="0"/>
          <w:iCs w:val="0"/>
          <w:noProof/>
          <w:color w:val="auto"/>
          <w:sz w:val="22"/>
          <w:szCs w:val="22"/>
        </w:rPr>
        <w:t xml:space="preserve">. </w:t>
      </w:r>
      <w:r w:rsidR="0091652D">
        <w:rPr>
          <w:rFonts w:cs="Calibri"/>
          <w:b/>
          <w:bCs/>
          <w:i w:val="0"/>
          <w:iCs w:val="0"/>
          <w:color w:val="auto"/>
          <w:sz w:val="22"/>
          <w:szCs w:val="22"/>
        </w:rPr>
        <w:t>Wind Technology Allocated ELCC Values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080"/>
        <w:gridCol w:w="1260"/>
        <w:gridCol w:w="3281"/>
      </w:tblGrid>
      <w:tr w:rsidR="0091652D" w14:paraId="16AF17BA" w14:textId="77777777" w:rsidTr="00517625">
        <w:trPr>
          <w:trHeight w:val="20"/>
        </w:trPr>
        <w:tc>
          <w:tcPr>
            <w:tcW w:w="3775" w:type="dxa"/>
            <w:tcBorders>
              <w:top w:val="single" w:sz="4" w:space="0" w:color="auto"/>
              <w:bottom w:val="single" w:sz="4" w:space="0" w:color="auto"/>
            </w:tcBorders>
          </w:tcPr>
          <w:p w14:paraId="2FF83E1C" w14:textId="77777777" w:rsidR="0091652D" w:rsidRDefault="0091652D" w:rsidP="00517625">
            <w:pPr>
              <w:spacing w:after="0"/>
            </w:pPr>
          </w:p>
        </w:tc>
        <w:tc>
          <w:tcPr>
            <w:tcW w:w="1080" w:type="dxa"/>
            <w:tcBorders>
              <w:top w:val="single" w:sz="4" w:space="0" w:color="auto"/>
              <w:bottom w:val="single" w:sz="4" w:space="0" w:color="auto"/>
            </w:tcBorders>
            <w:vAlign w:val="center"/>
          </w:tcPr>
          <w:p w14:paraId="61737E14" w14:textId="77777777" w:rsidR="0091652D" w:rsidRPr="006F36E5" w:rsidRDefault="0091652D" w:rsidP="00517625">
            <w:pPr>
              <w:spacing w:after="0"/>
              <w:jc w:val="center"/>
              <w:rPr>
                <w:b/>
                <w:bCs/>
              </w:rPr>
            </w:pPr>
            <w:r w:rsidRPr="006F36E5">
              <w:rPr>
                <w:b/>
                <w:bCs/>
              </w:rPr>
              <w:t>2020</w:t>
            </w:r>
          </w:p>
        </w:tc>
        <w:tc>
          <w:tcPr>
            <w:tcW w:w="1260" w:type="dxa"/>
            <w:tcBorders>
              <w:top w:val="single" w:sz="4" w:space="0" w:color="auto"/>
              <w:bottom w:val="single" w:sz="4" w:space="0" w:color="auto"/>
            </w:tcBorders>
            <w:vAlign w:val="center"/>
          </w:tcPr>
          <w:p w14:paraId="26B8B12A" w14:textId="77777777" w:rsidR="0091652D" w:rsidRPr="006F36E5" w:rsidRDefault="0091652D" w:rsidP="00517625">
            <w:pPr>
              <w:spacing w:after="0"/>
              <w:jc w:val="center"/>
              <w:rPr>
                <w:b/>
                <w:bCs/>
              </w:rPr>
            </w:pPr>
            <w:r w:rsidRPr="006F36E5">
              <w:rPr>
                <w:b/>
                <w:bCs/>
              </w:rPr>
              <w:t>2024</w:t>
            </w:r>
          </w:p>
        </w:tc>
        <w:tc>
          <w:tcPr>
            <w:tcW w:w="3281" w:type="dxa"/>
            <w:tcBorders>
              <w:top w:val="single" w:sz="4" w:space="0" w:color="auto"/>
              <w:bottom w:val="single" w:sz="4" w:space="0" w:color="auto"/>
            </w:tcBorders>
            <w:vAlign w:val="center"/>
          </w:tcPr>
          <w:p w14:paraId="16716151" w14:textId="77777777" w:rsidR="0091652D" w:rsidRPr="006F36E5" w:rsidRDefault="0091652D" w:rsidP="00517625">
            <w:pPr>
              <w:spacing w:after="0"/>
              <w:jc w:val="center"/>
              <w:rPr>
                <w:b/>
                <w:bCs/>
              </w:rPr>
            </w:pPr>
            <w:r w:rsidRPr="006F36E5">
              <w:rPr>
                <w:b/>
                <w:bCs/>
              </w:rPr>
              <w:t>2024 High Renewable</w:t>
            </w:r>
          </w:p>
        </w:tc>
      </w:tr>
      <w:tr w:rsidR="0091652D" w14:paraId="0A705A3E" w14:textId="77777777" w:rsidTr="00517625">
        <w:trPr>
          <w:trHeight w:val="20"/>
        </w:trPr>
        <w:tc>
          <w:tcPr>
            <w:tcW w:w="3775" w:type="dxa"/>
            <w:tcBorders>
              <w:top w:val="single" w:sz="4" w:space="0" w:color="auto"/>
            </w:tcBorders>
            <w:shd w:val="clear" w:color="auto" w:fill="D9D9D9" w:themeFill="background1" w:themeFillShade="D9"/>
          </w:tcPr>
          <w:p w14:paraId="562DEFFE" w14:textId="77777777" w:rsidR="0091652D" w:rsidRDefault="0091652D" w:rsidP="00517625">
            <w:pPr>
              <w:spacing w:after="0"/>
            </w:pPr>
            <w:r>
              <w:t>Wind Raw SERVM ELCC (MW)</w:t>
            </w:r>
          </w:p>
        </w:tc>
        <w:tc>
          <w:tcPr>
            <w:tcW w:w="1080" w:type="dxa"/>
            <w:tcBorders>
              <w:top w:val="single" w:sz="4" w:space="0" w:color="auto"/>
            </w:tcBorders>
            <w:shd w:val="clear" w:color="auto" w:fill="D9D9D9" w:themeFill="background1" w:themeFillShade="D9"/>
            <w:vAlign w:val="center"/>
          </w:tcPr>
          <w:p w14:paraId="3B5CD0AB" w14:textId="77777777" w:rsidR="0091652D" w:rsidRDefault="0091652D" w:rsidP="00517625">
            <w:pPr>
              <w:spacing w:after="0"/>
              <w:jc w:val="center"/>
            </w:pPr>
            <w:r>
              <w:t>5,422</w:t>
            </w:r>
          </w:p>
        </w:tc>
        <w:tc>
          <w:tcPr>
            <w:tcW w:w="1260" w:type="dxa"/>
            <w:tcBorders>
              <w:top w:val="single" w:sz="4" w:space="0" w:color="auto"/>
            </w:tcBorders>
            <w:shd w:val="clear" w:color="auto" w:fill="D9D9D9" w:themeFill="background1" w:themeFillShade="D9"/>
            <w:vAlign w:val="center"/>
          </w:tcPr>
          <w:p w14:paraId="72BE1173" w14:textId="77777777" w:rsidR="0091652D" w:rsidRDefault="0091652D" w:rsidP="00517625">
            <w:pPr>
              <w:spacing w:after="0"/>
              <w:jc w:val="center"/>
            </w:pPr>
            <w:r>
              <w:t>7,045</w:t>
            </w:r>
          </w:p>
        </w:tc>
        <w:tc>
          <w:tcPr>
            <w:tcW w:w="3281" w:type="dxa"/>
            <w:tcBorders>
              <w:top w:val="single" w:sz="4" w:space="0" w:color="auto"/>
            </w:tcBorders>
            <w:shd w:val="clear" w:color="auto" w:fill="D9D9D9" w:themeFill="background1" w:themeFillShade="D9"/>
            <w:vAlign w:val="center"/>
          </w:tcPr>
          <w:p w14:paraId="00B0671C" w14:textId="77777777" w:rsidR="0091652D" w:rsidRDefault="0091652D" w:rsidP="00517625">
            <w:pPr>
              <w:spacing w:after="0"/>
              <w:jc w:val="center"/>
            </w:pPr>
            <w:r>
              <w:t>9,194</w:t>
            </w:r>
          </w:p>
        </w:tc>
      </w:tr>
      <w:tr w:rsidR="0091652D" w14:paraId="66C81D55" w14:textId="77777777" w:rsidTr="00517625">
        <w:trPr>
          <w:trHeight w:val="20"/>
        </w:trPr>
        <w:tc>
          <w:tcPr>
            <w:tcW w:w="3775" w:type="dxa"/>
          </w:tcPr>
          <w:p w14:paraId="1342B16D" w14:textId="5BA6CDF2" w:rsidR="0091652D" w:rsidRDefault="0091652D" w:rsidP="00517625">
            <w:pPr>
              <w:spacing w:after="0"/>
            </w:pPr>
            <w:r>
              <w:t>Wind Allocated ELCC (MW)</w:t>
            </w:r>
          </w:p>
        </w:tc>
        <w:tc>
          <w:tcPr>
            <w:tcW w:w="1080" w:type="dxa"/>
            <w:vAlign w:val="center"/>
          </w:tcPr>
          <w:p w14:paraId="009D6AB8" w14:textId="521876A1" w:rsidR="0091652D" w:rsidRDefault="0091652D" w:rsidP="00517625">
            <w:pPr>
              <w:spacing w:after="0"/>
              <w:jc w:val="center"/>
            </w:pPr>
            <w:r>
              <w:t>5,049</w:t>
            </w:r>
          </w:p>
        </w:tc>
        <w:tc>
          <w:tcPr>
            <w:tcW w:w="1260" w:type="dxa"/>
            <w:vAlign w:val="center"/>
          </w:tcPr>
          <w:p w14:paraId="3213D4F2" w14:textId="3AFAB998" w:rsidR="0091652D" w:rsidRDefault="0091652D" w:rsidP="00517625">
            <w:pPr>
              <w:spacing w:after="0"/>
              <w:jc w:val="center"/>
            </w:pPr>
            <w:r>
              <w:t>6,728</w:t>
            </w:r>
          </w:p>
        </w:tc>
        <w:tc>
          <w:tcPr>
            <w:tcW w:w="3281" w:type="dxa"/>
            <w:vAlign w:val="center"/>
          </w:tcPr>
          <w:p w14:paraId="3DDD1DAC" w14:textId="3461FD48" w:rsidR="0091652D" w:rsidRDefault="0091652D" w:rsidP="00517625">
            <w:pPr>
              <w:spacing w:after="0"/>
              <w:jc w:val="center"/>
            </w:pPr>
            <w:r>
              <w:t>7,989</w:t>
            </w:r>
          </w:p>
        </w:tc>
      </w:tr>
      <w:tr w:rsidR="0091652D" w14:paraId="6C8359D0" w14:textId="77777777" w:rsidTr="00517625">
        <w:trPr>
          <w:trHeight w:val="20"/>
        </w:trPr>
        <w:tc>
          <w:tcPr>
            <w:tcW w:w="3775" w:type="dxa"/>
            <w:shd w:val="clear" w:color="auto" w:fill="D9D9D9" w:themeFill="background1" w:themeFillShade="D9"/>
          </w:tcPr>
          <w:p w14:paraId="261A3B85" w14:textId="77777777" w:rsidR="0091652D" w:rsidRDefault="0091652D" w:rsidP="00517625">
            <w:pPr>
              <w:spacing w:after="0"/>
            </w:pPr>
            <w:r>
              <w:t>Wind ELCC (%)</w:t>
            </w:r>
          </w:p>
        </w:tc>
        <w:tc>
          <w:tcPr>
            <w:tcW w:w="1080" w:type="dxa"/>
            <w:shd w:val="clear" w:color="auto" w:fill="D9D9D9" w:themeFill="background1" w:themeFillShade="D9"/>
            <w:vAlign w:val="center"/>
          </w:tcPr>
          <w:p w14:paraId="576A1789" w14:textId="0A6889F2" w:rsidR="0091652D" w:rsidRDefault="0091652D" w:rsidP="00517625">
            <w:pPr>
              <w:spacing w:after="0"/>
              <w:jc w:val="center"/>
            </w:pPr>
            <w:r>
              <w:t>16%</w:t>
            </w:r>
          </w:p>
        </w:tc>
        <w:tc>
          <w:tcPr>
            <w:tcW w:w="1260" w:type="dxa"/>
            <w:shd w:val="clear" w:color="auto" w:fill="D9D9D9" w:themeFill="background1" w:themeFillShade="D9"/>
            <w:vAlign w:val="center"/>
          </w:tcPr>
          <w:p w14:paraId="1C15C1C8" w14:textId="2F35DBA5" w:rsidR="0091652D" w:rsidRDefault="0091652D" w:rsidP="00517625">
            <w:pPr>
              <w:spacing w:after="0"/>
              <w:jc w:val="center"/>
            </w:pPr>
            <w:r>
              <w:t>18%</w:t>
            </w:r>
          </w:p>
        </w:tc>
        <w:tc>
          <w:tcPr>
            <w:tcW w:w="3281" w:type="dxa"/>
            <w:shd w:val="clear" w:color="auto" w:fill="D9D9D9" w:themeFill="background1" w:themeFillShade="D9"/>
            <w:vAlign w:val="center"/>
          </w:tcPr>
          <w:p w14:paraId="09B7D56D" w14:textId="6361701C" w:rsidR="0091652D" w:rsidRDefault="0091652D" w:rsidP="00517625">
            <w:pPr>
              <w:spacing w:after="0"/>
              <w:jc w:val="center"/>
            </w:pPr>
            <w:r>
              <w:t>19%</w:t>
            </w:r>
          </w:p>
        </w:tc>
      </w:tr>
    </w:tbl>
    <w:p w14:paraId="6D42C55B" w14:textId="2C16C441" w:rsidR="00E41111" w:rsidRDefault="00E41111" w:rsidP="00556234">
      <w:pPr>
        <w:jc w:val="both"/>
      </w:pPr>
    </w:p>
    <w:p w14:paraId="4205A0AC" w14:textId="196ABAD2" w:rsidR="006F36E5" w:rsidRDefault="006F36E5" w:rsidP="006F36E5">
      <w:pPr>
        <w:pStyle w:val="Caption"/>
        <w:jc w:val="center"/>
        <w:rPr>
          <w:rFonts w:cs="Calibri"/>
          <w:b/>
          <w:bCs/>
          <w:i w:val="0"/>
          <w:iCs w:val="0"/>
          <w:color w:val="auto"/>
          <w:sz w:val="22"/>
          <w:szCs w:val="22"/>
        </w:rPr>
      </w:pPr>
      <w:r w:rsidRPr="00E025BC">
        <w:rPr>
          <w:rFonts w:cs="Calibri"/>
          <w:b/>
          <w:bCs/>
          <w:i w:val="0"/>
          <w:iCs w:val="0"/>
          <w:color w:val="auto"/>
          <w:sz w:val="22"/>
          <w:szCs w:val="22"/>
        </w:rPr>
        <w:t>Table</w:t>
      </w:r>
      <w:r>
        <w:rPr>
          <w:rFonts w:cs="Calibri"/>
          <w:b/>
          <w:bCs/>
          <w:i w:val="0"/>
          <w:iCs w:val="0"/>
          <w:noProof/>
          <w:color w:val="auto"/>
          <w:sz w:val="22"/>
          <w:szCs w:val="22"/>
        </w:rPr>
        <w:t xml:space="preserve"> </w:t>
      </w:r>
      <w:r w:rsidR="0091652D">
        <w:rPr>
          <w:rFonts w:cs="Calibri"/>
          <w:b/>
          <w:bCs/>
          <w:i w:val="0"/>
          <w:iCs w:val="0"/>
          <w:noProof/>
          <w:color w:val="auto"/>
          <w:sz w:val="22"/>
          <w:szCs w:val="22"/>
        </w:rPr>
        <w:t>A</w:t>
      </w:r>
      <w:r>
        <w:rPr>
          <w:rFonts w:cs="Calibri"/>
          <w:b/>
          <w:bCs/>
          <w:i w:val="0"/>
          <w:iCs w:val="0"/>
          <w:noProof/>
          <w:color w:val="auto"/>
          <w:sz w:val="22"/>
          <w:szCs w:val="22"/>
        </w:rPr>
        <w:t>2-</w:t>
      </w:r>
      <w:r w:rsidR="0091652D">
        <w:rPr>
          <w:rFonts w:cs="Calibri"/>
          <w:b/>
          <w:bCs/>
          <w:i w:val="0"/>
          <w:iCs w:val="0"/>
          <w:noProof/>
          <w:color w:val="auto"/>
          <w:sz w:val="22"/>
          <w:szCs w:val="22"/>
        </w:rPr>
        <w:t>6</w:t>
      </w:r>
      <w:r w:rsidRPr="00E025BC">
        <w:rPr>
          <w:rFonts w:cs="Calibri"/>
          <w:b/>
          <w:bCs/>
          <w:i w:val="0"/>
          <w:iCs w:val="0"/>
          <w:noProof/>
          <w:color w:val="auto"/>
          <w:sz w:val="22"/>
          <w:szCs w:val="22"/>
        </w:rPr>
        <w:t xml:space="preserve">. </w:t>
      </w:r>
      <w:r w:rsidR="0091652D">
        <w:rPr>
          <w:rFonts w:cs="Calibri"/>
          <w:b/>
          <w:bCs/>
          <w:i w:val="0"/>
          <w:iCs w:val="0"/>
          <w:color w:val="auto"/>
          <w:sz w:val="22"/>
          <w:szCs w:val="22"/>
        </w:rPr>
        <w:t>Solar Technology Allocated ELCC Values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080"/>
        <w:gridCol w:w="1260"/>
        <w:gridCol w:w="3281"/>
      </w:tblGrid>
      <w:tr w:rsidR="0091652D" w14:paraId="1FBC4955" w14:textId="77777777" w:rsidTr="00517625">
        <w:trPr>
          <w:trHeight w:val="20"/>
        </w:trPr>
        <w:tc>
          <w:tcPr>
            <w:tcW w:w="3775" w:type="dxa"/>
            <w:tcBorders>
              <w:top w:val="single" w:sz="4" w:space="0" w:color="auto"/>
              <w:bottom w:val="single" w:sz="4" w:space="0" w:color="auto"/>
            </w:tcBorders>
          </w:tcPr>
          <w:p w14:paraId="476B4C13" w14:textId="77777777" w:rsidR="0091652D" w:rsidRDefault="0091652D" w:rsidP="00517625">
            <w:pPr>
              <w:spacing w:after="0"/>
            </w:pPr>
          </w:p>
        </w:tc>
        <w:tc>
          <w:tcPr>
            <w:tcW w:w="1080" w:type="dxa"/>
            <w:tcBorders>
              <w:top w:val="single" w:sz="4" w:space="0" w:color="auto"/>
              <w:bottom w:val="single" w:sz="4" w:space="0" w:color="auto"/>
            </w:tcBorders>
            <w:vAlign w:val="center"/>
          </w:tcPr>
          <w:p w14:paraId="7A52563B" w14:textId="77777777" w:rsidR="0091652D" w:rsidRPr="006F36E5" w:rsidRDefault="0091652D" w:rsidP="00517625">
            <w:pPr>
              <w:spacing w:after="0"/>
              <w:jc w:val="center"/>
              <w:rPr>
                <w:b/>
                <w:bCs/>
              </w:rPr>
            </w:pPr>
            <w:r w:rsidRPr="006F36E5">
              <w:rPr>
                <w:b/>
                <w:bCs/>
              </w:rPr>
              <w:t>2020</w:t>
            </w:r>
          </w:p>
        </w:tc>
        <w:tc>
          <w:tcPr>
            <w:tcW w:w="1260" w:type="dxa"/>
            <w:tcBorders>
              <w:top w:val="single" w:sz="4" w:space="0" w:color="auto"/>
              <w:bottom w:val="single" w:sz="4" w:space="0" w:color="auto"/>
            </w:tcBorders>
            <w:vAlign w:val="center"/>
          </w:tcPr>
          <w:p w14:paraId="43C313C3" w14:textId="77777777" w:rsidR="0091652D" w:rsidRPr="006F36E5" w:rsidRDefault="0091652D" w:rsidP="00517625">
            <w:pPr>
              <w:spacing w:after="0"/>
              <w:jc w:val="center"/>
              <w:rPr>
                <w:b/>
                <w:bCs/>
              </w:rPr>
            </w:pPr>
            <w:r w:rsidRPr="006F36E5">
              <w:rPr>
                <w:b/>
                <w:bCs/>
              </w:rPr>
              <w:t>2024</w:t>
            </w:r>
          </w:p>
        </w:tc>
        <w:tc>
          <w:tcPr>
            <w:tcW w:w="3281" w:type="dxa"/>
            <w:tcBorders>
              <w:top w:val="single" w:sz="4" w:space="0" w:color="auto"/>
              <w:bottom w:val="single" w:sz="4" w:space="0" w:color="auto"/>
            </w:tcBorders>
            <w:vAlign w:val="center"/>
          </w:tcPr>
          <w:p w14:paraId="2DDA0345" w14:textId="77777777" w:rsidR="0091652D" w:rsidRPr="006F36E5" w:rsidRDefault="0091652D" w:rsidP="00517625">
            <w:pPr>
              <w:spacing w:after="0"/>
              <w:jc w:val="center"/>
              <w:rPr>
                <w:b/>
                <w:bCs/>
              </w:rPr>
            </w:pPr>
            <w:r w:rsidRPr="006F36E5">
              <w:rPr>
                <w:b/>
                <w:bCs/>
              </w:rPr>
              <w:t>2024 High Renewable</w:t>
            </w:r>
          </w:p>
        </w:tc>
      </w:tr>
      <w:tr w:rsidR="0091652D" w14:paraId="2ABFDE29" w14:textId="77777777" w:rsidTr="00517625">
        <w:trPr>
          <w:trHeight w:val="20"/>
        </w:trPr>
        <w:tc>
          <w:tcPr>
            <w:tcW w:w="3775" w:type="dxa"/>
            <w:tcBorders>
              <w:top w:val="single" w:sz="4" w:space="0" w:color="auto"/>
            </w:tcBorders>
            <w:shd w:val="clear" w:color="auto" w:fill="D9D9D9" w:themeFill="background1" w:themeFillShade="D9"/>
          </w:tcPr>
          <w:p w14:paraId="1555FE80" w14:textId="77777777" w:rsidR="0091652D" w:rsidRDefault="0091652D" w:rsidP="00517625">
            <w:pPr>
              <w:spacing w:after="0"/>
            </w:pPr>
            <w:r>
              <w:t>Solar Raw SERVM ELCC (MW)</w:t>
            </w:r>
          </w:p>
        </w:tc>
        <w:tc>
          <w:tcPr>
            <w:tcW w:w="1080" w:type="dxa"/>
            <w:tcBorders>
              <w:top w:val="single" w:sz="4" w:space="0" w:color="auto"/>
            </w:tcBorders>
            <w:shd w:val="clear" w:color="auto" w:fill="D9D9D9" w:themeFill="background1" w:themeFillShade="D9"/>
            <w:vAlign w:val="center"/>
          </w:tcPr>
          <w:p w14:paraId="1F1125F4" w14:textId="77777777" w:rsidR="0091652D" w:rsidRDefault="0091652D" w:rsidP="00517625">
            <w:pPr>
              <w:spacing w:after="0"/>
              <w:jc w:val="center"/>
            </w:pPr>
            <w:r>
              <w:t>4,711</w:t>
            </w:r>
          </w:p>
        </w:tc>
        <w:tc>
          <w:tcPr>
            <w:tcW w:w="1260" w:type="dxa"/>
            <w:tcBorders>
              <w:top w:val="single" w:sz="4" w:space="0" w:color="auto"/>
            </w:tcBorders>
            <w:shd w:val="clear" w:color="auto" w:fill="D9D9D9" w:themeFill="background1" w:themeFillShade="D9"/>
            <w:vAlign w:val="center"/>
          </w:tcPr>
          <w:p w14:paraId="6FE9D6FB" w14:textId="77777777" w:rsidR="0091652D" w:rsidRDefault="0091652D" w:rsidP="00517625">
            <w:pPr>
              <w:spacing w:after="0"/>
              <w:jc w:val="center"/>
            </w:pPr>
            <w:r>
              <w:t>12,529</w:t>
            </w:r>
          </w:p>
        </w:tc>
        <w:tc>
          <w:tcPr>
            <w:tcW w:w="3281" w:type="dxa"/>
            <w:tcBorders>
              <w:top w:val="single" w:sz="4" w:space="0" w:color="auto"/>
            </w:tcBorders>
            <w:shd w:val="clear" w:color="auto" w:fill="D9D9D9" w:themeFill="background1" w:themeFillShade="D9"/>
            <w:vAlign w:val="center"/>
          </w:tcPr>
          <w:p w14:paraId="78E9571D" w14:textId="77777777" w:rsidR="0091652D" w:rsidRDefault="0091652D" w:rsidP="00517625">
            <w:pPr>
              <w:spacing w:after="0"/>
              <w:jc w:val="center"/>
            </w:pPr>
            <w:r>
              <w:t>17,095</w:t>
            </w:r>
          </w:p>
        </w:tc>
      </w:tr>
      <w:tr w:rsidR="0091652D" w14:paraId="231AF94B" w14:textId="77777777" w:rsidTr="00517625">
        <w:trPr>
          <w:trHeight w:val="20"/>
        </w:trPr>
        <w:tc>
          <w:tcPr>
            <w:tcW w:w="3775" w:type="dxa"/>
          </w:tcPr>
          <w:p w14:paraId="1DBA90A8" w14:textId="7352C84B" w:rsidR="0091652D" w:rsidRDefault="0091652D" w:rsidP="00517625">
            <w:pPr>
              <w:spacing w:after="0"/>
            </w:pPr>
            <w:r>
              <w:t>Solar Allocated ELCC (MW)</w:t>
            </w:r>
          </w:p>
        </w:tc>
        <w:tc>
          <w:tcPr>
            <w:tcW w:w="1080" w:type="dxa"/>
            <w:vAlign w:val="center"/>
          </w:tcPr>
          <w:p w14:paraId="194C34A1" w14:textId="40D0CA3A" w:rsidR="0091652D" w:rsidRDefault="0091652D" w:rsidP="00517625">
            <w:pPr>
              <w:spacing w:after="0"/>
              <w:jc w:val="center"/>
            </w:pPr>
            <w:r>
              <w:t>4,387</w:t>
            </w:r>
          </w:p>
        </w:tc>
        <w:tc>
          <w:tcPr>
            <w:tcW w:w="1260" w:type="dxa"/>
            <w:vAlign w:val="center"/>
          </w:tcPr>
          <w:p w14:paraId="1B8BD5CA" w14:textId="475275CD" w:rsidR="0091652D" w:rsidRDefault="0091652D" w:rsidP="00517625">
            <w:pPr>
              <w:spacing w:after="0"/>
              <w:jc w:val="center"/>
            </w:pPr>
            <w:r>
              <w:t>11,965</w:t>
            </w:r>
          </w:p>
        </w:tc>
        <w:tc>
          <w:tcPr>
            <w:tcW w:w="3281" w:type="dxa"/>
            <w:vAlign w:val="center"/>
          </w:tcPr>
          <w:p w14:paraId="5E955CEE" w14:textId="35A821CF" w:rsidR="0091652D" w:rsidRDefault="0091652D" w:rsidP="00517625">
            <w:pPr>
              <w:spacing w:after="0"/>
              <w:jc w:val="center"/>
            </w:pPr>
            <w:r>
              <w:t>14,855</w:t>
            </w:r>
          </w:p>
        </w:tc>
      </w:tr>
      <w:tr w:rsidR="0091652D" w14:paraId="770A550F" w14:textId="77777777" w:rsidTr="00517625">
        <w:trPr>
          <w:trHeight w:val="20"/>
        </w:trPr>
        <w:tc>
          <w:tcPr>
            <w:tcW w:w="3775" w:type="dxa"/>
            <w:shd w:val="clear" w:color="auto" w:fill="D9D9D9" w:themeFill="background1" w:themeFillShade="D9"/>
          </w:tcPr>
          <w:p w14:paraId="5CDA7C20" w14:textId="77777777" w:rsidR="0091652D" w:rsidRDefault="0091652D" w:rsidP="00517625">
            <w:pPr>
              <w:spacing w:after="0"/>
            </w:pPr>
            <w:r>
              <w:t>Solar ELCC (%)</w:t>
            </w:r>
          </w:p>
        </w:tc>
        <w:tc>
          <w:tcPr>
            <w:tcW w:w="1080" w:type="dxa"/>
            <w:shd w:val="clear" w:color="auto" w:fill="D9D9D9" w:themeFill="background1" w:themeFillShade="D9"/>
            <w:vAlign w:val="center"/>
          </w:tcPr>
          <w:p w14:paraId="44D8B536" w14:textId="16EC81D4" w:rsidR="0091652D" w:rsidRDefault="0091652D" w:rsidP="00517625">
            <w:pPr>
              <w:spacing w:after="0"/>
              <w:jc w:val="center"/>
            </w:pPr>
            <w:r>
              <w:t>74%</w:t>
            </w:r>
          </w:p>
        </w:tc>
        <w:tc>
          <w:tcPr>
            <w:tcW w:w="1260" w:type="dxa"/>
            <w:shd w:val="clear" w:color="auto" w:fill="D9D9D9" w:themeFill="background1" w:themeFillShade="D9"/>
            <w:vAlign w:val="center"/>
          </w:tcPr>
          <w:p w14:paraId="48ACAD70" w14:textId="3BEED939" w:rsidR="0091652D" w:rsidRDefault="0091652D" w:rsidP="00517625">
            <w:pPr>
              <w:spacing w:after="0"/>
              <w:jc w:val="center"/>
            </w:pPr>
            <w:r>
              <w:t>75%</w:t>
            </w:r>
          </w:p>
        </w:tc>
        <w:tc>
          <w:tcPr>
            <w:tcW w:w="3281" w:type="dxa"/>
            <w:shd w:val="clear" w:color="auto" w:fill="D9D9D9" w:themeFill="background1" w:themeFillShade="D9"/>
            <w:vAlign w:val="center"/>
          </w:tcPr>
          <w:p w14:paraId="23866CD8" w14:textId="35CE82DC" w:rsidR="0091652D" w:rsidRDefault="0091652D" w:rsidP="00517625">
            <w:pPr>
              <w:spacing w:after="0"/>
              <w:jc w:val="center"/>
            </w:pPr>
            <w:r>
              <w:t>48%</w:t>
            </w:r>
          </w:p>
        </w:tc>
      </w:tr>
    </w:tbl>
    <w:p w14:paraId="359A13BE" w14:textId="4E7EF5A8" w:rsidR="00E41111" w:rsidRDefault="00E41111" w:rsidP="00A663C5">
      <w:pPr>
        <w:jc w:val="both"/>
      </w:pPr>
    </w:p>
    <w:p w14:paraId="72F43836" w14:textId="77777777" w:rsidR="00E41111" w:rsidRDefault="00E41111" w:rsidP="00A663C5">
      <w:pPr>
        <w:jc w:val="both"/>
      </w:pPr>
      <w:r>
        <w:t>The synergy can be seen in both the allocation calculation as well as the change from year to year. The wind capacity value increases from 2020 to 2024 and to 2024 High Renewable as solar shifts the net load profile to later in the day. Solar ELCC doesn’t decline much between 2020 and 2024, but additions after the penetrations assumed in the 2024 portfolio have a rapidly declining ELCC. The average ELCC for solar increases from approximately 12 GW in 2024 to 15 GW 2024 with High Renewable. The 3 GW increase in ELCC corresponds to a 15 GW solar increase, so on a relative basis, the solar added between these scenarios only achieves a 20% ELCC.</w:t>
      </w:r>
    </w:p>
    <w:p w14:paraId="1E1D67CE" w14:textId="61679091" w:rsidR="00E41111" w:rsidRDefault="00E41111" w:rsidP="00556234">
      <w:pPr>
        <w:jc w:val="both"/>
      </w:pPr>
      <w:r>
        <w:t xml:space="preserve">We performed further calculations to isolate locational ELCCs for both wind and solar. Wind is divided into Wind Coastal (Wind-C), Wind Other (Wind-O), and Wind Panhandle (Wind-P). A typical summer profile is shown for each wind location in Figure </w:t>
      </w:r>
      <w:r w:rsidR="0091652D">
        <w:t>A2-4</w:t>
      </w:r>
      <w:r>
        <w:t>.</w:t>
      </w:r>
    </w:p>
    <w:p w14:paraId="5D21F0A7" w14:textId="7A1A18AC" w:rsidR="000F0C8B" w:rsidRDefault="000F0C8B" w:rsidP="00556234">
      <w:pPr>
        <w:jc w:val="both"/>
      </w:pPr>
    </w:p>
    <w:p w14:paraId="56316ECD" w14:textId="4174931A" w:rsidR="000F0C8B" w:rsidRDefault="000F0C8B" w:rsidP="00556234">
      <w:pPr>
        <w:jc w:val="both"/>
      </w:pPr>
    </w:p>
    <w:p w14:paraId="303C241D" w14:textId="0E4233F2" w:rsidR="000F0C8B" w:rsidRDefault="000F0C8B" w:rsidP="00556234">
      <w:pPr>
        <w:jc w:val="both"/>
      </w:pPr>
    </w:p>
    <w:p w14:paraId="1CCF825D" w14:textId="5FC8ED25" w:rsidR="000F0C8B" w:rsidRDefault="000F0C8B" w:rsidP="00556234">
      <w:pPr>
        <w:jc w:val="both"/>
      </w:pPr>
    </w:p>
    <w:p w14:paraId="3A3E8998" w14:textId="0C316E4E" w:rsidR="000F0C8B" w:rsidRDefault="000F0C8B" w:rsidP="00556234">
      <w:pPr>
        <w:jc w:val="both"/>
      </w:pPr>
    </w:p>
    <w:p w14:paraId="5F6150E5" w14:textId="77777777" w:rsidR="000F0C8B" w:rsidRDefault="000F0C8B" w:rsidP="00556234">
      <w:pPr>
        <w:jc w:val="both"/>
      </w:pPr>
    </w:p>
    <w:p w14:paraId="69240ACC" w14:textId="336941A0" w:rsidR="00E41111" w:rsidRPr="000F0C8B" w:rsidRDefault="006F36E5" w:rsidP="000F0C8B">
      <w:pPr>
        <w:pStyle w:val="Caption"/>
        <w:spacing w:after="0"/>
        <w:jc w:val="center"/>
        <w:rPr>
          <w:rFonts w:cs="Calibri"/>
          <w:b/>
          <w:bCs/>
          <w:i w:val="0"/>
          <w:iCs w:val="0"/>
          <w:color w:val="auto"/>
          <w:sz w:val="22"/>
          <w:szCs w:val="22"/>
        </w:rPr>
      </w:pPr>
      <w:r w:rsidRPr="00B35DC0">
        <w:rPr>
          <w:rFonts w:cs="Calibri"/>
          <w:b/>
          <w:bCs/>
          <w:i w:val="0"/>
          <w:iCs w:val="0"/>
          <w:color w:val="auto"/>
          <w:sz w:val="22"/>
          <w:szCs w:val="22"/>
        </w:rPr>
        <w:t>Figure A</w:t>
      </w:r>
      <w:r>
        <w:rPr>
          <w:rFonts w:cs="Calibri"/>
          <w:b/>
          <w:bCs/>
          <w:i w:val="0"/>
          <w:iCs w:val="0"/>
          <w:color w:val="auto"/>
          <w:sz w:val="22"/>
          <w:szCs w:val="22"/>
        </w:rPr>
        <w:t>2</w:t>
      </w:r>
      <w:r w:rsidRPr="00B35DC0">
        <w:rPr>
          <w:rFonts w:cs="Calibri"/>
          <w:b/>
          <w:bCs/>
          <w:i w:val="0"/>
          <w:iCs w:val="0"/>
          <w:color w:val="auto"/>
          <w:sz w:val="22"/>
          <w:szCs w:val="22"/>
        </w:rPr>
        <w:t>-</w:t>
      </w:r>
      <w:r w:rsidR="0091652D">
        <w:rPr>
          <w:rFonts w:cs="Calibri"/>
          <w:b/>
          <w:bCs/>
          <w:i w:val="0"/>
          <w:iCs w:val="0"/>
          <w:color w:val="auto"/>
          <w:sz w:val="22"/>
          <w:szCs w:val="22"/>
        </w:rPr>
        <w:t>4</w:t>
      </w:r>
      <w:r w:rsidRPr="00A550A2">
        <w:rPr>
          <w:rFonts w:cs="Calibri"/>
          <w:b/>
          <w:bCs/>
          <w:i w:val="0"/>
          <w:iCs w:val="0"/>
          <w:noProof/>
          <w:color w:val="auto"/>
          <w:sz w:val="22"/>
          <w:szCs w:val="22"/>
        </w:rPr>
        <w:fldChar w:fldCharType="begin"/>
      </w:r>
      <w:r w:rsidRPr="00B35DC0">
        <w:rPr>
          <w:rFonts w:cs="Calibri"/>
          <w:b/>
          <w:bCs/>
          <w:i w:val="0"/>
          <w:iCs w:val="0"/>
          <w:noProof/>
          <w:color w:val="auto"/>
          <w:sz w:val="22"/>
          <w:szCs w:val="22"/>
        </w:rPr>
        <w:instrText xml:space="preserve"> SEQ Figure_A1- \* ARABIC </w:instrText>
      </w:r>
      <w:r w:rsidRPr="00A550A2">
        <w:rPr>
          <w:rFonts w:cs="Calibri"/>
          <w:b/>
          <w:bCs/>
          <w:i w:val="0"/>
          <w:iCs w:val="0"/>
          <w:noProof/>
          <w:color w:val="auto"/>
          <w:sz w:val="22"/>
          <w:szCs w:val="22"/>
        </w:rPr>
        <w:fldChar w:fldCharType="end"/>
      </w:r>
      <w:r w:rsidRPr="00B35DC0">
        <w:rPr>
          <w:rFonts w:cs="Calibri"/>
          <w:b/>
          <w:bCs/>
          <w:i w:val="0"/>
          <w:iCs w:val="0"/>
          <w:noProof/>
          <w:color w:val="auto"/>
          <w:sz w:val="22"/>
          <w:szCs w:val="22"/>
        </w:rPr>
        <w:t xml:space="preserve">. </w:t>
      </w:r>
      <w:r w:rsidR="0091652D">
        <w:rPr>
          <w:rFonts w:cs="Calibri"/>
          <w:b/>
          <w:bCs/>
          <w:i w:val="0"/>
          <w:iCs w:val="0"/>
          <w:color w:val="auto"/>
          <w:sz w:val="22"/>
          <w:szCs w:val="22"/>
        </w:rPr>
        <w:t>Typical Daily Summer Profile for Each Wind Subcategory</w:t>
      </w:r>
    </w:p>
    <w:p w14:paraId="48F7384B" w14:textId="38CEC605" w:rsidR="00CA3FE0" w:rsidRDefault="00CA3FE0" w:rsidP="00CA3FE0">
      <w:pPr>
        <w:jc w:val="center"/>
      </w:pPr>
      <w:r>
        <w:rPr>
          <w:noProof/>
        </w:rPr>
        <w:drawing>
          <wp:inline distT="0" distB="0" distL="0" distR="0" wp14:anchorId="1D8DA694" wp14:editId="55CD1C98">
            <wp:extent cx="5285740" cy="355409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5740" cy="3554095"/>
                    </a:xfrm>
                    <a:prstGeom prst="rect">
                      <a:avLst/>
                    </a:prstGeom>
                    <a:noFill/>
                  </pic:spPr>
                </pic:pic>
              </a:graphicData>
            </a:graphic>
          </wp:inline>
        </w:drawing>
      </w:r>
    </w:p>
    <w:p w14:paraId="26BF2075" w14:textId="1F94E226" w:rsidR="00E41111" w:rsidRDefault="00E41111" w:rsidP="00556234">
      <w:pPr>
        <w:jc w:val="both"/>
      </w:pPr>
      <w:r>
        <w:t xml:space="preserve">Solar is divided into West and Non-West according to the geographic grouping shown in the map in Figure </w:t>
      </w:r>
      <w:r w:rsidR="0091652D">
        <w:t>A2-5</w:t>
      </w:r>
      <w:r>
        <w:t>.</w:t>
      </w:r>
    </w:p>
    <w:p w14:paraId="2DB489D9" w14:textId="02190C99" w:rsidR="000F0C8B" w:rsidRDefault="000F0C8B" w:rsidP="00556234">
      <w:pPr>
        <w:jc w:val="both"/>
      </w:pPr>
    </w:p>
    <w:p w14:paraId="1604F6FE" w14:textId="57842499" w:rsidR="000F0C8B" w:rsidRDefault="000F0C8B" w:rsidP="00556234">
      <w:pPr>
        <w:jc w:val="both"/>
      </w:pPr>
    </w:p>
    <w:p w14:paraId="037CE684" w14:textId="69A3FCC4" w:rsidR="000F0C8B" w:rsidRDefault="000F0C8B" w:rsidP="00556234">
      <w:pPr>
        <w:jc w:val="both"/>
      </w:pPr>
    </w:p>
    <w:p w14:paraId="5324C87D" w14:textId="452C42B8" w:rsidR="000F0C8B" w:rsidRDefault="000F0C8B" w:rsidP="00556234">
      <w:pPr>
        <w:jc w:val="both"/>
      </w:pPr>
    </w:p>
    <w:p w14:paraId="4E08687B" w14:textId="339D1625" w:rsidR="000F0C8B" w:rsidRDefault="000F0C8B" w:rsidP="00556234">
      <w:pPr>
        <w:jc w:val="both"/>
      </w:pPr>
    </w:p>
    <w:p w14:paraId="2C674CA7" w14:textId="11F479E3" w:rsidR="000F0C8B" w:rsidRDefault="000F0C8B" w:rsidP="00556234">
      <w:pPr>
        <w:jc w:val="both"/>
      </w:pPr>
    </w:p>
    <w:p w14:paraId="6AF4BD6C" w14:textId="4A13CEC5" w:rsidR="000F0C8B" w:rsidRDefault="000F0C8B" w:rsidP="00556234">
      <w:pPr>
        <w:jc w:val="both"/>
      </w:pPr>
    </w:p>
    <w:p w14:paraId="74F04330" w14:textId="404E90A8" w:rsidR="000F0C8B" w:rsidRDefault="000F0C8B" w:rsidP="00556234">
      <w:pPr>
        <w:jc w:val="both"/>
      </w:pPr>
    </w:p>
    <w:p w14:paraId="21105F90" w14:textId="0C2EEBAF" w:rsidR="000F0C8B" w:rsidRDefault="000F0C8B" w:rsidP="00556234">
      <w:pPr>
        <w:jc w:val="both"/>
      </w:pPr>
    </w:p>
    <w:p w14:paraId="7F146047" w14:textId="4BBE7D7A" w:rsidR="000F0C8B" w:rsidRDefault="000F0C8B" w:rsidP="00556234">
      <w:pPr>
        <w:jc w:val="both"/>
      </w:pPr>
    </w:p>
    <w:p w14:paraId="65E08A8F" w14:textId="72307699" w:rsidR="000F0C8B" w:rsidRDefault="000F0C8B" w:rsidP="00556234">
      <w:pPr>
        <w:jc w:val="both"/>
      </w:pPr>
    </w:p>
    <w:p w14:paraId="4842C5F1" w14:textId="44B079DB" w:rsidR="000F0C8B" w:rsidRDefault="000F0C8B" w:rsidP="00556234">
      <w:pPr>
        <w:jc w:val="both"/>
      </w:pPr>
    </w:p>
    <w:p w14:paraId="413F8F17" w14:textId="3E61389A" w:rsidR="000F0C8B" w:rsidRDefault="000F0C8B" w:rsidP="00556234">
      <w:pPr>
        <w:jc w:val="both"/>
      </w:pPr>
    </w:p>
    <w:p w14:paraId="32C53E38" w14:textId="77777777" w:rsidR="000F0C8B" w:rsidRDefault="000F0C8B" w:rsidP="00556234">
      <w:pPr>
        <w:jc w:val="both"/>
      </w:pPr>
    </w:p>
    <w:p w14:paraId="65D43CF6" w14:textId="24CE5878" w:rsidR="006F36E5" w:rsidRPr="006F36E5" w:rsidRDefault="006F36E5" w:rsidP="006F36E5">
      <w:pPr>
        <w:pStyle w:val="Caption"/>
        <w:jc w:val="center"/>
        <w:rPr>
          <w:rFonts w:cs="Calibri"/>
          <w:b/>
          <w:bCs/>
          <w:i w:val="0"/>
          <w:iCs w:val="0"/>
          <w:color w:val="auto"/>
          <w:sz w:val="22"/>
          <w:szCs w:val="22"/>
        </w:rPr>
      </w:pPr>
      <w:r w:rsidRPr="00B35DC0">
        <w:rPr>
          <w:rFonts w:cs="Calibri"/>
          <w:b/>
          <w:bCs/>
          <w:i w:val="0"/>
          <w:iCs w:val="0"/>
          <w:color w:val="auto"/>
          <w:sz w:val="22"/>
          <w:szCs w:val="22"/>
        </w:rPr>
        <w:t>Figure A</w:t>
      </w:r>
      <w:r>
        <w:rPr>
          <w:rFonts w:cs="Calibri"/>
          <w:b/>
          <w:bCs/>
          <w:i w:val="0"/>
          <w:iCs w:val="0"/>
          <w:color w:val="auto"/>
          <w:sz w:val="22"/>
          <w:szCs w:val="22"/>
        </w:rPr>
        <w:t>2</w:t>
      </w:r>
      <w:r w:rsidRPr="00B35DC0">
        <w:rPr>
          <w:rFonts w:cs="Calibri"/>
          <w:b/>
          <w:bCs/>
          <w:i w:val="0"/>
          <w:iCs w:val="0"/>
          <w:color w:val="auto"/>
          <w:sz w:val="22"/>
          <w:szCs w:val="22"/>
        </w:rPr>
        <w:t>-</w:t>
      </w:r>
      <w:r w:rsidR="0091652D">
        <w:rPr>
          <w:rFonts w:cs="Calibri"/>
          <w:b/>
          <w:bCs/>
          <w:i w:val="0"/>
          <w:iCs w:val="0"/>
          <w:color w:val="auto"/>
          <w:sz w:val="22"/>
          <w:szCs w:val="22"/>
        </w:rPr>
        <w:t>5</w:t>
      </w:r>
      <w:r w:rsidRPr="00A550A2">
        <w:rPr>
          <w:rFonts w:cs="Calibri"/>
          <w:b/>
          <w:bCs/>
          <w:i w:val="0"/>
          <w:iCs w:val="0"/>
          <w:noProof/>
          <w:color w:val="auto"/>
          <w:sz w:val="22"/>
          <w:szCs w:val="22"/>
        </w:rPr>
        <w:fldChar w:fldCharType="begin"/>
      </w:r>
      <w:r w:rsidRPr="00B35DC0">
        <w:rPr>
          <w:rFonts w:cs="Calibri"/>
          <w:b/>
          <w:bCs/>
          <w:i w:val="0"/>
          <w:iCs w:val="0"/>
          <w:noProof/>
          <w:color w:val="auto"/>
          <w:sz w:val="22"/>
          <w:szCs w:val="22"/>
        </w:rPr>
        <w:instrText xml:space="preserve"> SEQ Figure_A1- \* ARABIC </w:instrText>
      </w:r>
      <w:r w:rsidRPr="00A550A2">
        <w:rPr>
          <w:rFonts w:cs="Calibri"/>
          <w:b/>
          <w:bCs/>
          <w:i w:val="0"/>
          <w:iCs w:val="0"/>
          <w:noProof/>
          <w:color w:val="auto"/>
          <w:sz w:val="22"/>
          <w:szCs w:val="22"/>
        </w:rPr>
        <w:fldChar w:fldCharType="end"/>
      </w:r>
      <w:r w:rsidRPr="00B35DC0">
        <w:rPr>
          <w:rFonts w:cs="Calibri"/>
          <w:b/>
          <w:bCs/>
          <w:i w:val="0"/>
          <w:iCs w:val="0"/>
          <w:noProof/>
          <w:color w:val="auto"/>
          <w:sz w:val="22"/>
          <w:szCs w:val="22"/>
        </w:rPr>
        <w:t xml:space="preserve">. </w:t>
      </w:r>
      <w:r w:rsidR="0091652D">
        <w:rPr>
          <w:rFonts w:cs="Calibri"/>
          <w:b/>
          <w:bCs/>
          <w:i w:val="0"/>
          <w:iCs w:val="0"/>
          <w:color w:val="auto"/>
          <w:sz w:val="22"/>
          <w:szCs w:val="22"/>
        </w:rPr>
        <w:t>Geographic Grouping for Solar West and Non-West</w:t>
      </w:r>
    </w:p>
    <w:p w14:paraId="6C603739" w14:textId="2AEA6455" w:rsidR="00CA3FE0" w:rsidRDefault="00CA3FE0" w:rsidP="000F0C8B">
      <w:pPr>
        <w:jc w:val="center"/>
      </w:pPr>
      <w:r>
        <w:rPr>
          <w:noProof/>
        </w:rPr>
        <w:drawing>
          <wp:inline distT="0" distB="0" distL="0" distR="0" wp14:anchorId="4C859A53" wp14:editId="32DE9207">
            <wp:extent cx="5733124" cy="5417629"/>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6256" cy="5439488"/>
                    </a:xfrm>
                    <a:prstGeom prst="rect">
                      <a:avLst/>
                    </a:prstGeom>
                    <a:noFill/>
                  </pic:spPr>
                </pic:pic>
              </a:graphicData>
            </a:graphic>
          </wp:inline>
        </w:drawing>
      </w:r>
    </w:p>
    <w:p w14:paraId="5C6012A9" w14:textId="53F0AEC1" w:rsidR="00E41111" w:rsidRDefault="00E41111" w:rsidP="00E06609">
      <w:pPr>
        <w:spacing w:before="240"/>
        <w:jc w:val="both"/>
      </w:pPr>
      <w:r>
        <w:t xml:space="preserve">As expected, the coastal wind which exhibits higher capacity factor and higher diversity with load has a higher ELCC than the other two locational categories. However, it is not as high as suggested by the average output calculations performed by ERCOT. Table </w:t>
      </w:r>
      <w:r w:rsidR="00CA3FE0">
        <w:t>A2-7</w:t>
      </w:r>
      <w:r>
        <w:t xml:space="preserve"> compares the ELCCs for different years and portfolios and the ERCOT CDR methodology.</w:t>
      </w:r>
    </w:p>
    <w:p w14:paraId="536CF5BB" w14:textId="161BFC0D" w:rsidR="000F0C8B" w:rsidRDefault="000F0C8B" w:rsidP="00E06609">
      <w:pPr>
        <w:spacing w:before="240"/>
        <w:jc w:val="both"/>
      </w:pPr>
    </w:p>
    <w:p w14:paraId="4AA12E87" w14:textId="2482C68A" w:rsidR="000F0C8B" w:rsidRDefault="000F0C8B" w:rsidP="00E06609">
      <w:pPr>
        <w:spacing w:before="240"/>
        <w:jc w:val="both"/>
      </w:pPr>
    </w:p>
    <w:p w14:paraId="48075946" w14:textId="5CF8B4A9" w:rsidR="000F0C8B" w:rsidRDefault="000F0C8B" w:rsidP="00E06609">
      <w:pPr>
        <w:spacing w:before="240"/>
        <w:jc w:val="both"/>
      </w:pPr>
    </w:p>
    <w:p w14:paraId="4C379641" w14:textId="77777777" w:rsidR="000F0C8B" w:rsidRDefault="000F0C8B" w:rsidP="00E06609">
      <w:pPr>
        <w:spacing w:before="240"/>
        <w:jc w:val="both"/>
      </w:pPr>
    </w:p>
    <w:p w14:paraId="4AEC4EB2" w14:textId="27683C78" w:rsidR="006F36E5" w:rsidRDefault="006F36E5" w:rsidP="006F36E5">
      <w:pPr>
        <w:pStyle w:val="Caption"/>
        <w:jc w:val="center"/>
        <w:rPr>
          <w:rFonts w:cs="Calibri"/>
          <w:b/>
          <w:bCs/>
          <w:i w:val="0"/>
          <w:iCs w:val="0"/>
          <w:color w:val="auto"/>
          <w:sz w:val="22"/>
          <w:szCs w:val="22"/>
        </w:rPr>
      </w:pPr>
      <w:r w:rsidRPr="00E025BC">
        <w:rPr>
          <w:rFonts w:cs="Calibri"/>
          <w:b/>
          <w:bCs/>
          <w:i w:val="0"/>
          <w:iCs w:val="0"/>
          <w:color w:val="auto"/>
          <w:sz w:val="22"/>
          <w:szCs w:val="22"/>
        </w:rPr>
        <w:t>Table</w:t>
      </w:r>
      <w:r>
        <w:rPr>
          <w:rFonts w:cs="Calibri"/>
          <w:b/>
          <w:bCs/>
          <w:i w:val="0"/>
          <w:iCs w:val="0"/>
          <w:noProof/>
          <w:color w:val="auto"/>
          <w:sz w:val="22"/>
          <w:szCs w:val="22"/>
        </w:rPr>
        <w:t xml:space="preserve"> </w:t>
      </w:r>
      <w:r w:rsidR="00CA3FE0">
        <w:rPr>
          <w:rFonts w:cs="Calibri"/>
          <w:b/>
          <w:bCs/>
          <w:i w:val="0"/>
          <w:iCs w:val="0"/>
          <w:noProof/>
          <w:color w:val="auto"/>
          <w:sz w:val="22"/>
          <w:szCs w:val="22"/>
        </w:rPr>
        <w:t>A2-7</w:t>
      </w:r>
      <w:r w:rsidRPr="00E025BC">
        <w:rPr>
          <w:rFonts w:cs="Calibri"/>
          <w:b/>
          <w:bCs/>
          <w:i w:val="0"/>
          <w:iCs w:val="0"/>
          <w:noProof/>
          <w:color w:val="auto"/>
          <w:sz w:val="22"/>
          <w:szCs w:val="22"/>
        </w:rPr>
        <w:t xml:space="preserve">. </w:t>
      </w:r>
      <w:r w:rsidR="00CA3FE0">
        <w:rPr>
          <w:rFonts w:cs="Calibri"/>
          <w:b/>
          <w:bCs/>
          <w:i w:val="0"/>
          <w:iCs w:val="0"/>
          <w:color w:val="auto"/>
          <w:sz w:val="22"/>
          <w:szCs w:val="22"/>
        </w:rPr>
        <w:t>Wind ELCC by Location</w:t>
      </w:r>
    </w:p>
    <w:tbl>
      <w:tblPr>
        <w:tblStyle w:val="TableGrid"/>
        <w:tblW w:w="95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3240"/>
        <w:gridCol w:w="992"/>
        <w:gridCol w:w="1156"/>
        <w:gridCol w:w="2786"/>
      </w:tblGrid>
      <w:tr w:rsidR="00CA3FE0" w14:paraId="314341A4" w14:textId="77777777" w:rsidTr="00CA3FE0">
        <w:trPr>
          <w:trHeight w:val="20"/>
        </w:trPr>
        <w:tc>
          <w:tcPr>
            <w:tcW w:w="1350" w:type="dxa"/>
            <w:tcBorders>
              <w:top w:val="single" w:sz="4" w:space="0" w:color="auto"/>
              <w:bottom w:val="single" w:sz="4" w:space="0" w:color="auto"/>
            </w:tcBorders>
          </w:tcPr>
          <w:p w14:paraId="10CC9C5A" w14:textId="77777777" w:rsidR="00CA3FE0" w:rsidRDefault="00CA3FE0" w:rsidP="00517625">
            <w:pPr>
              <w:spacing w:after="0"/>
            </w:pPr>
          </w:p>
        </w:tc>
        <w:tc>
          <w:tcPr>
            <w:tcW w:w="3240" w:type="dxa"/>
            <w:tcBorders>
              <w:top w:val="single" w:sz="4" w:space="0" w:color="auto"/>
              <w:bottom w:val="single" w:sz="4" w:space="0" w:color="auto"/>
            </w:tcBorders>
          </w:tcPr>
          <w:p w14:paraId="46559880" w14:textId="22889E96" w:rsidR="00CA3FE0" w:rsidRPr="006F36E5" w:rsidRDefault="00CA3FE0" w:rsidP="00517625">
            <w:pPr>
              <w:spacing w:after="0"/>
              <w:jc w:val="center"/>
              <w:rPr>
                <w:b/>
                <w:bCs/>
              </w:rPr>
            </w:pPr>
            <w:r>
              <w:rPr>
                <w:b/>
                <w:bCs/>
              </w:rPr>
              <w:t>May 2020 CDR Summer Peak Average Capacity Contribution</w:t>
            </w:r>
          </w:p>
        </w:tc>
        <w:tc>
          <w:tcPr>
            <w:tcW w:w="992" w:type="dxa"/>
            <w:tcBorders>
              <w:top w:val="single" w:sz="4" w:space="0" w:color="auto"/>
              <w:bottom w:val="single" w:sz="4" w:space="0" w:color="auto"/>
            </w:tcBorders>
            <w:vAlign w:val="center"/>
          </w:tcPr>
          <w:p w14:paraId="1496D9A0" w14:textId="1831B767" w:rsidR="00CA3FE0" w:rsidRPr="006F36E5" w:rsidRDefault="00CA3FE0" w:rsidP="00517625">
            <w:pPr>
              <w:spacing w:after="0"/>
              <w:jc w:val="center"/>
              <w:rPr>
                <w:b/>
                <w:bCs/>
              </w:rPr>
            </w:pPr>
            <w:r w:rsidRPr="006F36E5">
              <w:rPr>
                <w:b/>
                <w:bCs/>
              </w:rPr>
              <w:t>2020</w:t>
            </w:r>
          </w:p>
        </w:tc>
        <w:tc>
          <w:tcPr>
            <w:tcW w:w="1156" w:type="dxa"/>
            <w:tcBorders>
              <w:top w:val="single" w:sz="4" w:space="0" w:color="auto"/>
              <w:bottom w:val="single" w:sz="4" w:space="0" w:color="auto"/>
            </w:tcBorders>
            <w:vAlign w:val="center"/>
          </w:tcPr>
          <w:p w14:paraId="7A279A0D" w14:textId="77777777" w:rsidR="00CA3FE0" w:rsidRPr="006F36E5" w:rsidRDefault="00CA3FE0" w:rsidP="00517625">
            <w:pPr>
              <w:spacing w:after="0"/>
              <w:jc w:val="center"/>
              <w:rPr>
                <w:b/>
                <w:bCs/>
              </w:rPr>
            </w:pPr>
            <w:r w:rsidRPr="006F36E5">
              <w:rPr>
                <w:b/>
                <w:bCs/>
              </w:rPr>
              <w:t>2024</w:t>
            </w:r>
          </w:p>
        </w:tc>
        <w:tc>
          <w:tcPr>
            <w:tcW w:w="2786" w:type="dxa"/>
            <w:tcBorders>
              <w:top w:val="single" w:sz="4" w:space="0" w:color="auto"/>
              <w:bottom w:val="single" w:sz="4" w:space="0" w:color="auto"/>
            </w:tcBorders>
            <w:vAlign w:val="center"/>
          </w:tcPr>
          <w:p w14:paraId="5C4DD723" w14:textId="77777777" w:rsidR="00CA3FE0" w:rsidRPr="006F36E5" w:rsidRDefault="00CA3FE0" w:rsidP="00517625">
            <w:pPr>
              <w:spacing w:after="0"/>
              <w:jc w:val="center"/>
              <w:rPr>
                <w:b/>
                <w:bCs/>
              </w:rPr>
            </w:pPr>
            <w:r w:rsidRPr="006F36E5">
              <w:rPr>
                <w:b/>
                <w:bCs/>
              </w:rPr>
              <w:t>2024 High Renewable</w:t>
            </w:r>
          </w:p>
        </w:tc>
      </w:tr>
      <w:tr w:rsidR="00CA3FE0" w14:paraId="045283C5" w14:textId="77777777" w:rsidTr="00CA3FE0">
        <w:trPr>
          <w:trHeight w:val="20"/>
        </w:trPr>
        <w:tc>
          <w:tcPr>
            <w:tcW w:w="1350" w:type="dxa"/>
            <w:tcBorders>
              <w:top w:val="single" w:sz="4" w:space="0" w:color="auto"/>
            </w:tcBorders>
            <w:shd w:val="clear" w:color="auto" w:fill="D9D9D9" w:themeFill="background1" w:themeFillShade="D9"/>
          </w:tcPr>
          <w:p w14:paraId="7C3A07F1" w14:textId="571B11CA" w:rsidR="00CA3FE0" w:rsidRDefault="00CA3FE0" w:rsidP="00517625">
            <w:pPr>
              <w:spacing w:after="0"/>
            </w:pPr>
            <w:r>
              <w:t>Wind-C</w:t>
            </w:r>
          </w:p>
        </w:tc>
        <w:tc>
          <w:tcPr>
            <w:tcW w:w="3240" w:type="dxa"/>
            <w:tcBorders>
              <w:top w:val="single" w:sz="4" w:space="0" w:color="auto"/>
            </w:tcBorders>
            <w:shd w:val="clear" w:color="auto" w:fill="D9D9D9" w:themeFill="background1" w:themeFillShade="D9"/>
          </w:tcPr>
          <w:p w14:paraId="07ACCE8D" w14:textId="74EB3F31" w:rsidR="00CA3FE0" w:rsidRDefault="00CA3FE0" w:rsidP="00517625">
            <w:pPr>
              <w:spacing w:after="0"/>
              <w:jc w:val="center"/>
            </w:pPr>
            <w:r>
              <w:t>63%</w:t>
            </w:r>
          </w:p>
        </w:tc>
        <w:tc>
          <w:tcPr>
            <w:tcW w:w="992" w:type="dxa"/>
            <w:tcBorders>
              <w:top w:val="single" w:sz="4" w:space="0" w:color="auto"/>
            </w:tcBorders>
            <w:shd w:val="clear" w:color="auto" w:fill="D9D9D9" w:themeFill="background1" w:themeFillShade="D9"/>
            <w:vAlign w:val="center"/>
          </w:tcPr>
          <w:p w14:paraId="594FA0CF" w14:textId="79CD698D" w:rsidR="00CA3FE0" w:rsidRDefault="00CA3FE0" w:rsidP="00517625">
            <w:pPr>
              <w:spacing w:after="0"/>
              <w:jc w:val="center"/>
            </w:pPr>
            <w:r>
              <w:t>31%</w:t>
            </w:r>
          </w:p>
        </w:tc>
        <w:tc>
          <w:tcPr>
            <w:tcW w:w="1156" w:type="dxa"/>
            <w:tcBorders>
              <w:top w:val="single" w:sz="4" w:space="0" w:color="auto"/>
            </w:tcBorders>
            <w:shd w:val="clear" w:color="auto" w:fill="D9D9D9" w:themeFill="background1" w:themeFillShade="D9"/>
            <w:vAlign w:val="center"/>
          </w:tcPr>
          <w:p w14:paraId="5ED91391" w14:textId="2B1AC99D" w:rsidR="00CA3FE0" w:rsidRDefault="00CA3FE0" w:rsidP="00517625">
            <w:pPr>
              <w:spacing w:after="0"/>
              <w:jc w:val="center"/>
            </w:pPr>
            <w:r>
              <w:t>37%</w:t>
            </w:r>
          </w:p>
        </w:tc>
        <w:tc>
          <w:tcPr>
            <w:tcW w:w="2786" w:type="dxa"/>
            <w:tcBorders>
              <w:top w:val="single" w:sz="4" w:space="0" w:color="auto"/>
            </w:tcBorders>
            <w:shd w:val="clear" w:color="auto" w:fill="D9D9D9" w:themeFill="background1" w:themeFillShade="D9"/>
            <w:vAlign w:val="center"/>
          </w:tcPr>
          <w:p w14:paraId="48D090DF" w14:textId="36CE5A2E" w:rsidR="00CA3FE0" w:rsidRDefault="00CA3FE0" w:rsidP="00517625">
            <w:pPr>
              <w:spacing w:after="0"/>
              <w:jc w:val="center"/>
            </w:pPr>
            <w:r>
              <w:t>24%</w:t>
            </w:r>
          </w:p>
        </w:tc>
      </w:tr>
      <w:tr w:rsidR="00CA3FE0" w14:paraId="7C7EAE0B" w14:textId="77777777" w:rsidTr="00CA3FE0">
        <w:trPr>
          <w:trHeight w:val="20"/>
        </w:trPr>
        <w:tc>
          <w:tcPr>
            <w:tcW w:w="1350" w:type="dxa"/>
          </w:tcPr>
          <w:p w14:paraId="6C95DE5A" w14:textId="61F75974" w:rsidR="00CA3FE0" w:rsidRDefault="00CA3FE0" w:rsidP="00517625">
            <w:pPr>
              <w:spacing w:after="0"/>
            </w:pPr>
            <w:r>
              <w:t>Wind-O</w:t>
            </w:r>
          </w:p>
        </w:tc>
        <w:tc>
          <w:tcPr>
            <w:tcW w:w="3240" w:type="dxa"/>
          </w:tcPr>
          <w:p w14:paraId="48A4C716" w14:textId="6A2A8222" w:rsidR="00CA3FE0" w:rsidRDefault="00CA3FE0" w:rsidP="00517625">
            <w:pPr>
              <w:spacing w:after="0"/>
              <w:jc w:val="center"/>
            </w:pPr>
            <w:r>
              <w:t>16%</w:t>
            </w:r>
          </w:p>
        </w:tc>
        <w:tc>
          <w:tcPr>
            <w:tcW w:w="992" w:type="dxa"/>
            <w:vAlign w:val="center"/>
          </w:tcPr>
          <w:p w14:paraId="4C800EF7" w14:textId="5D248C0D" w:rsidR="00CA3FE0" w:rsidRDefault="00CA3FE0" w:rsidP="00517625">
            <w:pPr>
              <w:spacing w:after="0"/>
              <w:jc w:val="center"/>
            </w:pPr>
            <w:r>
              <w:t>11%</w:t>
            </w:r>
          </w:p>
        </w:tc>
        <w:tc>
          <w:tcPr>
            <w:tcW w:w="1156" w:type="dxa"/>
            <w:vAlign w:val="center"/>
          </w:tcPr>
          <w:p w14:paraId="67CB05B3" w14:textId="29A04C69" w:rsidR="00CA3FE0" w:rsidRDefault="00CA3FE0" w:rsidP="00517625">
            <w:pPr>
              <w:spacing w:after="0"/>
              <w:jc w:val="center"/>
            </w:pPr>
            <w:r>
              <w:t>13%</w:t>
            </w:r>
          </w:p>
        </w:tc>
        <w:tc>
          <w:tcPr>
            <w:tcW w:w="2786" w:type="dxa"/>
            <w:vAlign w:val="center"/>
          </w:tcPr>
          <w:p w14:paraId="72A69A69" w14:textId="1EDD2B0E" w:rsidR="00CA3FE0" w:rsidRDefault="00CA3FE0" w:rsidP="00517625">
            <w:pPr>
              <w:spacing w:after="0"/>
              <w:jc w:val="center"/>
            </w:pPr>
            <w:r>
              <w:t>18%</w:t>
            </w:r>
          </w:p>
        </w:tc>
      </w:tr>
      <w:tr w:rsidR="00CA3FE0" w14:paraId="6B0851C2" w14:textId="77777777" w:rsidTr="000F0C8B">
        <w:trPr>
          <w:trHeight w:val="20"/>
        </w:trPr>
        <w:tc>
          <w:tcPr>
            <w:tcW w:w="1350" w:type="dxa"/>
            <w:tcBorders>
              <w:bottom w:val="single" w:sz="4" w:space="0" w:color="auto"/>
            </w:tcBorders>
            <w:shd w:val="clear" w:color="auto" w:fill="D9D9D9" w:themeFill="background1" w:themeFillShade="D9"/>
          </w:tcPr>
          <w:p w14:paraId="18B55B0E" w14:textId="2F192331" w:rsidR="00CA3FE0" w:rsidRDefault="00CA3FE0" w:rsidP="00517625">
            <w:pPr>
              <w:spacing w:after="0"/>
            </w:pPr>
            <w:r>
              <w:t>Wind-P</w:t>
            </w:r>
          </w:p>
        </w:tc>
        <w:tc>
          <w:tcPr>
            <w:tcW w:w="3240" w:type="dxa"/>
            <w:tcBorders>
              <w:bottom w:val="single" w:sz="4" w:space="0" w:color="auto"/>
            </w:tcBorders>
            <w:shd w:val="clear" w:color="auto" w:fill="D9D9D9" w:themeFill="background1" w:themeFillShade="D9"/>
          </w:tcPr>
          <w:p w14:paraId="009C787E" w14:textId="002EC991" w:rsidR="00CA3FE0" w:rsidRDefault="00CA3FE0" w:rsidP="00517625">
            <w:pPr>
              <w:spacing w:after="0"/>
              <w:jc w:val="center"/>
            </w:pPr>
            <w:r>
              <w:t>29%</w:t>
            </w:r>
          </w:p>
        </w:tc>
        <w:tc>
          <w:tcPr>
            <w:tcW w:w="992" w:type="dxa"/>
            <w:tcBorders>
              <w:bottom w:val="single" w:sz="4" w:space="0" w:color="auto"/>
            </w:tcBorders>
            <w:shd w:val="clear" w:color="auto" w:fill="D9D9D9" w:themeFill="background1" w:themeFillShade="D9"/>
            <w:vAlign w:val="center"/>
          </w:tcPr>
          <w:p w14:paraId="0072F38B" w14:textId="7EB4567F" w:rsidR="00CA3FE0" w:rsidRDefault="00CA3FE0" w:rsidP="00517625">
            <w:pPr>
              <w:spacing w:after="0"/>
              <w:jc w:val="center"/>
            </w:pPr>
            <w:r>
              <w:t>21%</w:t>
            </w:r>
          </w:p>
        </w:tc>
        <w:tc>
          <w:tcPr>
            <w:tcW w:w="1156" w:type="dxa"/>
            <w:tcBorders>
              <w:bottom w:val="single" w:sz="4" w:space="0" w:color="auto"/>
            </w:tcBorders>
            <w:shd w:val="clear" w:color="auto" w:fill="D9D9D9" w:themeFill="background1" w:themeFillShade="D9"/>
            <w:vAlign w:val="center"/>
          </w:tcPr>
          <w:p w14:paraId="54F5CB99" w14:textId="0FCF716A" w:rsidR="00CA3FE0" w:rsidRDefault="00CA3FE0" w:rsidP="00517625">
            <w:pPr>
              <w:spacing w:after="0"/>
              <w:jc w:val="center"/>
            </w:pPr>
            <w:r>
              <w:t>22%</w:t>
            </w:r>
          </w:p>
        </w:tc>
        <w:tc>
          <w:tcPr>
            <w:tcW w:w="2786" w:type="dxa"/>
            <w:tcBorders>
              <w:bottom w:val="single" w:sz="4" w:space="0" w:color="auto"/>
            </w:tcBorders>
            <w:shd w:val="clear" w:color="auto" w:fill="D9D9D9" w:themeFill="background1" w:themeFillShade="D9"/>
            <w:vAlign w:val="center"/>
          </w:tcPr>
          <w:p w14:paraId="74909DF2" w14:textId="060C1455" w:rsidR="00CA3FE0" w:rsidRDefault="00CA3FE0" w:rsidP="00517625">
            <w:pPr>
              <w:spacing w:after="0"/>
              <w:jc w:val="center"/>
            </w:pPr>
            <w:r>
              <w:t>17%</w:t>
            </w:r>
          </w:p>
        </w:tc>
      </w:tr>
      <w:tr w:rsidR="00CA3FE0" w14:paraId="287ED56C" w14:textId="77777777" w:rsidTr="000F0C8B">
        <w:trPr>
          <w:trHeight w:val="20"/>
        </w:trPr>
        <w:tc>
          <w:tcPr>
            <w:tcW w:w="1350" w:type="dxa"/>
            <w:tcBorders>
              <w:top w:val="single" w:sz="4" w:space="0" w:color="auto"/>
              <w:bottom w:val="single" w:sz="4" w:space="0" w:color="auto"/>
            </w:tcBorders>
            <w:shd w:val="clear" w:color="auto" w:fill="auto"/>
          </w:tcPr>
          <w:p w14:paraId="22E7DE99" w14:textId="50FF1AFC" w:rsidR="00CA3FE0" w:rsidRPr="00CA3FE0" w:rsidRDefault="00CA3FE0" w:rsidP="00517625">
            <w:pPr>
              <w:spacing w:after="0"/>
              <w:rPr>
                <w:b/>
                <w:bCs/>
              </w:rPr>
            </w:pPr>
            <w:r>
              <w:rPr>
                <w:b/>
                <w:bCs/>
              </w:rPr>
              <w:t>All Wind</w:t>
            </w:r>
          </w:p>
        </w:tc>
        <w:tc>
          <w:tcPr>
            <w:tcW w:w="3240" w:type="dxa"/>
            <w:tcBorders>
              <w:top w:val="single" w:sz="4" w:space="0" w:color="auto"/>
              <w:bottom w:val="single" w:sz="4" w:space="0" w:color="auto"/>
            </w:tcBorders>
          </w:tcPr>
          <w:p w14:paraId="2C9B87E0" w14:textId="77777777" w:rsidR="00CA3FE0" w:rsidRDefault="00CA3FE0" w:rsidP="00517625">
            <w:pPr>
              <w:spacing w:after="0"/>
              <w:jc w:val="center"/>
            </w:pPr>
          </w:p>
        </w:tc>
        <w:tc>
          <w:tcPr>
            <w:tcW w:w="992" w:type="dxa"/>
            <w:tcBorders>
              <w:top w:val="single" w:sz="4" w:space="0" w:color="auto"/>
              <w:bottom w:val="single" w:sz="4" w:space="0" w:color="auto"/>
            </w:tcBorders>
            <w:shd w:val="clear" w:color="auto" w:fill="auto"/>
            <w:vAlign w:val="center"/>
          </w:tcPr>
          <w:p w14:paraId="34535E23" w14:textId="23A487F5" w:rsidR="00CA3FE0" w:rsidRDefault="00CA3FE0" w:rsidP="00517625">
            <w:pPr>
              <w:spacing w:after="0"/>
              <w:jc w:val="center"/>
            </w:pPr>
            <w:r>
              <w:t>16%</w:t>
            </w:r>
          </w:p>
        </w:tc>
        <w:tc>
          <w:tcPr>
            <w:tcW w:w="1156" w:type="dxa"/>
            <w:tcBorders>
              <w:top w:val="single" w:sz="4" w:space="0" w:color="auto"/>
              <w:bottom w:val="single" w:sz="4" w:space="0" w:color="auto"/>
            </w:tcBorders>
            <w:shd w:val="clear" w:color="auto" w:fill="auto"/>
            <w:vAlign w:val="center"/>
          </w:tcPr>
          <w:p w14:paraId="7D4F3449" w14:textId="119ECC1F" w:rsidR="00CA3FE0" w:rsidRDefault="00CA3FE0" w:rsidP="00517625">
            <w:pPr>
              <w:spacing w:after="0"/>
              <w:jc w:val="center"/>
            </w:pPr>
            <w:r>
              <w:t>18%</w:t>
            </w:r>
          </w:p>
        </w:tc>
        <w:tc>
          <w:tcPr>
            <w:tcW w:w="2786" w:type="dxa"/>
            <w:tcBorders>
              <w:top w:val="single" w:sz="4" w:space="0" w:color="auto"/>
              <w:bottom w:val="single" w:sz="4" w:space="0" w:color="auto"/>
            </w:tcBorders>
            <w:shd w:val="clear" w:color="auto" w:fill="auto"/>
            <w:vAlign w:val="center"/>
          </w:tcPr>
          <w:p w14:paraId="6295D0F9" w14:textId="52ACEB25" w:rsidR="00CA3FE0" w:rsidRDefault="00CA3FE0" w:rsidP="00517625">
            <w:pPr>
              <w:spacing w:after="0"/>
              <w:jc w:val="center"/>
            </w:pPr>
            <w:r>
              <w:t>19%</w:t>
            </w:r>
          </w:p>
        </w:tc>
      </w:tr>
    </w:tbl>
    <w:p w14:paraId="05FB433B" w14:textId="6CFB5EE0" w:rsidR="00E41111" w:rsidRDefault="00E41111" w:rsidP="00E06609">
      <w:pPr>
        <w:spacing w:before="240"/>
        <w:jc w:val="both"/>
      </w:pPr>
      <w:r>
        <w:t>Solar ELCC is in part determined by longitude. Projects further to the west would be expected to have higher ELCCs in the summer since they would continue to produce output late into the afternoon. Since summer is the predominant reliability risk season, this effect drives the ELCC for solar, but in winter peaking regions across the country, eastern projects could produce higher ELCCs if early morning peaks are a reliability concern. The difference in ELCCs by location is 3-4%</w:t>
      </w:r>
      <w:r w:rsidR="00CA3FE0">
        <w:t>, as shown in Table A2-8</w:t>
      </w:r>
      <w:r>
        <w:t>, but more granular analysis comparing ELCCs for single locations in far West Texas vs far East Texas might show slightly larger disparities.</w:t>
      </w:r>
    </w:p>
    <w:p w14:paraId="134EE103" w14:textId="05D9EE21" w:rsidR="00E41111" w:rsidRPr="006F36E5" w:rsidRDefault="006F36E5" w:rsidP="00A663C5">
      <w:pPr>
        <w:pStyle w:val="Caption"/>
        <w:jc w:val="center"/>
        <w:rPr>
          <w:rFonts w:cs="Calibri"/>
          <w:b/>
          <w:bCs/>
        </w:rPr>
      </w:pPr>
      <w:r w:rsidRPr="00E025BC">
        <w:rPr>
          <w:rFonts w:cs="Calibri"/>
          <w:b/>
          <w:bCs/>
          <w:i w:val="0"/>
          <w:iCs w:val="0"/>
          <w:color w:val="auto"/>
          <w:sz w:val="22"/>
          <w:szCs w:val="22"/>
        </w:rPr>
        <w:t>Table</w:t>
      </w:r>
      <w:r>
        <w:rPr>
          <w:rFonts w:cs="Calibri"/>
          <w:b/>
          <w:bCs/>
          <w:i w:val="0"/>
          <w:iCs w:val="0"/>
          <w:noProof/>
          <w:color w:val="auto"/>
          <w:sz w:val="22"/>
          <w:szCs w:val="22"/>
        </w:rPr>
        <w:t xml:space="preserve"> </w:t>
      </w:r>
      <w:r w:rsidR="00CA3FE0">
        <w:rPr>
          <w:rFonts w:cs="Calibri"/>
          <w:b/>
          <w:bCs/>
          <w:i w:val="0"/>
          <w:iCs w:val="0"/>
          <w:noProof/>
          <w:color w:val="auto"/>
          <w:sz w:val="22"/>
          <w:szCs w:val="22"/>
        </w:rPr>
        <w:t>A2-8. Solar ELCC by Location</w:t>
      </w:r>
    </w:p>
    <w:tbl>
      <w:tblPr>
        <w:tblStyle w:val="TableGrid"/>
        <w:tblW w:w="98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240"/>
        <w:gridCol w:w="992"/>
        <w:gridCol w:w="1156"/>
        <w:gridCol w:w="2786"/>
      </w:tblGrid>
      <w:tr w:rsidR="00CA3FE0" w14:paraId="30EAE8D6" w14:textId="77777777" w:rsidTr="00CA3FE0">
        <w:trPr>
          <w:trHeight w:val="20"/>
        </w:trPr>
        <w:tc>
          <w:tcPr>
            <w:tcW w:w="1710" w:type="dxa"/>
            <w:tcBorders>
              <w:top w:val="single" w:sz="4" w:space="0" w:color="auto"/>
              <w:bottom w:val="single" w:sz="4" w:space="0" w:color="auto"/>
            </w:tcBorders>
          </w:tcPr>
          <w:p w14:paraId="08BF7B7F" w14:textId="77777777" w:rsidR="00CA3FE0" w:rsidRDefault="00CA3FE0" w:rsidP="00517625">
            <w:pPr>
              <w:spacing w:after="0"/>
            </w:pPr>
          </w:p>
        </w:tc>
        <w:tc>
          <w:tcPr>
            <w:tcW w:w="3240" w:type="dxa"/>
            <w:tcBorders>
              <w:top w:val="single" w:sz="4" w:space="0" w:color="auto"/>
              <w:bottom w:val="single" w:sz="4" w:space="0" w:color="auto"/>
            </w:tcBorders>
          </w:tcPr>
          <w:p w14:paraId="34F15EA0" w14:textId="77777777" w:rsidR="00CA3FE0" w:rsidRPr="006F36E5" w:rsidRDefault="00CA3FE0" w:rsidP="00517625">
            <w:pPr>
              <w:spacing w:after="0"/>
              <w:jc w:val="center"/>
              <w:rPr>
                <w:b/>
                <w:bCs/>
              </w:rPr>
            </w:pPr>
            <w:r>
              <w:rPr>
                <w:b/>
                <w:bCs/>
              </w:rPr>
              <w:t>May 2020 CDR Summer Peak Average Capacity Contribution</w:t>
            </w:r>
          </w:p>
        </w:tc>
        <w:tc>
          <w:tcPr>
            <w:tcW w:w="992" w:type="dxa"/>
            <w:tcBorders>
              <w:top w:val="single" w:sz="4" w:space="0" w:color="auto"/>
              <w:bottom w:val="single" w:sz="4" w:space="0" w:color="auto"/>
            </w:tcBorders>
            <w:vAlign w:val="center"/>
          </w:tcPr>
          <w:p w14:paraId="2AC7EF67" w14:textId="77777777" w:rsidR="00CA3FE0" w:rsidRPr="006F36E5" w:rsidRDefault="00CA3FE0" w:rsidP="00517625">
            <w:pPr>
              <w:spacing w:after="0"/>
              <w:jc w:val="center"/>
              <w:rPr>
                <w:b/>
                <w:bCs/>
              </w:rPr>
            </w:pPr>
            <w:r w:rsidRPr="006F36E5">
              <w:rPr>
                <w:b/>
                <w:bCs/>
              </w:rPr>
              <w:t>2020</w:t>
            </w:r>
          </w:p>
        </w:tc>
        <w:tc>
          <w:tcPr>
            <w:tcW w:w="1156" w:type="dxa"/>
            <w:tcBorders>
              <w:top w:val="single" w:sz="4" w:space="0" w:color="auto"/>
              <w:bottom w:val="single" w:sz="4" w:space="0" w:color="auto"/>
            </w:tcBorders>
            <w:vAlign w:val="center"/>
          </w:tcPr>
          <w:p w14:paraId="5337FCA3" w14:textId="77777777" w:rsidR="00CA3FE0" w:rsidRPr="006F36E5" w:rsidRDefault="00CA3FE0" w:rsidP="00517625">
            <w:pPr>
              <w:spacing w:after="0"/>
              <w:jc w:val="center"/>
              <w:rPr>
                <w:b/>
                <w:bCs/>
              </w:rPr>
            </w:pPr>
            <w:r w:rsidRPr="006F36E5">
              <w:rPr>
                <w:b/>
                <w:bCs/>
              </w:rPr>
              <w:t>2024</w:t>
            </w:r>
          </w:p>
        </w:tc>
        <w:tc>
          <w:tcPr>
            <w:tcW w:w="2786" w:type="dxa"/>
            <w:tcBorders>
              <w:top w:val="single" w:sz="4" w:space="0" w:color="auto"/>
              <w:bottom w:val="single" w:sz="4" w:space="0" w:color="auto"/>
            </w:tcBorders>
            <w:vAlign w:val="center"/>
          </w:tcPr>
          <w:p w14:paraId="25E3D83A" w14:textId="77777777" w:rsidR="00CA3FE0" w:rsidRPr="006F36E5" w:rsidRDefault="00CA3FE0" w:rsidP="00517625">
            <w:pPr>
              <w:spacing w:after="0"/>
              <w:jc w:val="center"/>
              <w:rPr>
                <w:b/>
                <w:bCs/>
              </w:rPr>
            </w:pPr>
            <w:r w:rsidRPr="006F36E5">
              <w:rPr>
                <w:b/>
                <w:bCs/>
              </w:rPr>
              <w:t>2024 High Renewable</w:t>
            </w:r>
          </w:p>
        </w:tc>
      </w:tr>
      <w:tr w:rsidR="00CA3FE0" w14:paraId="43FB6B40" w14:textId="77777777" w:rsidTr="00CA3FE0">
        <w:trPr>
          <w:trHeight w:val="20"/>
        </w:trPr>
        <w:tc>
          <w:tcPr>
            <w:tcW w:w="1710" w:type="dxa"/>
            <w:tcBorders>
              <w:top w:val="single" w:sz="4" w:space="0" w:color="auto"/>
            </w:tcBorders>
            <w:shd w:val="clear" w:color="auto" w:fill="D9D9D9" w:themeFill="background1" w:themeFillShade="D9"/>
          </w:tcPr>
          <w:p w14:paraId="3EF32352" w14:textId="04F3D209" w:rsidR="00CA3FE0" w:rsidRDefault="00CA3FE0" w:rsidP="00517625">
            <w:pPr>
              <w:spacing w:after="0"/>
            </w:pPr>
            <w:r>
              <w:t>Solar Non-West</w:t>
            </w:r>
          </w:p>
        </w:tc>
        <w:tc>
          <w:tcPr>
            <w:tcW w:w="3240" w:type="dxa"/>
            <w:tcBorders>
              <w:top w:val="single" w:sz="4" w:space="0" w:color="auto"/>
            </w:tcBorders>
            <w:shd w:val="clear" w:color="auto" w:fill="D9D9D9" w:themeFill="background1" w:themeFillShade="D9"/>
          </w:tcPr>
          <w:p w14:paraId="109EE8DE" w14:textId="77F339CE" w:rsidR="00CA3FE0" w:rsidRDefault="00CA3FE0" w:rsidP="00517625">
            <w:pPr>
              <w:spacing w:after="0"/>
              <w:jc w:val="center"/>
            </w:pPr>
            <w:r>
              <w:t>76%</w:t>
            </w:r>
          </w:p>
        </w:tc>
        <w:tc>
          <w:tcPr>
            <w:tcW w:w="992" w:type="dxa"/>
            <w:tcBorders>
              <w:top w:val="single" w:sz="4" w:space="0" w:color="auto"/>
            </w:tcBorders>
            <w:shd w:val="clear" w:color="auto" w:fill="D9D9D9" w:themeFill="background1" w:themeFillShade="D9"/>
            <w:vAlign w:val="center"/>
          </w:tcPr>
          <w:p w14:paraId="3B584B97" w14:textId="604A833E" w:rsidR="00CA3FE0" w:rsidRDefault="00CA3FE0" w:rsidP="00517625">
            <w:pPr>
              <w:spacing w:after="0"/>
              <w:jc w:val="center"/>
            </w:pPr>
            <w:r>
              <w:t>71%</w:t>
            </w:r>
          </w:p>
        </w:tc>
        <w:tc>
          <w:tcPr>
            <w:tcW w:w="1156" w:type="dxa"/>
            <w:tcBorders>
              <w:top w:val="single" w:sz="4" w:space="0" w:color="auto"/>
            </w:tcBorders>
            <w:shd w:val="clear" w:color="auto" w:fill="D9D9D9" w:themeFill="background1" w:themeFillShade="D9"/>
            <w:vAlign w:val="center"/>
          </w:tcPr>
          <w:p w14:paraId="4558A983" w14:textId="0B98EB9C" w:rsidR="00CA3FE0" w:rsidRDefault="00CA3FE0" w:rsidP="00517625">
            <w:pPr>
              <w:spacing w:after="0"/>
              <w:jc w:val="center"/>
            </w:pPr>
            <w:r>
              <w:t>72%</w:t>
            </w:r>
          </w:p>
        </w:tc>
        <w:tc>
          <w:tcPr>
            <w:tcW w:w="2786" w:type="dxa"/>
            <w:tcBorders>
              <w:top w:val="single" w:sz="4" w:space="0" w:color="auto"/>
            </w:tcBorders>
            <w:shd w:val="clear" w:color="auto" w:fill="D9D9D9" w:themeFill="background1" w:themeFillShade="D9"/>
            <w:vAlign w:val="center"/>
          </w:tcPr>
          <w:p w14:paraId="756BCF44" w14:textId="52805171" w:rsidR="00CA3FE0" w:rsidRDefault="00CA3FE0" w:rsidP="00517625">
            <w:pPr>
              <w:spacing w:after="0"/>
              <w:jc w:val="center"/>
            </w:pPr>
            <w:r>
              <w:t>46%</w:t>
            </w:r>
          </w:p>
        </w:tc>
      </w:tr>
      <w:tr w:rsidR="00CA3FE0" w14:paraId="3E71DBB0" w14:textId="77777777" w:rsidTr="00CA3FE0">
        <w:trPr>
          <w:trHeight w:val="20"/>
        </w:trPr>
        <w:tc>
          <w:tcPr>
            <w:tcW w:w="1710" w:type="dxa"/>
          </w:tcPr>
          <w:p w14:paraId="1F4E405B" w14:textId="57989CC0" w:rsidR="00CA3FE0" w:rsidRDefault="00CA3FE0" w:rsidP="00517625">
            <w:pPr>
              <w:spacing w:after="0"/>
            </w:pPr>
            <w:r>
              <w:t>Solar West</w:t>
            </w:r>
          </w:p>
        </w:tc>
        <w:tc>
          <w:tcPr>
            <w:tcW w:w="3240" w:type="dxa"/>
          </w:tcPr>
          <w:p w14:paraId="1807AF30" w14:textId="28313928" w:rsidR="00CA3FE0" w:rsidRDefault="00CA3FE0" w:rsidP="00517625">
            <w:pPr>
              <w:spacing w:after="0"/>
              <w:jc w:val="center"/>
            </w:pPr>
            <w:r>
              <w:t>76%</w:t>
            </w:r>
          </w:p>
        </w:tc>
        <w:tc>
          <w:tcPr>
            <w:tcW w:w="992" w:type="dxa"/>
            <w:vAlign w:val="center"/>
          </w:tcPr>
          <w:p w14:paraId="79D88CE4" w14:textId="0D311FC5" w:rsidR="00CA3FE0" w:rsidRDefault="00CA3FE0" w:rsidP="00517625">
            <w:pPr>
              <w:spacing w:after="0"/>
              <w:jc w:val="center"/>
            </w:pPr>
            <w:r>
              <w:t>75%</w:t>
            </w:r>
          </w:p>
        </w:tc>
        <w:tc>
          <w:tcPr>
            <w:tcW w:w="1156" w:type="dxa"/>
            <w:vAlign w:val="center"/>
          </w:tcPr>
          <w:p w14:paraId="03A1F979" w14:textId="7A989522" w:rsidR="00CA3FE0" w:rsidRDefault="00CA3FE0" w:rsidP="00517625">
            <w:pPr>
              <w:spacing w:after="0"/>
              <w:jc w:val="center"/>
            </w:pPr>
            <w:r>
              <w:t>76%</w:t>
            </w:r>
          </w:p>
        </w:tc>
        <w:tc>
          <w:tcPr>
            <w:tcW w:w="2786" w:type="dxa"/>
            <w:vAlign w:val="center"/>
          </w:tcPr>
          <w:p w14:paraId="77EC4722" w14:textId="1A27DE41" w:rsidR="00CA3FE0" w:rsidRDefault="00CA3FE0" w:rsidP="00517625">
            <w:pPr>
              <w:spacing w:after="0"/>
              <w:jc w:val="center"/>
            </w:pPr>
            <w:r>
              <w:t>49%</w:t>
            </w:r>
          </w:p>
        </w:tc>
      </w:tr>
      <w:tr w:rsidR="00CA3FE0" w14:paraId="4E676F6D" w14:textId="77777777" w:rsidTr="00CA3FE0">
        <w:trPr>
          <w:trHeight w:val="20"/>
        </w:trPr>
        <w:tc>
          <w:tcPr>
            <w:tcW w:w="1710" w:type="dxa"/>
            <w:tcBorders>
              <w:top w:val="single" w:sz="4" w:space="0" w:color="auto"/>
              <w:bottom w:val="single" w:sz="4" w:space="0" w:color="auto"/>
            </w:tcBorders>
            <w:shd w:val="clear" w:color="auto" w:fill="auto"/>
          </w:tcPr>
          <w:p w14:paraId="503C3D70" w14:textId="4D7213B7" w:rsidR="00CA3FE0" w:rsidRPr="00CA3FE0" w:rsidRDefault="00CA3FE0" w:rsidP="00517625">
            <w:pPr>
              <w:spacing w:after="0"/>
              <w:rPr>
                <w:b/>
                <w:bCs/>
              </w:rPr>
            </w:pPr>
            <w:r>
              <w:rPr>
                <w:b/>
                <w:bCs/>
              </w:rPr>
              <w:t>All Solar</w:t>
            </w:r>
          </w:p>
        </w:tc>
        <w:tc>
          <w:tcPr>
            <w:tcW w:w="3240" w:type="dxa"/>
            <w:tcBorders>
              <w:top w:val="single" w:sz="4" w:space="0" w:color="auto"/>
              <w:bottom w:val="single" w:sz="4" w:space="0" w:color="auto"/>
            </w:tcBorders>
          </w:tcPr>
          <w:p w14:paraId="320DC9CE" w14:textId="77777777" w:rsidR="00CA3FE0" w:rsidRDefault="00CA3FE0" w:rsidP="00517625">
            <w:pPr>
              <w:spacing w:after="0"/>
              <w:jc w:val="center"/>
            </w:pPr>
          </w:p>
        </w:tc>
        <w:tc>
          <w:tcPr>
            <w:tcW w:w="992" w:type="dxa"/>
            <w:tcBorders>
              <w:top w:val="single" w:sz="4" w:space="0" w:color="auto"/>
              <w:bottom w:val="single" w:sz="4" w:space="0" w:color="auto"/>
            </w:tcBorders>
            <w:shd w:val="clear" w:color="auto" w:fill="auto"/>
            <w:vAlign w:val="center"/>
          </w:tcPr>
          <w:p w14:paraId="5603AEB0" w14:textId="5316A0C4" w:rsidR="00CA3FE0" w:rsidRDefault="00CA3FE0" w:rsidP="00517625">
            <w:pPr>
              <w:spacing w:after="0"/>
              <w:jc w:val="center"/>
            </w:pPr>
            <w:r>
              <w:t>74%</w:t>
            </w:r>
          </w:p>
        </w:tc>
        <w:tc>
          <w:tcPr>
            <w:tcW w:w="1156" w:type="dxa"/>
            <w:tcBorders>
              <w:top w:val="single" w:sz="4" w:space="0" w:color="auto"/>
              <w:bottom w:val="single" w:sz="4" w:space="0" w:color="auto"/>
            </w:tcBorders>
            <w:shd w:val="clear" w:color="auto" w:fill="auto"/>
            <w:vAlign w:val="center"/>
          </w:tcPr>
          <w:p w14:paraId="66518162" w14:textId="5234654B" w:rsidR="00CA3FE0" w:rsidRDefault="00CA3FE0" w:rsidP="00517625">
            <w:pPr>
              <w:spacing w:after="0"/>
              <w:jc w:val="center"/>
            </w:pPr>
            <w:r>
              <w:t>75%</w:t>
            </w:r>
          </w:p>
        </w:tc>
        <w:tc>
          <w:tcPr>
            <w:tcW w:w="2786" w:type="dxa"/>
            <w:tcBorders>
              <w:top w:val="single" w:sz="4" w:space="0" w:color="auto"/>
              <w:bottom w:val="single" w:sz="4" w:space="0" w:color="auto"/>
            </w:tcBorders>
            <w:shd w:val="clear" w:color="auto" w:fill="auto"/>
            <w:vAlign w:val="center"/>
          </w:tcPr>
          <w:p w14:paraId="5FDD7892" w14:textId="0354EEB2" w:rsidR="00CA3FE0" w:rsidRDefault="00CA3FE0" w:rsidP="00517625">
            <w:pPr>
              <w:spacing w:after="0"/>
              <w:jc w:val="center"/>
            </w:pPr>
            <w:r>
              <w:t>48%</w:t>
            </w:r>
          </w:p>
        </w:tc>
      </w:tr>
    </w:tbl>
    <w:p w14:paraId="2A16FB21" w14:textId="0479C882" w:rsidR="00E41111" w:rsidRDefault="00E41111" w:rsidP="00A663C5">
      <w:pPr>
        <w:jc w:val="both"/>
      </w:pPr>
    </w:p>
    <w:p w14:paraId="4EACEAB8" w14:textId="77777777" w:rsidR="00E41111" w:rsidRDefault="00E41111" w:rsidP="00A663C5">
      <w:pPr>
        <w:jc w:val="both"/>
      </w:pPr>
      <w:r>
        <w:t xml:space="preserve">Until 2024, the CDR accounting methodology roughly approximates the ELCC results from SERVM. However, further expansion of the solar fleet will sharply reduce ELCCs creating a disconnect with CDR methodology. </w:t>
      </w:r>
    </w:p>
    <w:p w14:paraId="2DE70069" w14:textId="77777777" w:rsidR="00E41111" w:rsidRDefault="00E41111" w:rsidP="00531F4C">
      <w:pPr>
        <w:pStyle w:val="BGNormal125"/>
        <w:rPr>
          <w:rFonts w:ascii="Calibri" w:hAnsi="Calibri" w:cs="Calibri"/>
          <w:color w:val="auto"/>
        </w:rPr>
      </w:pPr>
    </w:p>
    <w:p w14:paraId="39E1B577" w14:textId="77777777" w:rsidR="00531F4C" w:rsidRPr="00846C93" w:rsidRDefault="00531F4C" w:rsidP="00531F4C"/>
    <w:p w14:paraId="17600F5A" w14:textId="77777777" w:rsidR="005541C9" w:rsidRPr="00846C93" w:rsidRDefault="005541C9" w:rsidP="008047D4">
      <w:pPr>
        <w:pStyle w:val="BGNormal125"/>
        <w:rPr>
          <w:color w:val="auto"/>
        </w:rPr>
      </w:pPr>
    </w:p>
    <w:sectPr w:rsidR="005541C9" w:rsidRPr="00846C93" w:rsidSect="004B58AD">
      <w:headerReference w:type="even" r:id="rId84"/>
      <w:headerReference w:type="default" r:id="rId85"/>
      <w:footerReference w:type="default" r:id="rId86"/>
      <w:headerReference w:type="first" r:id="rId87"/>
      <w:pgSz w:w="12240" w:h="15840" w:code="1"/>
      <w:pgMar w:top="1417" w:right="1417" w:bottom="1417" w:left="1417" w:header="708" w:footer="708" w:gutter="0"/>
      <w:pgNumType w:start="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4785F" w14:textId="77777777" w:rsidR="00DE35E2" w:rsidRDefault="00DE35E2" w:rsidP="00817887">
      <w:pPr>
        <w:spacing w:after="0" w:line="240" w:lineRule="auto"/>
      </w:pPr>
      <w:r>
        <w:separator/>
      </w:r>
    </w:p>
  </w:endnote>
  <w:endnote w:type="continuationSeparator" w:id="0">
    <w:p w14:paraId="43705604" w14:textId="77777777" w:rsidR="00DE35E2" w:rsidRDefault="00DE35E2" w:rsidP="00817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0564C" w14:textId="77777777" w:rsidR="00B4381F" w:rsidRDefault="00B438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1176462123"/>
      <w:docPartObj>
        <w:docPartGallery w:val="Page Numbers (Bottom of Page)"/>
        <w:docPartUnique/>
      </w:docPartObj>
    </w:sdtPr>
    <w:sdtEndPr>
      <w:rPr>
        <w:noProof/>
      </w:rPr>
    </w:sdtEndPr>
    <w:sdtContent>
      <w:p w14:paraId="2701C5D2" w14:textId="3FDC22AA" w:rsidR="003B5525" w:rsidRPr="004B58AD" w:rsidRDefault="003B5525">
        <w:pPr>
          <w:pStyle w:val="Footer"/>
          <w:jc w:val="right"/>
          <w:rPr>
            <w:color w:val="auto"/>
          </w:rPr>
        </w:pPr>
        <w:r>
          <w:rPr>
            <w:color w:val="auto"/>
          </w:rPr>
          <w:fldChar w:fldCharType="begin"/>
        </w:r>
        <w:r>
          <w:rPr>
            <w:color w:val="auto"/>
          </w:rPr>
          <w:instrText xml:space="preserve"> PAGE   \* MERGEFORMAT </w:instrText>
        </w:r>
        <w:r>
          <w:rPr>
            <w:color w:val="auto"/>
          </w:rPr>
          <w:fldChar w:fldCharType="separate"/>
        </w:r>
        <w:r w:rsidR="00B4381F">
          <w:rPr>
            <w:noProof/>
            <w:color w:val="auto"/>
          </w:rPr>
          <w:t>21</w:t>
        </w:r>
        <w:r>
          <w:rPr>
            <w:color w:val="auto"/>
          </w:rPr>
          <w:fldChar w:fldCharType="end"/>
        </w:r>
      </w:p>
    </w:sdtContent>
  </w:sdt>
  <w:p w14:paraId="009A7C1B" w14:textId="7A51D842" w:rsidR="003B5525" w:rsidRPr="005E7D99" w:rsidRDefault="003B5525" w:rsidP="004B58AD">
    <w:pPr>
      <w:tabs>
        <w:tab w:val="right" w:pos="9360"/>
        <w:tab w:val="left" w:pos="10890"/>
      </w:tabs>
      <w:jc w:val="right"/>
      <w:rPr>
        <w:rFonts w:ascii="Century Gothic" w:hAnsi="Century Gothic"/>
        <w:color w:val="302F35" w:themeColor="text1"/>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92AFC" w14:textId="77777777" w:rsidR="00B4381F" w:rsidRDefault="00B438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D7306" w14:textId="77777777" w:rsidR="003B5525" w:rsidRPr="00F226C7" w:rsidRDefault="003B5525">
    <w:pPr>
      <w:pStyle w:val="Footer"/>
      <w:rPr>
        <w:rFonts w:cs="Calibri"/>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C8783" w14:textId="77777777" w:rsidR="00DE35E2" w:rsidRDefault="00DE35E2" w:rsidP="00817887">
      <w:pPr>
        <w:spacing w:after="0" w:line="240" w:lineRule="auto"/>
      </w:pPr>
      <w:r>
        <w:separator/>
      </w:r>
    </w:p>
  </w:footnote>
  <w:footnote w:type="continuationSeparator" w:id="0">
    <w:p w14:paraId="344874F7" w14:textId="77777777" w:rsidR="00DE35E2" w:rsidRDefault="00DE35E2" w:rsidP="00817887">
      <w:pPr>
        <w:spacing w:after="0" w:line="240" w:lineRule="auto"/>
      </w:pPr>
      <w:r>
        <w:continuationSeparator/>
      </w:r>
    </w:p>
  </w:footnote>
  <w:footnote w:id="1">
    <w:p w14:paraId="7D199538" w14:textId="77777777" w:rsidR="003B5525" w:rsidRPr="00321C0A" w:rsidRDefault="003B5525" w:rsidP="00310D1F">
      <w:pPr>
        <w:pStyle w:val="FootnoteText"/>
        <w:jc w:val="both"/>
        <w:rPr>
          <w:color w:val="C00000"/>
        </w:rPr>
      </w:pPr>
      <w:r w:rsidRPr="007014FE">
        <w:rPr>
          <w:rStyle w:val="FootnoteReference"/>
        </w:rPr>
        <w:footnoteRef/>
      </w:r>
      <w:r w:rsidRPr="007014FE">
        <w:t xml:space="preserve"> This estimate should not be interpreted as a precise forecast for 2024 or any other particular year, but as a reasonable expectation around which actual reserve margins may vary as market conditions fluctuate.  To expect a persistently lower reserve margin would be to assume investors will forego profitable opportunities to add additional supply, and to expect a persistently higher reserve margin would be to assume investors will over-invest.</w:t>
      </w:r>
    </w:p>
  </w:footnote>
  <w:footnote w:id="2">
    <w:p w14:paraId="512B4264" w14:textId="402DA2B4" w:rsidR="003B5525" w:rsidRPr="00F27FFA" w:rsidRDefault="003B5525">
      <w:pPr>
        <w:pStyle w:val="FootnoteText"/>
        <w:rPr>
          <w:lang w:val="en-US"/>
        </w:rPr>
      </w:pPr>
      <w:r>
        <w:rPr>
          <w:rStyle w:val="FootnoteReference"/>
        </w:rPr>
        <w:footnoteRef/>
      </w:r>
      <w:r>
        <w:t xml:space="preserve"> </w:t>
      </w:r>
      <w:r>
        <w:rPr>
          <w:rFonts w:eastAsia="Calibri" w:cs="Calibri"/>
        </w:rPr>
        <w:t xml:space="preserve">The 2018 Report can be found at </w:t>
      </w:r>
      <w:r w:rsidRPr="00AA7F32">
        <w:rPr>
          <w:rFonts w:eastAsia="Calibri" w:cs="Calibri"/>
        </w:rPr>
        <w:t xml:space="preserve">Newell, et al. </w:t>
      </w:r>
      <w:r>
        <w:rPr>
          <w:rFonts w:eastAsia="Calibri" w:cs="Calibri"/>
        </w:rPr>
        <w:t>(</w:t>
      </w:r>
      <w:r w:rsidRPr="00AA7F32">
        <w:rPr>
          <w:rFonts w:eastAsia="Calibri" w:cs="Calibri"/>
        </w:rPr>
        <w:t>2018b)</w:t>
      </w:r>
      <w:r>
        <w:rPr>
          <w:rFonts w:eastAsia="Calibri" w:cs="Calibri"/>
        </w:rPr>
        <w:t>.</w:t>
      </w:r>
    </w:p>
  </w:footnote>
  <w:footnote w:id="3">
    <w:p w14:paraId="2D1D50A5" w14:textId="77777777" w:rsidR="003B5525" w:rsidRDefault="003B5525" w:rsidP="00310D1F">
      <w:pPr>
        <w:pStyle w:val="FootnoteText"/>
        <w:jc w:val="both"/>
      </w:pPr>
      <w:r w:rsidRPr="00C10C7E">
        <w:rPr>
          <w:rStyle w:val="FootnoteReference"/>
        </w:rPr>
        <w:footnoteRef/>
      </w:r>
      <w:r w:rsidRPr="00C10C7E">
        <w:t xml:space="preserve"> For the simulations, a loss-of-load (LOL) event occurs when the hourly load, plus a minimum operating reserve level of 1,000 MW, is greater than available resource capacity.  A LOL event is recorded for each day of the simulation if one LOL hour occurs in the 24-hour span, or if there are more than one non-contiguous LOL hours during the day.  For a given reserve margin level, the LOLE is the mean number of LOL events for 10,000 simulations (40 weather years, 5 load error levels, 50 outage draws).</w:t>
      </w:r>
    </w:p>
  </w:footnote>
  <w:footnote w:id="4">
    <w:p w14:paraId="4DEAD1F2" w14:textId="1D377201" w:rsidR="003B5525" w:rsidRPr="00310D1F" w:rsidRDefault="003B5525">
      <w:pPr>
        <w:pStyle w:val="FootnoteText"/>
        <w:rPr>
          <w:lang w:val="en-US"/>
        </w:rPr>
      </w:pPr>
      <w:r>
        <w:rPr>
          <w:rStyle w:val="FootnoteReference"/>
        </w:rPr>
        <w:footnoteRef/>
      </w:r>
      <w:r>
        <w:t xml:space="preserve"> </w:t>
      </w:r>
      <w:r>
        <w:rPr>
          <w:lang w:val="en-US"/>
        </w:rPr>
        <w:t>CDR is the “Report on Capacity, Demand and Reserves for the ERCOT Region,” typically released in May of each year, with an update released in December.</w:t>
      </w:r>
    </w:p>
  </w:footnote>
  <w:footnote w:id="5">
    <w:p w14:paraId="55848429" w14:textId="48FAEC3B" w:rsidR="003B5525" w:rsidRPr="002A2715" w:rsidRDefault="003B5525">
      <w:pPr>
        <w:pStyle w:val="FootnoteText"/>
        <w:rPr>
          <w:lang w:val="en-US"/>
        </w:rPr>
      </w:pPr>
      <w:r>
        <w:rPr>
          <w:rStyle w:val="FootnoteReference"/>
        </w:rPr>
        <w:footnoteRef/>
      </w:r>
      <w:r>
        <w:t xml:space="preserve"> </w:t>
      </w:r>
      <w:r>
        <w:rPr>
          <w:lang w:val="en-US"/>
        </w:rPr>
        <w:t>Energy margins as referenced in this report are calculated as total revenue from energy and ancillary service markets minus variable operating costs.</w:t>
      </w:r>
    </w:p>
  </w:footnote>
  <w:footnote w:id="6">
    <w:p w14:paraId="4AA737D0" w14:textId="0BC2EF8E" w:rsidR="003B5525" w:rsidRPr="00D57DE0" w:rsidRDefault="003B5525">
      <w:pPr>
        <w:pStyle w:val="FootnoteText"/>
        <w:rPr>
          <w:lang w:val="en-US"/>
        </w:rPr>
      </w:pPr>
      <w:r>
        <w:rPr>
          <w:rStyle w:val="FootnoteReference"/>
        </w:rPr>
        <w:footnoteRef/>
      </w:r>
      <w:r>
        <w:t xml:space="preserve"> </w:t>
      </w:r>
      <w:r>
        <w:rPr>
          <w:lang w:val="en-US"/>
        </w:rPr>
        <w:t>The base case has 1,103 MW of batteries. Battery analysis is incremental to that capacity.</w:t>
      </w:r>
    </w:p>
  </w:footnote>
  <w:footnote w:id="7">
    <w:p w14:paraId="0ECF9AC2" w14:textId="3526BF16" w:rsidR="003B5525" w:rsidRPr="00D57DE0" w:rsidRDefault="003B5525">
      <w:pPr>
        <w:pStyle w:val="FootnoteText"/>
        <w:rPr>
          <w:lang w:val="en-US"/>
        </w:rPr>
      </w:pPr>
      <w:r>
        <w:rPr>
          <w:rStyle w:val="FootnoteReference"/>
        </w:rPr>
        <w:footnoteRef/>
      </w:r>
      <w:r>
        <w:t xml:space="preserve"> </w:t>
      </w:r>
      <w:r>
        <w:rPr>
          <w:lang w:val="en-US"/>
        </w:rPr>
        <w:t>See PUCT (2019b).</w:t>
      </w:r>
    </w:p>
  </w:footnote>
  <w:footnote w:id="8">
    <w:p w14:paraId="6B506AAC" w14:textId="6DFB306B" w:rsidR="003B5525" w:rsidRDefault="003B5525" w:rsidP="00D57DE0">
      <w:pPr>
        <w:pStyle w:val="FootnoteText"/>
        <w:jc w:val="both"/>
      </w:pPr>
      <w:r w:rsidRPr="00204DA2">
        <w:rPr>
          <w:rStyle w:val="FootnoteReference"/>
        </w:rPr>
        <w:footnoteRef/>
      </w:r>
      <w:r w:rsidRPr="00204DA2">
        <w:t xml:space="preserve"> 40 weather years, each at 5 levels of non-weather-based load forecast error, with 50 generator outage draws, at 8 modeled reserve margins.</w:t>
      </w:r>
    </w:p>
  </w:footnote>
  <w:footnote w:id="9">
    <w:p w14:paraId="0405340E" w14:textId="01FE847D" w:rsidR="003B5525" w:rsidRPr="00D57DE0" w:rsidRDefault="003B5525">
      <w:pPr>
        <w:pStyle w:val="FootnoteText"/>
        <w:rPr>
          <w:lang w:val="en-US"/>
        </w:rPr>
      </w:pPr>
      <w:r>
        <w:rPr>
          <w:rStyle w:val="FootnoteReference"/>
        </w:rPr>
        <w:footnoteRef/>
      </w:r>
      <w:r>
        <w:t xml:space="preserve"> </w:t>
      </w:r>
      <w:r>
        <w:rPr>
          <w:lang w:val="en-US"/>
        </w:rPr>
        <w:t>Two demand response categories – TDSP and ERS – have annual, seasonal, or daily call constraints.</w:t>
      </w:r>
    </w:p>
  </w:footnote>
  <w:footnote w:id="10">
    <w:p w14:paraId="4B33160D" w14:textId="7F3685B8" w:rsidR="003B5525" w:rsidRPr="0009094A" w:rsidRDefault="003B5525">
      <w:pPr>
        <w:pStyle w:val="FootnoteText"/>
        <w:rPr>
          <w:lang w:val="en-US"/>
        </w:rPr>
      </w:pPr>
      <w:r>
        <w:rPr>
          <w:rStyle w:val="FootnoteReference"/>
        </w:rPr>
        <w:footnoteRef/>
      </w:r>
      <w:r>
        <w:t xml:space="preserve"> </w:t>
      </w:r>
      <w:r>
        <w:rPr>
          <w:lang w:val="en-US"/>
        </w:rPr>
        <w:t>See ERCOT (2017b).</w:t>
      </w:r>
      <w:r w:rsidRPr="00724DF6">
        <w:t xml:space="preserve"> </w:t>
      </w:r>
      <w:r w:rsidRPr="003519D3">
        <w:t>Note that the methodology described in the manual is derived from our 2014 study</w:t>
      </w:r>
      <w:r w:rsidRPr="00EC16E5">
        <w:rPr>
          <w:color w:val="C00000"/>
        </w:rPr>
        <w:t>.</w:t>
      </w:r>
    </w:p>
  </w:footnote>
  <w:footnote w:id="11">
    <w:p w14:paraId="5E93AC28" w14:textId="4DFB5B97" w:rsidR="003B5525" w:rsidRPr="00707604" w:rsidRDefault="003B5525" w:rsidP="00724DF6">
      <w:pPr>
        <w:pStyle w:val="FootnoteText"/>
        <w:jc w:val="both"/>
        <w:rPr>
          <w:color w:val="302F35" w:themeColor="text1"/>
        </w:rPr>
      </w:pPr>
      <w:r w:rsidRPr="007014FE">
        <w:rPr>
          <w:rStyle w:val="FootnoteReference"/>
        </w:rPr>
        <w:footnoteRef/>
      </w:r>
      <w:r w:rsidRPr="007014FE">
        <w:t xml:space="preserve"> In developing our approach to calculating the economically optimal reserve margin, we draw upon a large body of prior work conducted by ourselves and others, although the majority or all of this prior work was relevant in the context of regulated planning rather than restructured markets.  For example, </w:t>
      </w:r>
      <w:r w:rsidRPr="002276C0">
        <w:t xml:space="preserve">see Poland (1988), p.21; Munasinghe </w:t>
      </w:r>
      <w:r>
        <w:t xml:space="preserve">and Sanghvi </w:t>
      </w:r>
      <w:r w:rsidRPr="002276C0">
        <w:t xml:space="preserve">(1988), pp. 5–7, 12–13; and Carden, Pfeifenberger, and Wintermantel </w:t>
      </w:r>
      <w:r w:rsidRPr="007014FE">
        <w:t>(2011).</w:t>
      </w:r>
    </w:p>
  </w:footnote>
  <w:footnote w:id="12">
    <w:p w14:paraId="62405CC3" w14:textId="2839F1CD" w:rsidR="003B5525" w:rsidRDefault="003B5525" w:rsidP="00724DF6">
      <w:pPr>
        <w:pStyle w:val="FootnoteText"/>
        <w:jc w:val="both"/>
      </w:pPr>
      <w:r w:rsidRPr="003519D3">
        <w:rPr>
          <w:rStyle w:val="FootnoteReference"/>
        </w:rPr>
        <w:footnoteRef/>
      </w:r>
      <w:r w:rsidRPr="003519D3">
        <w:t xml:space="preserve"> See ERCOT (2017b).  </w:t>
      </w:r>
    </w:p>
  </w:footnote>
  <w:footnote w:id="13">
    <w:p w14:paraId="5A3383B3" w14:textId="75D26970" w:rsidR="003B5525" w:rsidRDefault="003B5525" w:rsidP="00724DF6">
      <w:pPr>
        <w:pStyle w:val="FootnoteText"/>
        <w:jc w:val="both"/>
      </w:pPr>
      <w:r w:rsidRPr="00C15CD0">
        <w:rPr>
          <w:rStyle w:val="FootnoteReference"/>
        </w:rPr>
        <w:footnoteRef/>
      </w:r>
      <w:r w:rsidRPr="00C15CD0">
        <w:t xml:space="preserve"> SERVM software is a product of Astrapé Consulting, </w:t>
      </w:r>
      <w:r>
        <w:t xml:space="preserve">which </w:t>
      </w:r>
      <w:r w:rsidRPr="00C15CD0">
        <w:t>author</w:t>
      </w:r>
      <w:r>
        <w:t>ed</w:t>
      </w:r>
      <w:r w:rsidRPr="00C15CD0">
        <w:t xml:space="preserve"> this report. See Astrapé (2020).</w:t>
      </w:r>
    </w:p>
  </w:footnote>
  <w:footnote w:id="14">
    <w:p w14:paraId="05504239" w14:textId="228360E2" w:rsidR="003B5525" w:rsidRPr="00EC16E5" w:rsidRDefault="003B5525" w:rsidP="00724DF6">
      <w:pPr>
        <w:pStyle w:val="FootnoteText"/>
        <w:jc w:val="both"/>
        <w:rPr>
          <w:color w:val="C00000"/>
        </w:rPr>
      </w:pPr>
      <w:r w:rsidRPr="005A0943">
        <w:rPr>
          <w:rStyle w:val="FootnoteReference"/>
        </w:rPr>
        <w:footnoteRef/>
      </w:r>
      <w:r w:rsidRPr="005A0943">
        <w:t xml:space="preserve"> The five discrete levels of load forecast error we model are equal to 0%, +/−2%, and +/−4% above and below the 50/50 ERCOT load forecast.</w:t>
      </w:r>
    </w:p>
  </w:footnote>
  <w:footnote w:id="15">
    <w:p w14:paraId="7309302A" w14:textId="1BE1E935" w:rsidR="003B5525" w:rsidRDefault="003B5525" w:rsidP="00724DF6">
      <w:pPr>
        <w:pStyle w:val="FootnoteText"/>
        <w:jc w:val="both"/>
      </w:pPr>
      <w:r w:rsidRPr="005A0943">
        <w:rPr>
          <w:rStyle w:val="FootnoteReference"/>
        </w:rPr>
        <w:footnoteRef/>
      </w:r>
      <w:r w:rsidRPr="005A0943">
        <w:t xml:space="preserve"> Similar to other reliability modeling exercises, our study is focused on resource adequacy as defined by having sufficient resources to meet peak summer load.  As such, we have not attempted to model other types of outage or reliability issues such as transmission and distribution outages, common mode failures related to winter weather extremes, or any potential issues related to gas pipeline constraints or delivery problems.</w:t>
      </w:r>
    </w:p>
  </w:footnote>
  <w:footnote w:id="16">
    <w:p w14:paraId="01A7D5CF" w14:textId="772D8FC9" w:rsidR="003B5525" w:rsidRDefault="003B5525" w:rsidP="00724DF6">
      <w:pPr>
        <w:pStyle w:val="FootnoteText"/>
        <w:jc w:val="both"/>
      </w:pPr>
      <w:r w:rsidRPr="00E025BC">
        <w:rPr>
          <w:rStyle w:val="FootnoteReference"/>
        </w:rPr>
        <w:footnoteRef/>
      </w:r>
      <w:r w:rsidRPr="00E025BC">
        <w:t xml:space="preserve"> We include or exclude new units and retirements starting in the specified year and completely exclude units that have been mothballed.  We model switchable units as internal resources.  Data was provided, as submitted to NERC, by ERCOT staff.</w:t>
      </w:r>
    </w:p>
  </w:footnote>
  <w:footnote w:id="17">
    <w:p w14:paraId="1EC21BA0" w14:textId="5467EDAD" w:rsidR="003B5525" w:rsidRPr="00165615" w:rsidRDefault="003B5525" w:rsidP="00724DF6">
      <w:pPr>
        <w:pStyle w:val="FootnoteText"/>
        <w:jc w:val="both"/>
        <w:rPr>
          <w:color w:val="C00000"/>
        </w:rPr>
      </w:pPr>
      <w:r w:rsidRPr="00E025BC">
        <w:rPr>
          <w:rStyle w:val="FootnoteReference"/>
        </w:rPr>
        <w:footnoteRef/>
      </w:r>
      <w:r w:rsidRPr="00E025BC">
        <w:t xml:space="preserve"> More detail on the reference technology can be found in Appendix 1.</w:t>
      </w:r>
      <w:r w:rsidRPr="00E025BC">
        <w:fldChar w:fldCharType="begin"/>
      </w:r>
      <w:r w:rsidRPr="00E025BC">
        <w:instrText xml:space="preserve"> REF _Ref526871101 \n \h </w:instrText>
      </w:r>
      <w:r>
        <w:instrText xml:space="preserve"> \* MERGEFORMAT </w:instrText>
      </w:r>
      <w:r w:rsidRPr="00E025BC">
        <w:fldChar w:fldCharType="separate"/>
      </w:r>
      <w:r w:rsidRPr="00E025BC">
        <w:t>B</w:t>
      </w:r>
      <w:r w:rsidRPr="00E025BC">
        <w:fldChar w:fldCharType="end"/>
      </w:r>
      <w:r w:rsidRPr="00E025BC">
        <w:t>.</w:t>
      </w:r>
      <w:r w:rsidRPr="00E025BC">
        <w:fldChar w:fldCharType="begin"/>
      </w:r>
      <w:r w:rsidRPr="00E025BC">
        <w:instrText xml:space="preserve"> REF _Ref523322112 \n \h </w:instrText>
      </w:r>
      <w:r>
        <w:instrText xml:space="preserve"> \* MERGEFORMAT </w:instrText>
      </w:r>
      <w:r w:rsidRPr="00E025BC">
        <w:fldChar w:fldCharType="separate"/>
      </w:r>
      <w:r w:rsidRPr="00E025BC">
        <w:t>1</w:t>
      </w:r>
      <w:r w:rsidRPr="00E025BC">
        <w:fldChar w:fldCharType="end"/>
      </w:r>
      <w:r w:rsidRPr="00E025BC">
        <w:t>.</w:t>
      </w:r>
    </w:p>
  </w:footnote>
  <w:footnote w:id="18">
    <w:p w14:paraId="17AA9029" w14:textId="1192A66B" w:rsidR="003B5525" w:rsidRDefault="003B5525" w:rsidP="00724DF6">
      <w:pPr>
        <w:pStyle w:val="FootnoteText"/>
        <w:jc w:val="both"/>
      </w:pPr>
      <w:r w:rsidRPr="00724DF6">
        <w:rPr>
          <w:rStyle w:val="FootnoteReference"/>
        </w:rPr>
        <w:footnoteRef/>
      </w:r>
      <w:r w:rsidRPr="00724DF6">
        <w:t xml:space="preserve"> The CONE value </w:t>
      </w:r>
      <w:r>
        <w:t>is</w:t>
      </w:r>
      <w:r w:rsidRPr="00724DF6">
        <w:t xml:space="preserve"> based on the results from the 2018 PJM CONE study (Newell, </w:t>
      </w:r>
      <w:r w:rsidRPr="00724DF6">
        <w:rPr>
          <w:i/>
        </w:rPr>
        <w:t>et al.</w:t>
      </w:r>
      <w:r w:rsidRPr="00724DF6">
        <w:t xml:space="preserve"> 2018</w:t>
      </w:r>
      <w:r>
        <w:t>a</w:t>
      </w:r>
      <w:r w:rsidRPr="00724DF6">
        <w:t>)</w:t>
      </w:r>
    </w:p>
  </w:footnote>
  <w:footnote w:id="19">
    <w:p w14:paraId="63695F42" w14:textId="57A830C1" w:rsidR="003B5525" w:rsidRPr="0009094A" w:rsidRDefault="003B5525">
      <w:pPr>
        <w:pStyle w:val="FootnoteText"/>
        <w:rPr>
          <w:lang w:val="en-US"/>
        </w:rPr>
      </w:pPr>
      <w:r>
        <w:rPr>
          <w:rStyle w:val="FootnoteReference"/>
        </w:rPr>
        <w:footnoteRef/>
      </w:r>
      <w:r>
        <w:t xml:space="preserve"> </w:t>
      </w:r>
      <w:r>
        <w:rPr>
          <w:lang w:val="en-US"/>
        </w:rPr>
        <w:t>The modeled peak net load reduction represents the analytical reduction in annual net load peak between gross load and gross load minus modeled wind or solar output. Other factors can affect the simulated reliability benefits of wind and solar, so the peak net load reduction is only an approximation of the reliability contribution of the respective renewable portfolios, but it is more accurate than using an average output methodology.</w:t>
      </w:r>
    </w:p>
  </w:footnote>
  <w:footnote w:id="20">
    <w:p w14:paraId="629FF609" w14:textId="77777777" w:rsidR="003B5525" w:rsidRPr="00A50130" w:rsidRDefault="003B5525" w:rsidP="00DA56F7">
      <w:pPr>
        <w:pStyle w:val="FootnoteText"/>
        <w:jc w:val="both"/>
        <w:rPr>
          <w:lang w:val="en-US"/>
        </w:rPr>
      </w:pPr>
      <w:r w:rsidRPr="00D3585F">
        <w:rPr>
          <w:rStyle w:val="FootnoteReference"/>
        </w:rPr>
        <w:footnoteRef/>
      </w:r>
      <w:r w:rsidRPr="00D3585F">
        <w:t xml:space="preserve"> </w:t>
      </w:r>
      <w:r w:rsidRPr="00D3585F">
        <w:rPr>
          <w:lang w:val="en-US"/>
        </w:rPr>
        <w:t>Increase in counted wind capacity in CDR from values used in the 2018 study to those in this study was 2,728 MW. Increase in reliability contribution was approximately 950 MW, resulting in an incremental disconnect of 1,778 MW</w:t>
      </w:r>
      <w:r>
        <w:rPr>
          <w:lang w:val="en-US"/>
        </w:rPr>
        <w:t>.</w:t>
      </w:r>
    </w:p>
  </w:footnote>
  <w:footnote w:id="21">
    <w:p w14:paraId="05693B5E" w14:textId="239645AE" w:rsidR="003B5525" w:rsidRPr="00E6061F" w:rsidRDefault="003B5525" w:rsidP="009163BD">
      <w:pPr>
        <w:jc w:val="both"/>
        <w:rPr>
          <w:sz w:val="20"/>
          <w:szCs w:val="20"/>
        </w:rPr>
      </w:pPr>
      <w:r w:rsidRPr="00E6061F">
        <w:rPr>
          <w:rStyle w:val="FootnoteReference"/>
          <w:sz w:val="20"/>
          <w:szCs w:val="20"/>
        </w:rPr>
        <w:footnoteRef/>
      </w:r>
      <w:r w:rsidRPr="00E6061F">
        <w:rPr>
          <w:sz w:val="20"/>
          <w:szCs w:val="20"/>
        </w:rPr>
        <w:t xml:space="preserve"> Our VOLL sensitivity adjusts the VOLL but it does not adjust the ORDC, which is set by the Public Utility Commission of Texas based on the system-wide offer cap and not directly set based on customer VOLL.  Because the ORDC curve does not change, the VOLL sensitivity does not affect market prices and the MERM (which is solely based on market prices) does not change.  The EORM is affected because the higher VOLL implies customers place a higher value on avoiding loss-of-load events and therefore prefer higher reserve margins, all else equal. </w:t>
      </w:r>
    </w:p>
    <w:p w14:paraId="31174567" w14:textId="77777777" w:rsidR="003B5525" w:rsidRDefault="003B5525" w:rsidP="004B58AD">
      <w:pPr>
        <w:pStyle w:val="FootnoteText"/>
      </w:pPr>
    </w:p>
  </w:footnote>
  <w:footnote w:id="22">
    <w:p w14:paraId="5A2FE9CD" w14:textId="0C54FD59" w:rsidR="003B5525" w:rsidRPr="009A69D1" w:rsidRDefault="003B5525" w:rsidP="009163BD">
      <w:pPr>
        <w:pStyle w:val="FootnoteText"/>
        <w:jc w:val="both"/>
      </w:pPr>
      <w:r w:rsidRPr="009A69D1">
        <w:rPr>
          <w:rStyle w:val="FootnoteReference"/>
        </w:rPr>
        <w:footnoteRef/>
      </w:r>
      <w:r w:rsidRPr="009A69D1">
        <w:t xml:space="preserve"> Marginal Unit Net Energy Revenues represent net revenues from added CTs.</w:t>
      </w:r>
    </w:p>
  </w:footnote>
  <w:footnote w:id="23">
    <w:p w14:paraId="7B293BBB" w14:textId="3472D3B0" w:rsidR="003B5525" w:rsidRPr="00C618B9" w:rsidRDefault="003B5525" w:rsidP="009163BD">
      <w:pPr>
        <w:pStyle w:val="FootnoteText"/>
        <w:jc w:val="both"/>
      </w:pPr>
      <w:r w:rsidRPr="009A69D1">
        <w:rPr>
          <w:rStyle w:val="FootnoteReference"/>
        </w:rPr>
        <w:footnoteRef/>
      </w:r>
      <w:r w:rsidRPr="009A69D1">
        <w:t xml:space="preserve"> However, generators are generally not fully exposed to spot markets, since they hedge by selling most of their output in forward markets.  Forward prices reflect </w:t>
      </w:r>
      <w:r w:rsidRPr="009A69D1">
        <w:rPr>
          <w:i/>
        </w:rPr>
        <w:t>ex ante</w:t>
      </w:r>
      <w:r w:rsidRPr="009A69D1">
        <w:t xml:space="preserve"> market expectations of all possibilities rather than spot realizations.  Selling forward dramatically smooths revenues closer to the expected values we estimate.</w:t>
      </w:r>
    </w:p>
  </w:footnote>
  <w:footnote w:id="24">
    <w:p w14:paraId="77E5621A" w14:textId="29382BE7" w:rsidR="003B5525" w:rsidRPr="00084B9A" w:rsidRDefault="003B5525" w:rsidP="009163BD">
      <w:pPr>
        <w:pStyle w:val="FootnoteText"/>
        <w:jc w:val="both"/>
        <w:rPr>
          <w:color w:val="C00000"/>
        </w:rPr>
      </w:pPr>
      <w:r w:rsidRPr="002276C0">
        <w:rPr>
          <w:rStyle w:val="FootnoteReference"/>
        </w:rPr>
        <w:footnoteRef/>
      </w:r>
      <w:r w:rsidRPr="002276C0">
        <w:t xml:space="preserve"> For example, see Poland (1988), p.21; Munasinghe </w:t>
      </w:r>
      <w:r>
        <w:t xml:space="preserve">and Sanghvi </w:t>
      </w:r>
      <w:r w:rsidRPr="002276C0">
        <w:t>(1988), pp. 5–7 and 12–13; and Carden, Pfeifenberger, and Wintermantel (2011).</w:t>
      </w:r>
    </w:p>
  </w:footnote>
  <w:footnote w:id="25">
    <w:p w14:paraId="35F17250" w14:textId="082AC436" w:rsidR="003B5525" w:rsidRDefault="003B5525" w:rsidP="009163BD">
      <w:pPr>
        <w:pStyle w:val="FootnoteText"/>
        <w:jc w:val="both"/>
      </w:pPr>
      <w:r w:rsidRPr="00A65044">
        <w:rPr>
          <w:rStyle w:val="FootnoteReference"/>
        </w:rPr>
        <w:footnoteRef/>
      </w:r>
      <w:r w:rsidRPr="00A65044">
        <w:t xml:space="preserve"> Reliability across planning reserve margins is discussed in Section </w:t>
      </w:r>
      <w:r w:rsidRPr="00A65044">
        <w:fldChar w:fldCharType="begin"/>
      </w:r>
      <w:r w:rsidRPr="00A65044">
        <w:instrText xml:space="preserve"> REF _Ref526363148 \w \h </w:instrText>
      </w:r>
      <w:r>
        <w:instrText xml:space="preserve"> \* MERGEFORMAT </w:instrText>
      </w:r>
      <w:r w:rsidRPr="00A65044">
        <w:fldChar w:fldCharType="separate"/>
      </w:r>
      <w:r w:rsidRPr="00A65044">
        <w:t>III.C.1</w:t>
      </w:r>
      <w:r w:rsidRPr="00A65044">
        <w:fldChar w:fldCharType="end"/>
      </w:r>
      <w:r w:rsidRPr="00A65044">
        <w:t>.</w:t>
      </w:r>
    </w:p>
  </w:footnote>
  <w:footnote w:id="26">
    <w:p w14:paraId="0ABB2C13" w14:textId="7DDD9107" w:rsidR="003B5525" w:rsidRDefault="003B5525" w:rsidP="009163BD">
      <w:pPr>
        <w:pStyle w:val="FootnoteText"/>
        <w:jc w:val="both"/>
      </w:pPr>
      <w:r w:rsidRPr="00A65044">
        <w:rPr>
          <w:rStyle w:val="FootnoteReference"/>
        </w:rPr>
        <w:footnoteRef/>
      </w:r>
      <w:r w:rsidRPr="00A65044">
        <w:t xml:space="preserve"> The baseline level of external production costs is not included in our total system cost.  This differs from our reporting of ERCOT-internal production costs, for which we do include baseline costs (that do not vary with reserve margin) in order to produce a meaningful total cost estimate for the ERCOT system.</w:t>
      </w:r>
    </w:p>
  </w:footnote>
  <w:footnote w:id="27">
    <w:p w14:paraId="01CD1359" w14:textId="59E1D9ED" w:rsidR="003B5525" w:rsidRPr="009163BD" w:rsidRDefault="003B5525">
      <w:pPr>
        <w:pStyle w:val="FootnoteText"/>
        <w:rPr>
          <w:lang w:val="en-US"/>
        </w:rPr>
      </w:pPr>
      <w:r>
        <w:rPr>
          <w:rStyle w:val="FootnoteReference"/>
        </w:rPr>
        <w:footnoteRef/>
      </w:r>
      <w:r>
        <w:t xml:space="preserve"> </w:t>
      </w:r>
      <w:r>
        <w:rPr>
          <w:lang w:val="en-US"/>
        </w:rPr>
        <w:t>These values are calculated as the difference between the weighted average and 90</w:t>
      </w:r>
      <w:r w:rsidRPr="009163BD">
        <w:rPr>
          <w:vertAlign w:val="superscript"/>
          <w:lang w:val="en-US"/>
        </w:rPr>
        <w:t>th</w:t>
      </w:r>
      <w:r>
        <w:rPr>
          <w:lang w:val="en-US"/>
        </w:rPr>
        <w:t xml:space="preserve"> percentile total system costs at 7% and 11% reserve margins.</w:t>
      </w:r>
    </w:p>
  </w:footnote>
  <w:footnote w:id="28">
    <w:p w14:paraId="6EBADE55" w14:textId="2C270524" w:rsidR="003B5525" w:rsidRPr="009E784B" w:rsidRDefault="003B5525">
      <w:pPr>
        <w:pStyle w:val="FootnoteText"/>
        <w:rPr>
          <w:lang w:val="en-US"/>
        </w:rPr>
      </w:pPr>
      <w:r>
        <w:rPr>
          <w:rStyle w:val="FootnoteReference"/>
        </w:rPr>
        <w:footnoteRef/>
      </w:r>
      <w:r>
        <w:t xml:space="preserve"> Load, duration, and energy are calculated for each firm load shed event which occurs approximately once every two years. The LOLH and EUE in Figure 10 are annual metrics.</w:t>
      </w:r>
    </w:p>
  </w:footnote>
  <w:footnote w:id="29">
    <w:p w14:paraId="4996938B" w14:textId="06B23F61" w:rsidR="003B5525" w:rsidRDefault="003B5525" w:rsidP="009163BD">
      <w:pPr>
        <w:pStyle w:val="FootnoteText"/>
        <w:jc w:val="both"/>
      </w:pPr>
      <w:r w:rsidRPr="003431AB">
        <w:rPr>
          <w:rStyle w:val="FootnoteReference"/>
        </w:rPr>
        <w:footnoteRef/>
      </w:r>
      <w:r w:rsidRPr="003431AB">
        <w:t xml:space="preserve"> For our simulations, the reported reliability metrics are the mean for 10,000 simulations (40 weather years, 5 load error levels, 50 outage draws).  A LOLE event is recorded for each day with at least one hour of lost load.  LOLH is calculated as the total hours in the simulation with lost load, without accounting for persistence of a particular outage event.  Normalized EUE is calculated as the expected quantity of unserved energy over the year divided by the net energy for load multiplied by 1,000,000.  </w:t>
      </w:r>
    </w:p>
  </w:footnote>
  <w:footnote w:id="30">
    <w:p w14:paraId="30A70FA4" w14:textId="09C0E1D2" w:rsidR="003B5525" w:rsidRDefault="003B5525" w:rsidP="009163BD">
      <w:pPr>
        <w:pStyle w:val="FootnoteText"/>
        <w:jc w:val="both"/>
      </w:pPr>
      <w:r w:rsidRPr="006B7E14">
        <w:rPr>
          <w:rStyle w:val="FootnoteReference"/>
        </w:rPr>
        <w:footnoteRef/>
      </w:r>
      <w:r w:rsidRPr="006B7E14">
        <w:t xml:space="preserve"> LOLE standards refer only to loss-of-load events due to shortages of bulk power supplies. Customer outages caused by disturbances on distribution infrastructure are much more frequent and longer in duration.   </w:t>
      </w:r>
    </w:p>
  </w:footnote>
  <w:footnote w:id="31">
    <w:p w14:paraId="5DF76E62" w14:textId="7FDE3099" w:rsidR="003B5525" w:rsidRPr="008047D4" w:rsidRDefault="003B5525" w:rsidP="009163BD">
      <w:pPr>
        <w:pStyle w:val="FootnoteText"/>
        <w:jc w:val="both"/>
        <w:rPr>
          <w:lang w:val="en-US"/>
        </w:rPr>
      </w:pPr>
      <w:r>
        <w:rPr>
          <w:rStyle w:val="FootnoteReference"/>
        </w:rPr>
        <w:footnoteRef/>
      </w:r>
      <w:r>
        <w:t xml:space="preserve"> See </w:t>
      </w:r>
      <w:r w:rsidRPr="00306E56">
        <w:rPr>
          <w:rFonts w:cs="Calibri"/>
        </w:rPr>
        <w:t xml:space="preserve">Newell, et al. </w:t>
      </w:r>
      <w:r>
        <w:rPr>
          <w:rFonts w:cs="Calibri"/>
        </w:rPr>
        <w:t>(</w:t>
      </w:r>
      <w:r w:rsidRPr="00306E56">
        <w:rPr>
          <w:rFonts w:cs="Calibri"/>
        </w:rPr>
        <w:t>2018</w:t>
      </w:r>
      <w:r>
        <w:rPr>
          <w:rFonts w:cs="Calibri"/>
        </w:rPr>
        <w:t xml:space="preserve"> a)</w:t>
      </w:r>
    </w:p>
  </w:footnote>
  <w:footnote w:id="32">
    <w:p w14:paraId="6A7DAEC9" w14:textId="03F3221F" w:rsidR="003B5525" w:rsidRPr="00584363" w:rsidRDefault="003B5525" w:rsidP="009163BD">
      <w:pPr>
        <w:pStyle w:val="FootnoteText"/>
        <w:jc w:val="both"/>
        <w:rPr>
          <w:lang w:val="en-US"/>
        </w:rPr>
      </w:pPr>
      <w:r>
        <w:rPr>
          <w:rStyle w:val="FootnoteReference"/>
        </w:rPr>
        <w:footnoteRef/>
      </w:r>
      <w:r>
        <w:t xml:space="preserve"> See </w:t>
      </w:r>
      <w:r>
        <w:rPr>
          <w:lang w:val="en-US"/>
        </w:rPr>
        <w:t>Lazard (2020)</w:t>
      </w:r>
    </w:p>
  </w:footnote>
  <w:footnote w:id="33">
    <w:p w14:paraId="1FE5BE40" w14:textId="5431DC49" w:rsidR="003B5525" w:rsidRDefault="003B5525" w:rsidP="009163BD">
      <w:pPr>
        <w:pStyle w:val="FootnoteText"/>
        <w:jc w:val="both"/>
      </w:pPr>
      <w:r w:rsidRPr="00C50581">
        <w:rPr>
          <w:rStyle w:val="FootnoteReference"/>
        </w:rPr>
        <w:footnoteRef/>
      </w:r>
      <w:r w:rsidRPr="00C50581">
        <w:t xml:space="preserve"> The ORDC is discussed in Appendix 1.</w:t>
      </w:r>
      <w:r w:rsidRPr="00C50581">
        <w:fldChar w:fldCharType="begin"/>
      </w:r>
      <w:r w:rsidRPr="00C50581">
        <w:instrText xml:space="preserve"> REF _Ref526447522 \n \h  \* MERGEFORMAT </w:instrText>
      </w:r>
      <w:r w:rsidRPr="00C50581">
        <w:fldChar w:fldCharType="separate"/>
      </w:r>
      <w:r w:rsidRPr="00C50581">
        <w:t>E</w:t>
      </w:r>
      <w:r w:rsidRPr="00C50581">
        <w:fldChar w:fldCharType="end"/>
      </w:r>
      <w:r w:rsidRPr="00C50581">
        <w:t>.</w:t>
      </w:r>
      <w:r w:rsidRPr="00C50581">
        <w:fldChar w:fldCharType="begin"/>
      </w:r>
      <w:r w:rsidRPr="00C50581">
        <w:instrText xml:space="preserve"> REF _Ref526447532 \n \h  \* MERGEFORMAT </w:instrText>
      </w:r>
      <w:r w:rsidRPr="00C50581">
        <w:fldChar w:fldCharType="separate"/>
      </w:r>
      <w:r w:rsidRPr="00C50581">
        <w:t>4</w:t>
      </w:r>
      <w:r w:rsidRPr="00C50581">
        <w:fldChar w:fldCharType="end"/>
      </w:r>
      <w:r w:rsidRPr="00C50581">
        <w:t>; varying the VOLL to range from $5,000 to $30,000 changes the EORM to range from 10.25% to 13.25%, respectively.</w:t>
      </w:r>
    </w:p>
  </w:footnote>
  <w:footnote w:id="34">
    <w:p w14:paraId="2DDFAA7B" w14:textId="2C5AFCDF" w:rsidR="003B5525" w:rsidRPr="00054BB5" w:rsidRDefault="003B5525" w:rsidP="009163BD">
      <w:pPr>
        <w:pStyle w:val="FootnoteText"/>
        <w:jc w:val="both"/>
      </w:pPr>
      <w:r w:rsidRPr="007D2286">
        <w:rPr>
          <w:rStyle w:val="FootnoteReference"/>
        </w:rPr>
        <w:footnoteRef/>
      </w:r>
      <w:r w:rsidRPr="007D2286">
        <w:t xml:space="preserve"> Provided by ERCOT staff.</w:t>
      </w:r>
    </w:p>
  </w:footnote>
  <w:footnote w:id="35">
    <w:p w14:paraId="70E06E64" w14:textId="6CF7D9BA" w:rsidR="003B5525" w:rsidRPr="00132D4F" w:rsidRDefault="003B5525" w:rsidP="009163BD">
      <w:pPr>
        <w:pStyle w:val="FootnoteText"/>
        <w:jc w:val="both"/>
        <w:rPr>
          <w:color w:val="C00000"/>
        </w:rPr>
      </w:pPr>
      <w:r w:rsidRPr="00054BB5">
        <w:rPr>
          <w:rStyle w:val="FootnoteReference"/>
        </w:rPr>
        <w:footnoteRef/>
      </w:r>
      <w:r w:rsidRPr="00054BB5">
        <w:t xml:space="preserve"> This is different than the previous EORM study, which used 38 weather years (1980–2017).</w:t>
      </w:r>
    </w:p>
  </w:footnote>
  <w:footnote w:id="36">
    <w:p w14:paraId="15C542EC" w14:textId="273CE3F7" w:rsidR="003B5525" w:rsidRPr="00132D4F" w:rsidRDefault="003B5525" w:rsidP="009163BD">
      <w:pPr>
        <w:pStyle w:val="FootnoteText"/>
        <w:jc w:val="both"/>
        <w:rPr>
          <w:color w:val="C00000"/>
        </w:rPr>
      </w:pPr>
      <w:r w:rsidRPr="007D2286">
        <w:rPr>
          <w:rStyle w:val="FootnoteReference"/>
        </w:rPr>
        <w:footnoteRef/>
      </w:r>
      <w:r w:rsidRPr="007D2286">
        <w:t xml:space="preserve"> Details on the load forecast model methodology in ERCOT </w:t>
      </w:r>
      <w:r>
        <w:t>(</w:t>
      </w:r>
      <w:r w:rsidRPr="007D2286">
        <w:t>2019a).</w:t>
      </w:r>
    </w:p>
  </w:footnote>
  <w:footnote w:id="37">
    <w:p w14:paraId="186948BC" w14:textId="6CD25F86" w:rsidR="003B5525" w:rsidRPr="00132D4F" w:rsidRDefault="003B5525" w:rsidP="009163BD">
      <w:pPr>
        <w:pStyle w:val="FootnoteText"/>
        <w:jc w:val="both"/>
        <w:rPr>
          <w:color w:val="C00000"/>
        </w:rPr>
      </w:pPr>
      <w:r w:rsidRPr="000B48EC">
        <w:rPr>
          <w:rStyle w:val="FootnoteReference"/>
        </w:rPr>
        <w:footnoteRef/>
      </w:r>
      <w:r w:rsidRPr="000B48EC">
        <w:t xml:space="preserve"> This assumed LFE is a standard assumption that we developed in lieu of any ERCOT-specific analysis, which would require either a longer history of load forecasts in ERCOT or a new analysis developed out of ERCOT’s peak load forecast, neither of which are currently available. </w:t>
      </w:r>
    </w:p>
  </w:footnote>
  <w:footnote w:id="38">
    <w:p w14:paraId="1A182599" w14:textId="51F31681" w:rsidR="003B5525" w:rsidRDefault="003B5525" w:rsidP="009163BD">
      <w:pPr>
        <w:pStyle w:val="FootnoteText"/>
        <w:jc w:val="both"/>
      </w:pPr>
      <w:r w:rsidRPr="0018504F">
        <w:rPr>
          <w:rStyle w:val="FootnoteReference"/>
        </w:rPr>
        <w:footnoteRef/>
      </w:r>
      <w:r w:rsidRPr="0018504F">
        <w:t xml:space="preserve"> </w:t>
      </w:r>
      <w:r>
        <w:t>See May 2020 CDR in ERCOT (2020a).</w:t>
      </w:r>
    </w:p>
  </w:footnote>
  <w:footnote w:id="39">
    <w:p w14:paraId="2A0F9697" w14:textId="7BDE34C3" w:rsidR="003B5525" w:rsidRPr="00AB139A" w:rsidRDefault="003B5525">
      <w:pPr>
        <w:pStyle w:val="FootnoteText"/>
        <w:rPr>
          <w:lang w:val="en-US"/>
        </w:rPr>
      </w:pPr>
      <w:r>
        <w:rPr>
          <w:rStyle w:val="FootnoteReference"/>
        </w:rPr>
        <w:footnoteRef/>
      </w:r>
      <w:r>
        <w:t xml:space="preserve"> </w:t>
      </w:r>
      <w:r>
        <w:rPr>
          <w:lang w:val="en-US"/>
        </w:rPr>
        <w:t>See NERC (2019).</w:t>
      </w:r>
    </w:p>
  </w:footnote>
  <w:footnote w:id="40">
    <w:p w14:paraId="3E352921" w14:textId="4594F148" w:rsidR="003B5525" w:rsidRPr="00AB139A" w:rsidRDefault="003B5525">
      <w:pPr>
        <w:pStyle w:val="FootnoteText"/>
        <w:rPr>
          <w:lang w:val="en-US"/>
        </w:rPr>
      </w:pPr>
      <w:r>
        <w:rPr>
          <w:rStyle w:val="FootnoteReference"/>
        </w:rPr>
        <w:footnoteRef/>
      </w:r>
      <w:r>
        <w:t xml:space="preserve"> </w:t>
      </w:r>
      <w:r>
        <w:rPr>
          <w:lang w:val="en-US"/>
        </w:rPr>
        <w:t>See MISO (2019).</w:t>
      </w:r>
    </w:p>
  </w:footnote>
  <w:footnote w:id="41">
    <w:p w14:paraId="604570B5" w14:textId="133AC9A8" w:rsidR="003B5525" w:rsidRPr="00AB139A" w:rsidRDefault="003B5525">
      <w:pPr>
        <w:pStyle w:val="FootnoteText"/>
        <w:rPr>
          <w:lang w:val="en-US"/>
        </w:rPr>
      </w:pPr>
      <w:r>
        <w:rPr>
          <w:rStyle w:val="FootnoteReference"/>
        </w:rPr>
        <w:footnoteRef/>
      </w:r>
      <w:r>
        <w:t xml:space="preserve"> </w:t>
      </w:r>
      <w:r>
        <w:rPr>
          <w:lang w:val="en-US"/>
        </w:rPr>
        <w:t>See FERC (2020) and NOAA (2020).</w:t>
      </w:r>
    </w:p>
  </w:footnote>
  <w:footnote w:id="42">
    <w:p w14:paraId="2CA275D2" w14:textId="39FB04D2" w:rsidR="003B5525" w:rsidRPr="00426077" w:rsidRDefault="003B5525" w:rsidP="00AB139A">
      <w:pPr>
        <w:pStyle w:val="FootnoteText"/>
        <w:jc w:val="both"/>
      </w:pPr>
      <w:r w:rsidRPr="006536B5">
        <w:rPr>
          <w:rStyle w:val="FootnoteReference"/>
        </w:rPr>
        <w:footnoteRef/>
      </w:r>
      <w:r w:rsidRPr="006536B5">
        <w:t xml:space="preserve"> See Newell, </w:t>
      </w:r>
      <w:r w:rsidRPr="006536B5">
        <w:rPr>
          <w:i/>
        </w:rPr>
        <w:t>et al.</w:t>
      </w:r>
      <w:r w:rsidRPr="006536B5">
        <w:t xml:space="preserve"> (2018</w:t>
      </w:r>
      <w:r>
        <w:t>a</w:t>
      </w:r>
      <w:r w:rsidRPr="006536B5">
        <w:t>).</w:t>
      </w:r>
    </w:p>
  </w:footnote>
  <w:footnote w:id="43">
    <w:p w14:paraId="6F8EC32A" w14:textId="1BF88772" w:rsidR="003B5525" w:rsidRPr="005C3E61" w:rsidRDefault="003B5525" w:rsidP="00AB139A">
      <w:pPr>
        <w:pStyle w:val="FootnoteText"/>
        <w:jc w:val="both"/>
      </w:pPr>
      <w:r w:rsidRPr="0053705D">
        <w:rPr>
          <w:rStyle w:val="FootnoteReference"/>
        </w:rPr>
        <w:footnoteRef/>
      </w:r>
      <w:r w:rsidRPr="0053705D">
        <w:t xml:space="preserve"> Capturing the possibility of such low-probability, high-impact events is an advantage of the unit-specific Monte Carlo outage modeling used in SERVM. The</w:t>
      </w:r>
      <w:r w:rsidRPr="0053705D" w:rsidDel="000312FC">
        <w:t xml:space="preserve"> simpler </w:t>
      </w:r>
      <w:r w:rsidRPr="0053705D">
        <w:t>convolution method, which is a common alternative outage modeling method, results in a distribution of outages that may under-estimate the potential for extreme events, especially in small systems.</w:t>
      </w:r>
    </w:p>
  </w:footnote>
  <w:footnote w:id="44">
    <w:p w14:paraId="6AA047EC" w14:textId="40383984" w:rsidR="003B5525" w:rsidRDefault="003B5525" w:rsidP="00CA46F4">
      <w:pPr>
        <w:pStyle w:val="FootnoteText"/>
        <w:jc w:val="both"/>
      </w:pPr>
      <w:r w:rsidRPr="00AB139A">
        <w:rPr>
          <w:rStyle w:val="FootnoteReference"/>
        </w:rPr>
        <w:footnoteRef/>
      </w:r>
      <w:r w:rsidRPr="00AB139A">
        <w:t xml:space="preserve"> Hourly net PUN output data gathered from ERCOT, hourly load data from Velocity Suite, ABB Inc.</w:t>
      </w:r>
    </w:p>
  </w:footnote>
  <w:footnote w:id="45">
    <w:p w14:paraId="21F42BF0" w14:textId="5C6AED86" w:rsidR="003B5525" w:rsidRPr="002B7607" w:rsidRDefault="003B5525" w:rsidP="00AB139A">
      <w:pPr>
        <w:pStyle w:val="FootnoteText"/>
        <w:jc w:val="both"/>
      </w:pPr>
      <w:r w:rsidRPr="006B0781">
        <w:rPr>
          <w:rStyle w:val="FootnoteReference"/>
        </w:rPr>
        <w:footnoteRef/>
      </w:r>
      <w:r w:rsidRPr="006B0781">
        <w:t xml:space="preserve"> Provided by ERCOT staff.</w:t>
      </w:r>
    </w:p>
  </w:footnote>
  <w:footnote w:id="46">
    <w:p w14:paraId="2F464BB0" w14:textId="71400E4B" w:rsidR="003B5525" w:rsidRPr="00C042FC" w:rsidRDefault="003B5525" w:rsidP="00AB139A">
      <w:pPr>
        <w:pStyle w:val="FootnoteText"/>
        <w:jc w:val="both"/>
        <w:rPr>
          <w:color w:val="C00000"/>
        </w:rPr>
      </w:pPr>
      <w:r w:rsidRPr="006B0781">
        <w:rPr>
          <w:rStyle w:val="FootnoteReference"/>
        </w:rPr>
        <w:footnoteRef/>
      </w:r>
      <w:r w:rsidRPr="006B0781">
        <w:t xml:space="preserve"> We aggregated location-specific output profiles for all units, including traditional and coastal units. ERCOT obtained the original wind profiles from UL (formerly AWS Truepower).  </w:t>
      </w:r>
    </w:p>
  </w:footnote>
  <w:footnote w:id="47">
    <w:p w14:paraId="36D26CF0" w14:textId="32A80AD1" w:rsidR="003B5525" w:rsidRPr="00C042FC" w:rsidRDefault="003B5525" w:rsidP="00AB139A">
      <w:pPr>
        <w:pStyle w:val="FootnoteText"/>
        <w:jc w:val="both"/>
        <w:rPr>
          <w:color w:val="C00000"/>
        </w:rPr>
      </w:pPr>
      <w:r w:rsidRPr="00587FE3">
        <w:rPr>
          <w:rStyle w:val="FootnoteReference"/>
        </w:rPr>
        <w:footnoteRef/>
      </w:r>
      <w:r w:rsidRPr="00587FE3">
        <w:t xml:space="preserve"> See ERCOT (2020a). </w:t>
      </w:r>
    </w:p>
  </w:footnote>
  <w:footnote w:id="48">
    <w:p w14:paraId="41AA1066" w14:textId="6638DD00" w:rsidR="003B5525" w:rsidRPr="005C3E61" w:rsidRDefault="003B5525" w:rsidP="00AB139A">
      <w:pPr>
        <w:pStyle w:val="FootnoteText"/>
        <w:jc w:val="both"/>
      </w:pPr>
      <w:r w:rsidRPr="006B0781">
        <w:rPr>
          <w:rStyle w:val="FootnoteReference"/>
        </w:rPr>
        <w:footnoteRef/>
      </w:r>
      <w:r w:rsidRPr="006B0781">
        <w:t xml:space="preserve"> Individual county output profiles for 19</w:t>
      </w:r>
      <w:r>
        <w:t>80</w:t>
      </w:r>
      <w:r w:rsidRPr="006B0781">
        <w:t>-2019 were provided by ERCOT, obtained through UL (formerly AWS Truepower).</w:t>
      </w:r>
    </w:p>
  </w:footnote>
  <w:footnote w:id="49">
    <w:p w14:paraId="3443F165" w14:textId="2CDB3D86" w:rsidR="003B5525" w:rsidRPr="00587FE3" w:rsidRDefault="003B5525" w:rsidP="00AB139A">
      <w:pPr>
        <w:pStyle w:val="FootnoteText"/>
        <w:jc w:val="both"/>
      </w:pPr>
      <w:r w:rsidRPr="00587FE3">
        <w:rPr>
          <w:rStyle w:val="FootnoteReference"/>
        </w:rPr>
        <w:footnoteRef/>
      </w:r>
      <w:r w:rsidRPr="00587FE3">
        <w:t xml:space="preserve"> See ERCOT (2020a).  For the 2018 study, solar was given a 75% contribution to reserve margin consistent with ERCOT’s 2018 CDR accounting conventions.</w:t>
      </w:r>
    </w:p>
  </w:footnote>
  <w:footnote w:id="50">
    <w:p w14:paraId="2D908F74" w14:textId="026164A5" w:rsidR="003B5525" w:rsidRPr="00587FE3" w:rsidRDefault="003B5525" w:rsidP="00AB139A">
      <w:pPr>
        <w:pStyle w:val="FootnoteText"/>
        <w:jc w:val="both"/>
      </w:pPr>
      <w:r w:rsidRPr="00587FE3">
        <w:rPr>
          <w:rStyle w:val="FootnoteReference"/>
        </w:rPr>
        <w:footnoteRef/>
      </w:r>
      <w:r w:rsidRPr="00587FE3">
        <w:t xml:space="preserve"> See ERCOT (2020a).</w:t>
      </w:r>
    </w:p>
  </w:footnote>
  <w:footnote w:id="51">
    <w:p w14:paraId="1DDC0DDD" w14:textId="619F0B3D" w:rsidR="003B5525" w:rsidRPr="005C3E61" w:rsidRDefault="003B5525" w:rsidP="00AB139A">
      <w:pPr>
        <w:pStyle w:val="FootnoteText"/>
        <w:jc w:val="both"/>
      </w:pPr>
      <w:r w:rsidRPr="00587FE3">
        <w:rPr>
          <w:rStyle w:val="FootnoteReference"/>
        </w:rPr>
        <w:footnoteRef/>
      </w:r>
      <w:r w:rsidRPr="00587FE3">
        <w:t xml:space="preserve"> See </w:t>
      </w:r>
      <w:r>
        <w:t>Form 923 in EIA (2020)</w:t>
      </w:r>
      <w:r w:rsidRPr="00587FE3">
        <w:t>.</w:t>
      </w:r>
    </w:p>
  </w:footnote>
  <w:footnote w:id="52">
    <w:p w14:paraId="1E0C9E05" w14:textId="342AC8EC" w:rsidR="003B5525" w:rsidRPr="00AB139A" w:rsidRDefault="003B5525" w:rsidP="00AB139A">
      <w:pPr>
        <w:pStyle w:val="FootnoteText"/>
        <w:jc w:val="both"/>
      </w:pPr>
      <w:r w:rsidRPr="00AB139A">
        <w:rPr>
          <w:rStyle w:val="FootnoteReference"/>
        </w:rPr>
        <w:footnoteRef/>
      </w:r>
      <w:r w:rsidRPr="00AB139A">
        <w:t xml:space="preserve"> Oil futures at WTI Cushing were used to escalate No. 2 fuel oil prices into the future due to lack of data on No. 2 futures at U.S. Gulf Coast.  Data from S&amp;P Global Market Intelligence LLC and Bloomberg.</w:t>
      </w:r>
    </w:p>
  </w:footnote>
  <w:footnote w:id="53">
    <w:p w14:paraId="6516EB46" w14:textId="7EF137A4" w:rsidR="003B5525" w:rsidRPr="00DD32FE" w:rsidRDefault="003B5525" w:rsidP="00AB139A">
      <w:pPr>
        <w:pStyle w:val="FootnoteText"/>
        <w:jc w:val="both"/>
      </w:pPr>
      <w:r w:rsidRPr="00AB139A">
        <w:rPr>
          <w:rStyle w:val="FootnoteReference"/>
        </w:rPr>
        <w:footnoteRef/>
      </w:r>
      <w:r w:rsidRPr="00AB139A">
        <w:t xml:space="preserve"> Fuel price basis varies by region by not among individual plants.  Historical delivered fuel prices from Bloomberg, SNL Energy, and EIA.</w:t>
      </w:r>
    </w:p>
  </w:footnote>
  <w:footnote w:id="54">
    <w:p w14:paraId="3B4CC4E1" w14:textId="5F42D986" w:rsidR="003B5525" w:rsidRPr="00587FE3" w:rsidRDefault="003B5525" w:rsidP="00AB139A">
      <w:pPr>
        <w:pStyle w:val="FootnoteText"/>
        <w:jc w:val="both"/>
      </w:pPr>
      <w:r w:rsidRPr="00587FE3">
        <w:rPr>
          <w:rStyle w:val="FootnoteReference"/>
        </w:rPr>
        <w:footnoteRef/>
      </w:r>
      <w:r w:rsidRPr="00587FE3">
        <w:t xml:space="preserve"> For total ERS procurement quantities by product type and season, see ERCOT (2020b).  </w:t>
      </w:r>
    </w:p>
  </w:footnote>
  <w:footnote w:id="55">
    <w:p w14:paraId="0B29CD86" w14:textId="5C77C1F8" w:rsidR="003B5525" w:rsidRDefault="003B5525" w:rsidP="00AB139A">
      <w:pPr>
        <w:pStyle w:val="FootnoteText"/>
        <w:jc w:val="both"/>
      </w:pPr>
      <w:r w:rsidRPr="00587FE3">
        <w:rPr>
          <w:rStyle w:val="FootnoteReference"/>
        </w:rPr>
        <w:footnoteRef/>
      </w:r>
      <w:r w:rsidRPr="00587FE3">
        <w:t xml:space="preserve"> See ERCOT (2018a) and ERCOT (2020a-c).</w:t>
      </w:r>
    </w:p>
  </w:footnote>
  <w:footnote w:id="56">
    <w:p w14:paraId="5DBE42BA" w14:textId="49D8CEE7" w:rsidR="003B5525" w:rsidRPr="00C042FC" w:rsidRDefault="003B5525" w:rsidP="00AB139A">
      <w:pPr>
        <w:pStyle w:val="FootnoteText"/>
        <w:jc w:val="both"/>
        <w:rPr>
          <w:color w:val="C00000"/>
        </w:rPr>
      </w:pPr>
      <w:r w:rsidRPr="00AB139A">
        <w:rPr>
          <w:rStyle w:val="FootnoteReference"/>
        </w:rPr>
        <w:footnoteRef/>
      </w:r>
      <w:r w:rsidRPr="00AB139A">
        <w:t xml:space="preserve"> Currently, 1,400 MW is the maximum quantity of non-controllable LRs that are allowed to sell responsive reserve service (RRS) and is the clearing quantity in the vast majority of hours. </w:t>
      </w:r>
    </w:p>
  </w:footnote>
  <w:footnote w:id="57">
    <w:p w14:paraId="3AD3A865" w14:textId="0A5E4A53" w:rsidR="003B5525" w:rsidRDefault="003B5525" w:rsidP="00AB139A">
      <w:pPr>
        <w:pStyle w:val="FootnoteText"/>
        <w:jc w:val="both"/>
      </w:pPr>
      <w:r w:rsidRPr="00C80B90">
        <w:rPr>
          <w:rStyle w:val="FootnoteReference"/>
        </w:rPr>
        <w:footnoteRef/>
      </w:r>
      <w:r w:rsidRPr="00C80B90">
        <w:t xml:space="preserve"> In some ERCOT studies the South DC Tie between ERCOT and Mexico is modeled with a capacity of 36 MW.  However, we retired the 30 MW South Tie (Eagle Pass Tie) on April 2020 consistent with the ERCOT DC-Tie Operations Manual</w:t>
      </w:r>
      <w:r>
        <w:t>. See ERCOT</w:t>
      </w:r>
      <w:r w:rsidRPr="00C80B90">
        <w:t xml:space="preserve"> (2020e) and</w:t>
      </w:r>
      <w:r>
        <w:t xml:space="preserve"> ERCOT (2020a)</w:t>
      </w:r>
      <w:r w:rsidRPr="00C80B90">
        <w:t>.</w:t>
      </w:r>
    </w:p>
  </w:footnote>
  <w:footnote w:id="58">
    <w:p w14:paraId="64F00D12" w14:textId="66C4538E" w:rsidR="003B5525" w:rsidRPr="00E456C6" w:rsidRDefault="003B5525" w:rsidP="00AB139A">
      <w:pPr>
        <w:pStyle w:val="FootnoteText"/>
        <w:jc w:val="both"/>
        <w:rPr>
          <w:color w:val="C00000"/>
        </w:rPr>
      </w:pPr>
      <w:r w:rsidRPr="006D161E">
        <w:rPr>
          <w:rStyle w:val="FootnoteReference"/>
        </w:rPr>
        <w:footnoteRef/>
      </w:r>
      <w:r w:rsidRPr="006D161E">
        <w:t xml:space="preserve"> More information on the ERCOT supply mix can be found in </w:t>
      </w:r>
      <w:r w:rsidRPr="006D161E">
        <w:fldChar w:fldCharType="begin"/>
      </w:r>
      <w:r w:rsidRPr="006D161E">
        <w:instrText xml:space="preserve"> REF _Ref523319127 \w \h </w:instrText>
      </w:r>
      <w:r>
        <w:instrText xml:space="preserve"> \* MERGEFORMAT </w:instrText>
      </w:r>
      <w:r w:rsidRPr="006D161E">
        <w:fldChar w:fldCharType="separate"/>
      </w:r>
      <w:r w:rsidRPr="006D161E">
        <w:t>II.B</w:t>
      </w:r>
      <w:r w:rsidRPr="006D161E">
        <w:fldChar w:fldCharType="end"/>
      </w:r>
      <w:r w:rsidRPr="006D161E">
        <w:t>.</w:t>
      </w:r>
    </w:p>
  </w:footnote>
  <w:footnote w:id="59">
    <w:p w14:paraId="68325855" w14:textId="0E7C96E2" w:rsidR="003B5525" w:rsidRPr="00341A2F" w:rsidRDefault="003B5525" w:rsidP="00AB139A">
      <w:pPr>
        <w:pStyle w:val="FootnoteText"/>
        <w:jc w:val="both"/>
      </w:pPr>
      <w:r w:rsidRPr="00341A2F">
        <w:rPr>
          <w:rStyle w:val="FootnoteReference"/>
        </w:rPr>
        <w:footnoteRef/>
      </w:r>
      <w:r w:rsidRPr="00341A2F">
        <w:t xml:space="preserve"> Specifically, we take external regions</w:t>
      </w:r>
      <w:r>
        <w:t>’</w:t>
      </w:r>
      <w:r w:rsidRPr="00341A2F">
        <w:t xml:space="preserve"> resource mix from</w:t>
      </w:r>
      <w:r>
        <w:t xml:space="preserve"> publicly available data</w:t>
      </w:r>
      <w:r w:rsidRPr="00341A2F">
        <w:t xml:space="preserve"> and external regions’ demand-response penetrations from NERC (2019).</w:t>
      </w:r>
    </w:p>
  </w:footnote>
  <w:footnote w:id="60">
    <w:p w14:paraId="6E73AB30" w14:textId="639BD3AC" w:rsidR="003B5525" w:rsidRDefault="003B5525" w:rsidP="00AB139A">
      <w:pPr>
        <w:pStyle w:val="FootnoteText"/>
        <w:jc w:val="both"/>
      </w:pPr>
      <w:r w:rsidRPr="00341A2F">
        <w:rPr>
          <w:rStyle w:val="FootnoteReference"/>
        </w:rPr>
        <w:footnoteRef/>
      </w:r>
      <w:r w:rsidRPr="00341A2F">
        <w:t xml:space="preserve"> See MISO (2019), NERC (2019), SPP (2018). For Mexico we use an assumed reserve margin above the peak load.</w:t>
      </w:r>
    </w:p>
  </w:footnote>
  <w:footnote w:id="61">
    <w:p w14:paraId="667B495F" w14:textId="190F6906" w:rsidR="003B5525" w:rsidRPr="00BC0BD3" w:rsidRDefault="003B5525" w:rsidP="00AB139A">
      <w:pPr>
        <w:pStyle w:val="FootnoteText"/>
        <w:jc w:val="both"/>
      </w:pPr>
      <w:r w:rsidRPr="00341A2F">
        <w:rPr>
          <w:rStyle w:val="FootnoteReference"/>
        </w:rPr>
        <w:footnoteRef/>
      </w:r>
      <w:r w:rsidRPr="00341A2F">
        <w:t xml:space="preserve"> </w:t>
      </w:r>
      <w:r w:rsidRPr="00BC0BD3">
        <w:t>Heat rates from ABB Velocity Suite (2018).</w:t>
      </w:r>
    </w:p>
  </w:footnote>
  <w:footnote w:id="62">
    <w:p w14:paraId="22BAA1F2" w14:textId="64B9343B" w:rsidR="003B5525" w:rsidRDefault="003B5525" w:rsidP="00AB139A">
      <w:pPr>
        <w:pStyle w:val="FootnoteText"/>
        <w:jc w:val="both"/>
      </w:pPr>
      <w:r w:rsidRPr="00AB139A">
        <w:rPr>
          <w:rStyle w:val="FootnoteReference"/>
        </w:rPr>
        <w:footnoteRef/>
      </w:r>
      <w:r w:rsidRPr="00AB139A">
        <w:t xml:space="preserve"> Based on several years of historical hourly intertie ratings supplied by ERCOT.</w:t>
      </w:r>
    </w:p>
  </w:footnote>
  <w:footnote w:id="63">
    <w:p w14:paraId="6CE391FC" w14:textId="2268B8DA" w:rsidR="003B5525" w:rsidRPr="00587FE3" w:rsidRDefault="003B5525" w:rsidP="00AB139A">
      <w:pPr>
        <w:pStyle w:val="FootnoteText"/>
        <w:jc w:val="both"/>
      </w:pPr>
      <w:r w:rsidRPr="00587FE3">
        <w:rPr>
          <w:rStyle w:val="FootnoteReference"/>
        </w:rPr>
        <w:footnoteRef/>
      </w:r>
      <w:r w:rsidRPr="00587FE3">
        <w:t xml:space="preserve"> See PUCT (201</w:t>
      </w:r>
      <w:r>
        <w:t>9a</w:t>
      </w:r>
      <w:r w:rsidRPr="00587FE3">
        <w:t>).</w:t>
      </w:r>
    </w:p>
  </w:footnote>
  <w:footnote w:id="64">
    <w:p w14:paraId="71645EEA" w14:textId="26885911" w:rsidR="003B5525" w:rsidRDefault="003B5525" w:rsidP="00AB139A">
      <w:pPr>
        <w:pStyle w:val="FootnoteText"/>
        <w:jc w:val="both"/>
      </w:pPr>
      <w:r w:rsidRPr="00587FE3">
        <w:rPr>
          <w:rStyle w:val="FootnoteReference"/>
        </w:rPr>
        <w:footnoteRef/>
      </w:r>
      <w:r w:rsidRPr="00587FE3">
        <w:t xml:space="preserve"> See PUCT (201</w:t>
      </w:r>
      <w:r>
        <w:t>9a</w:t>
      </w:r>
      <w:r w:rsidRPr="00587FE3">
        <w:t>).</w:t>
      </w:r>
    </w:p>
  </w:footnote>
  <w:footnote w:id="65">
    <w:p w14:paraId="329A2647" w14:textId="260F7D4E" w:rsidR="003B5525" w:rsidRDefault="003B5525" w:rsidP="00AB139A">
      <w:pPr>
        <w:pStyle w:val="FootnoteText"/>
        <w:jc w:val="both"/>
      </w:pPr>
      <w:r w:rsidRPr="00AB139A">
        <w:rPr>
          <w:rStyle w:val="FootnoteReference"/>
        </w:rPr>
        <w:footnoteRef/>
      </w:r>
      <w:r w:rsidRPr="00AB139A">
        <w:t xml:space="preserve"> The PRC metric is calculated with some accounting nuances that make it a somewhat different number from the ORDC Spin x-axis, we do not consider these nuances in our modeling, for the formula for calculating PRC, see ERCOT (</w:t>
      </w:r>
      <w:r w:rsidRPr="00C75766">
        <w:t>2020d</w:t>
      </w:r>
      <w:r w:rsidRPr="00AB139A">
        <w:t>), Section 6.5.7.</w:t>
      </w:r>
    </w:p>
  </w:footnote>
  <w:footnote w:id="66">
    <w:p w14:paraId="5EBB4197" w14:textId="23A6F0DE" w:rsidR="003B5525" w:rsidRPr="00E456C6" w:rsidRDefault="003B5525" w:rsidP="00AB139A">
      <w:pPr>
        <w:pStyle w:val="FootnoteText"/>
        <w:jc w:val="both"/>
        <w:rPr>
          <w:color w:val="C00000"/>
        </w:rPr>
      </w:pPr>
      <w:r w:rsidRPr="00C75766">
        <w:rPr>
          <w:rStyle w:val="FootnoteReference"/>
        </w:rPr>
        <w:footnoteRef/>
      </w:r>
      <w:r w:rsidRPr="00C75766">
        <w:t xml:space="preserve"> See Section 6.5.9, </w:t>
      </w:r>
      <w:r w:rsidRPr="00587FE3">
        <w:t>ERCOT 2020d</w:t>
      </w:r>
      <w:r w:rsidRPr="00E456C6">
        <w:rPr>
          <w:color w:val="C00000"/>
        </w:rPr>
        <w:t xml:space="preserve">. </w:t>
      </w:r>
    </w:p>
  </w:footnote>
  <w:footnote w:id="67">
    <w:p w14:paraId="5CBC1BB8" w14:textId="031B7BD7" w:rsidR="003B5525" w:rsidRPr="00E456C6" w:rsidRDefault="003B5525" w:rsidP="00AB139A">
      <w:pPr>
        <w:pStyle w:val="FootnoteText"/>
        <w:jc w:val="both"/>
        <w:rPr>
          <w:color w:val="C00000"/>
        </w:rPr>
      </w:pPr>
      <w:r w:rsidRPr="00EF0925">
        <w:rPr>
          <w:rStyle w:val="FootnoteReference"/>
        </w:rPr>
        <w:footnoteRef/>
      </w:r>
      <w:r w:rsidRPr="00EF0925">
        <w:t xml:space="preserve"> This number excludes private use network resources, which we model separately as explained in Section </w:t>
      </w:r>
      <w:r w:rsidRPr="00EF0925">
        <w:fldChar w:fldCharType="begin"/>
      </w:r>
      <w:r w:rsidRPr="00EF0925">
        <w:instrText xml:space="preserve"> REF _Ref523220229 \w \h </w:instrText>
      </w:r>
      <w:r>
        <w:instrText xml:space="preserve"> \* MERGEFORMAT </w:instrText>
      </w:r>
      <w:r w:rsidRPr="00EF0925">
        <w:fldChar w:fldCharType="separate"/>
      </w:r>
      <w:r w:rsidRPr="00EF0925">
        <w:t>IV.B.3</w:t>
      </w:r>
      <w:r w:rsidRPr="00EF0925">
        <w:fldChar w:fldCharType="end"/>
      </w:r>
      <w:r w:rsidRPr="00EF0925">
        <w:t xml:space="preserve"> above.  </w:t>
      </w:r>
    </w:p>
  </w:footnote>
  <w:footnote w:id="68">
    <w:p w14:paraId="4FBA8082" w14:textId="3E924A53" w:rsidR="003B5525" w:rsidRPr="00A663C5" w:rsidRDefault="003B5525" w:rsidP="00AB139A">
      <w:pPr>
        <w:pStyle w:val="FootnoteText"/>
        <w:jc w:val="both"/>
      </w:pPr>
      <w:r w:rsidRPr="00A663C5">
        <w:rPr>
          <w:rStyle w:val="FootnoteReference"/>
        </w:rPr>
        <w:footnoteRef/>
      </w:r>
      <w:r w:rsidRPr="00A663C5">
        <w:t xml:space="preserve"> For a detailed explanation of ERCOT’s ORDC implementation see their whitepaper on the methodology for calculating ORDC at ERCOT (2013).</w:t>
      </w:r>
    </w:p>
  </w:footnote>
  <w:footnote w:id="69">
    <w:p w14:paraId="40E0EC85" w14:textId="0C9E9652" w:rsidR="003B5525" w:rsidRDefault="003B5525" w:rsidP="00AB139A">
      <w:pPr>
        <w:pStyle w:val="FootnoteText"/>
        <w:jc w:val="both"/>
      </w:pPr>
      <w:r w:rsidRPr="00A663C5">
        <w:rPr>
          <w:rStyle w:val="FootnoteReference"/>
        </w:rPr>
        <w:footnoteRef/>
      </w:r>
      <w:r w:rsidRPr="00A663C5">
        <w:t xml:space="preserve"> See ERCOT (2013).</w:t>
      </w:r>
    </w:p>
  </w:footnote>
  <w:footnote w:id="70">
    <w:p w14:paraId="0FDE765F" w14:textId="1D7694D3" w:rsidR="003B5525" w:rsidRPr="00835639" w:rsidRDefault="003B5525" w:rsidP="00AB139A">
      <w:pPr>
        <w:pStyle w:val="FootnoteText"/>
        <w:jc w:val="both"/>
      </w:pPr>
      <w:r w:rsidRPr="00A663C5">
        <w:rPr>
          <w:rStyle w:val="FootnoteReference"/>
        </w:rPr>
        <w:footnoteRef/>
      </w:r>
      <w:r w:rsidRPr="00A663C5">
        <w:t xml:space="preserve"> Note that the lost load implied by this function and caused by operating reserve scarcity is additive to the lost load that we report elsewhere in this study.  This is because the LOLP considered in ERCOT’s ORDC curve is caused by sub-hourly changes to supply and demand that can cause short-term scarcity and outages that are driven only by small quantities of operating reserves, but are not caused by an overall resource adequacy scarcity, which is the type of scarcity we model elsewhere in this study.  For simplicity and clarity, we refer to these reserve-related load-shedding events as “reserve scarcity costs” to distinguish them from the load shedding events caused by total supply scarcity.  We do not independently review here ERCOT’s approach to calculating LOLP, but instead take this function as an accurate representation of the impacts of running short of operating reserves.  We also do not change the ORDC when varying the VOLL in our model sensitivities. </w:t>
      </w:r>
    </w:p>
  </w:footnote>
  <w:footnote w:id="71">
    <w:p w14:paraId="646FDBFF" w14:textId="7C186F73" w:rsidR="003B5525" w:rsidRPr="0050215D" w:rsidRDefault="003B5525" w:rsidP="00AB139A">
      <w:pPr>
        <w:pStyle w:val="FootnoteText"/>
        <w:jc w:val="both"/>
        <w:rPr>
          <w:color w:val="C00000"/>
        </w:rPr>
      </w:pPr>
      <w:r w:rsidRPr="00835639">
        <w:rPr>
          <w:rStyle w:val="FootnoteReference"/>
        </w:rPr>
        <w:footnoteRef/>
      </w:r>
      <w:r w:rsidRPr="00835639">
        <w:t xml:space="preserve"> We assume that the CT reference unit is capable of providing non-spin from an offline position.</w:t>
      </w:r>
    </w:p>
  </w:footnote>
  <w:footnote w:id="72">
    <w:p w14:paraId="3257BC66" w14:textId="073B8A97" w:rsidR="003B5525" w:rsidRDefault="003B5525" w:rsidP="00AB139A">
      <w:pPr>
        <w:pStyle w:val="FootnoteText"/>
        <w:jc w:val="both"/>
      </w:pPr>
      <w:r w:rsidRPr="0029655A">
        <w:rPr>
          <w:rStyle w:val="FootnoteReference"/>
        </w:rPr>
        <w:footnoteRef/>
      </w:r>
      <w:r w:rsidRPr="0029655A">
        <w:t xml:space="preserve"> See ERCOT’s implementation in ERCOT (2013).</w:t>
      </w:r>
    </w:p>
  </w:footnote>
  <w:footnote w:id="73">
    <w:p w14:paraId="6AE36B12" w14:textId="7ECD6B4D" w:rsidR="003B5525" w:rsidRPr="00A663C5" w:rsidRDefault="003B5525" w:rsidP="00AB139A">
      <w:pPr>
        <w:pStyle w:val="FootnoteText"/>
        <w:jc w:val="both"/>
      </w:pPr>
      <w:r w:rsidRPr="00A663C5">
        <w:rPr>
          <w:rStyle w:val="FootnoteReference"/>
        </w:rPr>
        <w:footnoteRef/>
      </w:r>
      <w:r w:rsidRPr="00A663C5">
        <w:t xml:space="preserve"> Short-term resources are included in the week-ahead commitment algorithm, but their commitment schedule is not saved since it will be dynamically calculated in a shorter window.  But using short-lead resources in the week-ahead commitment allows them to affect the commitment of long-lead resources.</w:t>
      </w:r>
    </w:p>
  </w:footnote>
  <w:footnote w:id="74">
    <w:p w14:paraId="318F7F76" w14:textId="299A6A60" w:rsidR="003B5525" w:rsidRPr="00A663C5" w:rsidRDefault="003B5525" w:rsidP="00AB139A">
      <w:pPr>
        <w:pStyle w:val="FootnoteText"/>
        <w:jc w:val="both"/>
      </w:pPr>
      <w:r w:rsidRPr="00A663C5">
        <w:rPr>
          <w:rStyle w:val="FootnoteReference"/>
        </w:rPr>
        <w:footnoteRef/>
      </w:r>
      <w:r w:rsidRPr="00A663C5">
        <w:t xml:space="preserve"> These week-ahead and day-ahead commitment algorithms minimize cost subject to meeting load as well as ERCOT’s administratively-determined regulation up and spinning reserve targets, with non-spinning reserve targets not considered at the unit commitment phase.</w:t>
      </w:r>
    </w:p>
  </w:footnote>
  <w:footnote w:id="75">
    <w:p w14:paraId="69199753" w14:textId="4BCCB70E" w:rsidR="003B5525" w:rsidRPr="00587FE3" w:rsidRDefault="003B5525" w:rsidP="00AB139A">
      <w:pPr>
        <w:pStyle w:val="FootnoteText"/>
        <w:jc w:val="both"/>
      </w:pPr>
      <w:r w:rsidRPr="00587FE3">
        <w:rPr>
          <w:rStyle w:val="FootnoteReference"/>
        </w:rPr>
        <w:footnoteRef/>
      </w:r>
      <w:r w:rsidRPr="00587FE3">
        <w:t xml:space="preserve"> See ERCOT (2019b).</w:t>
      </w:r>
    </w:p>
  </w:footnote>
  <w:footnote w:id="76">
    <w:p w14:paraId="15CF339B" w14:textId="1C28B355" w:rsidR="003B5525" w:rsidRPr="0050215D" w:rsidRDefault="003B5525" w:rsidP="00AB139A">
      <w:pPr>
        <w:pStyle w:val="FootnoteText"/>
        <w:jc w:val="both"/>
        <w:rPr>
          <w:color w:val="C00000"/>
        </w:rPr>
      </w:pPr>
      <w:r w:rsidRPr="00587FE3">
        <w:rPr>
          <w:rStyle w:val="FootnoteReference"/>
        </w:rPr>
        <w:footnoteRef/>
      </w:r>
      <w:r w:rsidRPr="00587FE3">
        <w:t xml:space="preserve"> See ERCOT (2019b).</w:t>
      </w:r>
    </w:p>
  </w:footnote>
  <w:footnote w:id="77">
    <w:p w14:paraId="48FB7CBA" w14:textId="6E9CBB0B" w:rsidR="003B5525" w:rsidRPr="0050215D" w:rsidRDefault="003B5525" w:rsidP="00AB139A">
      <w:pPr>
        <w:pStyle w:val="FootnoteText"/>
        <w:jc w:val="both"/>
        <w:rPr>
          <w:color w:val="C00000"/>
        </w:rPr>
      </w:pPr>
      <w:r w:rsidRPr="00A663C5">
        <w:rPr>
          <w:rStyle w:val="FootnoteReference"/>
        </w:rPr>
        <w:footnoteRef/>
      </w:r>
      <w:r w:rsidRPr="00A663C5">
        <w:t xml:space="preserve"> Once the PNM is exceeded and the PBPC is reduced, these prices are no longer reflective of marginal cost but are instead lower than marginal cost at regulation shortage quantities greater than 40 MW. </w:t>
      </w:r>
    </w:p>
  </w:footnote>
  <w:footnote w:id="78">
    <w:p w14:paraId="72ECC6FB" w14:textId="752B6139" w:rsidR="003B5525" w:rsidRDefault="003B5525" w:rsidP="00AB139A">
      <w:pPr>
        <w:pStyle w:val="FootnoteText"/>
        <w:jc w:val="both"/>
      </w:pPr>
      <w:r w:rsidRPr="00587FE3">
        <w:rPr>
          <w:rStyle w:val="FootnoteReference"/>
        </w:rPr>
        <w:footnoteRef/>
      </w:r>
      <w:r w:rsidRPr="00587FE3">
        <w:t xml:space="preserve"> See ERCOT (2019b).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8FB24" w14:textId="3948BDFD" w:rsidR="00B4381F" w:rsidRDefault="00B438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F2281" w14:textId="36AD62DC" w:rsidR="00B4381F" w:rsidRDefault="00B438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BB20C" w14:textId="51E780E5" w:rsidR="00B4381F" w:rsidRDefault="00B438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BAD73" w14:textId="543A160E" w:rsidR="00B4381F" w:rsidRDefault="00B4381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BC7F1" w14:textId="536D0096" w:rsidR="00B4381F" w:rsidRDefault="00B438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CF2B2" w14:textId="34B6647E" w:rsidR="00B4381F" w:rsidRDefault="00B438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3508"/>
    <w:multiLevelType w:val="hybridMultilevel"/>
    <w:tmpl w:val="FE989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66308"/>
    <w:multiLevelType w:val="hybridMultilevel"/>
    <w:tmpl w:val="DE666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B1222"/>
    <w:multiLevelType w:val="hybridMultilevel"/>
    <w:tmpl w:val="65804E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40A03"/>
    <w:multiLevelType w:val="hybridMultilevel"/>
    <w:tmpl w:val="921E1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00603"/>
    <w:multiLevelType w:val="hybridMultilevel"/>
    <w:tmpl w:val="9BF6D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A7B22"/>
    <w:multiLevelType w:val="multilevel"/>
    <w:tmpl w:val="A98AB196"/>
    <w:styleLink w:val="HeadingOutline"/>
    <w:lvl w:ilvl="0">
      <w:start w:val="1"/>
      <w:numFmt w:val="upperRoman"/>
      <w:lvlText w:val="%1."/>
      <w:lvlJc w:val="left"/>
      <w:pPr>
        <w:ind w:left="547" w:hanging="547"/>
      </w:pPr>
      <w:rPr>
        <w:rFonts w:ascii="Century Gothic" w:hAnsi="Century Gothic" w:hint="default"/>
        <w:b/>
        <w:i w:val="0"/>
        <w:color w:val="00467F"/>
        <w:sz w:val="28"/>
      </w:rPr>
    </w:lvl>
    <w:lvl w:ilvl="1">
      <w:start w:val="1"/>
      <w:numFmt w:val="upperLetter"/>
      <w:lvlText w:val="%2."/>
      <w:lvlJc w:val="left"/>
      <w:pPr>
        <w:ind w:left="1094" w:hanging="547"/>
      </w:pPr>
      <w:rPr>
        <w:rFonts w:ascii="Century Gothic" w:hAnsi="Century Gothic" w:hint="default"/>
        <w:b/>
        <w:i w:val="0"/>
        <w:color w:val="00467F"/>
        <w:sz w:val="26"/>
      </w:rPr>
    </w:lvl>
    <w:lvl w:ilvl="2">
      <w:start w:val="1"/>
      <w:numFmt w:val="decimal"/>
      <w:lvlText w:val="%3."/>
      <w:lvlJc w:val="left"/>
      <w:pPr>
        <w:ind w:left="1641" w:hanging="547"/>
      </w:pPr>
      <w:rPr>
        <w:rFonts w:ascii="Century Gothic" w:hAnsi="Century Gothic" w:hint="default"/>
        <w:b/>
        <w:i w:val="0"/>
        <w:color w:val="00467F"/>
        <w:sz w:val="24"/>
      </w:rPr>
    </w:lvl>
    <w:lvl w:ilvl="3">
      <w:start w:val="1"/>
      <w:numFmt w:val="lowerLetter"/>
      <w:lvlText w:val="%4."/>
      <w:lvlJc w:val="left"/>
      <w:pPr>
        <w:ind w:left="2188" w:hanging="547"/>
      </w:pPr>
      <w:rPr>
        <w:rFonts w:ascii="Century Gothic" w:hAnsi="Century Gothic" w:hint="default"/>
        <w:b/>
        <w:i/>
        <w:color w:val="00467F"/>
        <w:sz w:val="23"/>
      </w:rPr>
    </w:lvl>
    <w:lvl w:ilvl="4">
      <w:start w:val="1"/>
      <w:numFmt w:val="decimal"/>
      <w:lvlText w:val="Appendix %5:"/>
      <w:lvlJc w:val="left"/>
      <w:pPr>
        <w:ind w:left="3780" w:hanging="720"/>
      </w:pPr>
      <w:rPr>
        <w:rFonts w:ascii="Century Gothic" w:hAnsi="Century Gothic" w:hint="default"/>
        <w:b/>
        <w:i w:val="0"/>
        <w:color w:val="00467F"/>
        <w:sz w:val="28"/>
      </w:rPr>
    </w:lvl>
    <w:lvl w:ilvl="5">
      <w:start w:val="1"/>
      <w:numFmt w:val="none"/>
      <w:lvlText w:val=""/>
      <w:lvlJc w:val="left"/>
      <w:pPr>
        <w:ind w:left="3282" w:hanging="547"/>
      </w:pPr>
      <w:rPr>
        <w:rFonts w:hint="default"/>
      </w:rPr>
    </w:lvl>
    <w:lvl w:ilvl="6">
      <w:start w:val="1"/>
      <w:numFmt w:val="none"/>
      <w:lvlText w:val="%7"/>
      <w:lvlJc w:val="left"/>
      <w:pPr>
        <w:ind w:left="3829" w:hanging="547"/>
      </w:pPr>
      <w:rPr>
        <w:rFonts w:hint="default"/>
      </w:rPr>
    </w:lvl>
    <w:lvl w:ilvl="7">
      <w:start w:val="1"/>
      <w:numFmt w:val="none"/>
      <w:lvlText w:val="%8"/>
      <w:lvlJc w:val="left"/>
      <w:pPr>
        <w:ind w:left="4376" w:hanging="547"/>
      </w:pPr>
      <w:rPr>
        <w:rFonts w:hint="default"/>
      </w:rPr>
    </w:lvl>
    <w:lvl w:ilvl="8">
      <w:start w:val="1"/>
      <w:numFmt w:val="none"/>
      <w:lvlText w:val="%9"/>
      <w:lvlJc w:val="left"/>
      <w:pPr>
        <w:ind w:left="4923" w:hanging="547"/>
      </w:pPr>
      <w:rPr>
        <w:rFonts w:hint="default"/>
      </w:rPr>
    </w:lvl>
  </w:abstractNum>
  <w:abstractNum w:abstractNumId="6" w15:restartNumberingAfterBreak="0">
    <w:nsid w:val="0B7248E1"/>
    <w:multiLevelType w:val="hybridMultilevel"/>
    <w:tmpl w:val="94CCC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D598F"/>
    <w:multiLevelType w:val="hybridMultilevel"/>
    <w:tmpl w:val="2244CE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E465801"/>
    <w:multiLevelType w:val="hybridMultilevel"/>
    <w:tmpl w:val="F35001BE"/>
    <w:lvl w:ilvl="0" w:tplc="2684DD14">
      <w:start w:val="1"/>
      <w:numFmt w:val="bullet"/>
      <w:lvlText w:val=""/>
      <w:lvlJc w:val="left"/>
      <w:pPr>
        <w:tabs>
          <w:tab w:val="num" w:pos="720"/>
        </w:tabs>
        <w:ind w:left="720" w:hanging="360"/>
      </w:pPr>
      <w:rPr>
        <w:rFonts w:ascii="Wingdings" w:hAnsi="Wingdings" w:hint="default"/>
      </w:rPr>
    </w:lvl>
    <w:lvl w:ilvl="1" w:tplc="09D0B62A">
      <w:start w:val="1"/>
      <w:numFmt w:val="bullet"/>
      <w:lvlText w:val=""/>
      <w:lvlJc w:val="left"/>
      <w:pPr>
        <w:tabs>
          <w:tab w:val="num" w:pos="1440"/>
        </w:tabs>
        <w:ind w:left="1440" w:hanging="360"/>
      </w:pPr>
      <w:rPr>
        <w:rFonts w:ascii="Wingdings" w:hAnsi="Wingdings" w:hint="default"/>
      </w:rPr>
    </w:lvl>
    <w:lvl w:ilvl="2" w:tplc="EEE2E632" w:tentative="1">
      <w:start w:val="1"/>
      <w:numFmt w:val="bullet"/>
      <w:lvlText w:val=""/>
      <w:lvlJc w:val="left"/>
      <w:pPr>
        <w:tabs>
          <w:tab w:val="num" w:pos="2160"/>
        </w:tabs>
        <w:ind w:left="2160" w:hanging="360"/>
      </w:pPr>
      <w:rPr>
        <w:rFonts w:ascii="Wingdings" w:hAnsi="Wingdings" w:hint="default"/>
      </w:rPr>
    </w:lvl>
    <w:lvl w:ilvl="3" w:tplc="8FE82896" w:tentative="1">
      <w:start w:val="1"/>
      <w:numFmt w:val="bullet"/>
      <w:lvlText w:val=""/>
      <w:lvlJc w:val="left"/>
      <w:pPr>
        <w:tabs>
          <w:tab w:val="num" w:pos="2880"/>
        </w:tabs>
        <w:ind w:left="2880" w:hanging="360"/>
      </w:pPr>
      <w:rPr>
        <w:rFonts w:ascii="Wingdings" w:hAnsi="Wingdings" w:hint="default"/>
      </w:rPr>
    </w:lvl>
    <w:lvl w:ilvl="4" w:tplc="52AAC17E" w:tentative="1">
      <w:start w:val="1"/>
      <w:numFmt w:val="bullet"/>
      <w:lvlText w:val=""/>
      <w:lvlJc w:val="left"/>
      <w:pPr>
        <w:tabs>
          <w:tab w:val="num" w:pos="3600"/>
        </w:tabs>
        <w:ind w:left="3600" w:hanging="360"/>
      </w:pPr>
      <w:rPr>
        <w:rFonts w:ascii="Wingdings" w:hAnsi="Wingdings" w:hint="default"/>
      </w:rPr>
    </w:lvl>
    <w:lvl w:ilvl="5" w:tplc="A66A990E" w:tentative="1">
      <w:start w:val="1"/>
      <w:numFmt w:val="bullet"/>
      <w:lvlText w:val=""/>
      <w:lvlJc w:val="left"/>
      <w:pPr>
        <w:tabs>
          <w:tab w:val="num" w:pos="4320"/>
        </w:tabs>
        <w:ind w:left="4320" w:hanging="360"/>
      </w:pPr>
      <w:rPr>
        <w:rFonts w:ascii="Wingdings" w:hAnsi="Wingdings" w:hint="default"/>
      </w:rPr>
    </w:lvl>
    <w:lvl w:ilvl="6" w:tplc="546E4FD8" w:tentative="1">
      <w:start w:val="1"/>
      <w:numFmt w:val="bullet"/>
      <w:lvlText w:val=""/>
      <w:lvlJc w:val="left"/>
      <w:pPr>
        <w:tabs>
          <w:tab w:val="num" w:pos="5040"/>
        </w:tabs>
        <w:ind w:left="5040" w:hanging="360"/>
      </w:pPr>
      <w:rPr>
        <w:rFonts w:ascii="Wingdings" w:hAnsi="Wingdings" w:hint="default"/>
      </w:rPr>
    </w:lvl>
    <w:lvl w:ilvl="7" w:tplc="AA0060BE" w:tentative="1">
      <w:start w:val="1"/>
      <w:numFmt w:val="bullet"/>
      <w:lvlText w:val=""/>
      <w:lvlJc w:val="left"/>
      <w:pPr>
        <w:tabs>
          <w:tab w:val="num" w:pos="5760"/>
        </w:tabs>
        <w:ind w:left="5760" w:hanging="360"/>
      </w:pPr>
      <w:rPr>
        <w:rFonts w:ascii="Wingdings" w:hAnsi="Wingdings" w:hint="default"/>
      </w:rPr>
    </w:lvl>
    <w:lvl w:ilvl="8" w:tplc="CDF02A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B44513"/>
    <w:multiLevelType w:val="hybridMultilevel"/>
    <w:tmpl w:val="F46E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3621CE"/>
    <w:multiLevelType w:val="multilevel"/>
    <w:tmpl w:val="541402F4"/>
    <w:styleLink w:val="OutlineOnly-NoHeadings"/>
    <w:lvl w:ilvl="0">
      <w:start w:val="1"/>
      <w:numFmt w:val="upperRoman"/>
      <w:lvlText w:val="%1."/>
      <w:lvlJc w:val="left"/>
      <w:pPr>
        <w:ind w:left="360" w:hanging="360"/>
      </w:pPr>
      <w:rPr>
        <w:rFonts w:ascii="Century Gothic" w:hAnsi="Century Gothic" w:hint="default"/>
        <w:color w:val="auto"/>
        <w:sz w:val="28"/>
      </w:rPr>
    </w:lvl>
    <w:lvl w:ilvl="1">
      <w:start w:val="1"/>
      <w:numFmt w:val="upperLetter"/>
      <w:lvlText w:val="%2."/>
      <w:lvlJc w:val="left"/>
      <w:pPr>
        <w:ind w:left="720" w:hanging="360"/>
      </w:pPr>
      <w:rPr>
        <w:rFonts w:ascii="Century Gothic" w:hAnsi="Century Gothic" w:hint="default"/>
        <w:b w:val="0"/>
        <w:i w:val="0"/>
        <w:color w:val="auto"/>
        <w:sz w:val="26"/>
      </w:rPr>
    </w:lvl>
    <w:lvl w:ilvl="2">
      <w:start w:val="1"/>
      <w:numFmt w:val="decimal"/>
      <w:lvlText w:val="%3."/>
      <w:lvlJc w:val="left"/>
      <w:pPr>
        <w:ind w:left="1080" w:hanging="360"/>
      </w:pPr>
      <w:rPr>
        <w:rFonts w:ascii="Century Gothic" w:hAnsi="Century Gothic" w:hint="default"/>
        <w:b w:val="0"/>
        <w:i w:val="0"/>
        <w:color w:val="auto"/>
        <w:sz w:val="24"/>
      </w:rPr>
    </w:lvl>
    <w:lvl w:ilvl="3">
      <w:start w:val="1"/>
      <w:numFmt w:val="lowerLetter"/>
      <w:lvlText w:val="%4."/>
      <w:lvlJc w:val="left"/>
      <w:pPr>
        <w:ind w:left="1440" w:hanging="360"/>
      </w:pPr>
      <w:rPr>
        <w:rFonts w:ascii="Century Gothic" w:hAnsi="Century Gothic" w:hint="default"/>
        <w:b w:val="0"/>
        <w:i w:val="0"/>
        <w:color w:val="auto"/>
        <w:sz w:val="23"/>
      </w:rPr>
    </w:lvl>
    <w:lvl w:ilvl="4">
      <w:start w:val="1"/>
      <w:numFmt w:val="lowerRoman"/>
      <w:lvlText w:val="%5."/>
      <w:lvlJc w:val="left"/>
      <w:pPr>
        <w:ind w:left="1800" w:hanging="360"/>
      </w:pPr>
      <w:rPr>
        <w:rFonts w:ascii="Century Gothic" w:hAnsi="Century Gothic" w:hint="default"/>
        <w:b w:val="0"/>
        <w:i w:val="0"/>
        <w:color w:val="auto"/>
        <w:sz w:val="23"/>
      </w:rPr>
    </w:lvl>
    <w:lvl w:ilvl="5">
      <w:start w:val="1"/>
      <w:numFmt w:val="lowerLetter"/>
      <w:lvlText w:val="(%6)"/>
      <w:lvlJc w:val="left"/>
      <w:pPr>
        <w:ind w:left="2160" w:hanging="360"/>
      </w:pPr>
      <w:rPr>
        <w:rFonts w:ascii="Century Gothic" w:hAnsi="Century Gothic" w:hint="default"/>
        <w:b w:val="0"/>
        <w:i w:val="0"/>
        <w:color w:val="auto"/>
        <w:sz w:val="23"/>
      </w:rPr>
    </w:lvl>
    <w:lvl w:ilvl="6">
      <w:start w:val="1"/>
      <w:numFmt w:val="decimal"/>
      <w:lvlText w:val="(%7)"/>
      <w:lvlJc w:val="left"/>
      <w:pPr>
        <w:ind w:left="2520" w:hanging="360"/>
      </w:pPr>
      <w:rPr>
        <w:rFonts w:ascii="Century Gothic" w:hAnsi="Century Gothic" w:hint="default"/>
        <w:b w:val="0"/>
        <w:i w:val="0"/>
        <w:color w:val="auto"/>
        <w:sz w:val="23"/>
      </w:rPr>
    </w:lvl>
    <w:lvl w:ilvl="7">
      <w:start w:val="1"/>
      <w:numFmt w:val="lowerLetter"/>
      <w:lvlText w:val="%8)"/>
      <w:lvlJc w:val="left"/>
      <w:pPr>
        <w:ind w:left="2880" w:hanging="360"/>
      </w:pPr>
      <w:rPr>
        <w:rFonts w:ascii="Century Gothic" w:hAnsi="Century Gothic" w:hint="default"/>
        <w:b w:val="0"/>
        <w:i w:val="0"/>
        <w:color w:val="auto"/>
        <w:sz w:val="23"/>
      </w:rPr>
    </w:lvl>
    <w:lvl w:ilvl="8">
      <w:start w:val="1"/>
      <w:numFmt w:val="lowerRoman"/>
      <w:lvlText w:val="%9)"/>
      <w:lvlJc w:val="left"/>
      <w:pPr>
        <w:ind w:left="3240" w:hanging="360"/>
      </w:pPr>
      <w:rPr>
        <w:rFonts w:ascii="Century Gothic" w:hAnsi="Century Gothic" w:hint="default"/>
        <w:b w:val="0"/>
        <w:i w:val="0"/>
        <w:color w:val="auto"/>
        <w:sz w:val="23"/>
      </w:rPr>
    </w:lvl>
  </w:abstractNum>
  <w:abstractNum w:abstractNumId="11" w15:restartNumberingAfterBreak="0">
    <w:nsid w:val="146516EB"/>
    <w:multiLevelType w:val="hybridMultilevel"/>
    <w:tmpl w:val="15DE6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5852C9"/>
    <w:multiLevelType w:val="hybridMultilevel"/>
    <w:tmpl w:val="4A40E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95306"/>
    <w:multiLevelType w:val="hybridMultilevel"/>
    <w:tmpl w:val="0BE80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717EDF"/>
    <w:multiLevelType w:val="hybridMultilevel"/>
    <w:tmpl w:val="1EC6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010ED"/>
    <w:multiLevelType w:val="hybridMultilevel"/>
    <w:tmpl w:val="26FABE3E"/>
    <w:lvl w:ilvl="0" w:tplc="4BD45CB0">
      <w:start w:val="1"/>
      <w:numFmt w:val="decimal"/>
      <w:pStyle w:val="BGNumberedList"/>
      <w:lvlText w:val="%1."/>
      <w:lvlJc w:val="left"/>
      <w:pPr>
        <w:ind w:left="720" w:hanging="360"/>
      </w:pPr>
      <w:rPr>
        <w:rFonts w:ascii="Sylfaen" w:hAnsi="Sylfaen" w:hint="default"/>
        <w:b w:val="0"/>
        <w:i w:val="0"/>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26171"/>
    <w:multiLevelType w:val="hybridMultilevel"/>
    <w:tmpl w:val="F606090A"/>
    <w:lvl w:ilvl="0" w:tplc="4CD63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5C6589"/>
    <w:multiLevelType w:val="hybridMultilevel"/>
    <w:tmpl w:val="07AC9E60"/>
    <w:lvl w:ilvl="0" w:tplc="6BA63D82">
      <w:start w:val="1"/>
      <w:numFmt w:val="bullet"/>
      <w:pStyle w:val="List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8" w15:restartNumberingAfterBreak="0">
    <w:nsid w:val="3ADA0B4D"/>
    <w:multiLevelType w:val="multilevel"/>
    <w:tmpl w:val="12F828FA"/>
    <w:styleLink w:val="UKHeadingOutline"/>
    <w:lvl w:ilvl="0">
      <w:start w:val="1"/>
      <w:numFmt w:val="upperRoman"/>
      <w:lvlText w:val="%1."/>
      <w:lvlJc w:val="left"/>
      <w:pPr>
        <w:ind w:left="547" w:hanging="547"/>
      </w:pPr>
      <w:rPr>
        <w:rFonts w:ascii="Century Gothic" w:hAnsi="Century Gothic" w:hint="default"/>
        <w:b/>
        <w:i w:val="0"/>
        <w:color w:val="00467F"/>
        <w:sz w:val="28"/>
      </w:rPr>
    </w:lvl>
    <w:lvl w:ilvl="1">
      <w:start w:val="1"/>
      <w:numFmt w:val="upperLetter"/>
      <w:lvlText w:val="%1.%2."/>
      <w:lvlJc w:val="left"/>
      <w:pPr>
        <w:tabs>
          <w:tab w:val="num" w:pos="1094"/>
        </w:tabs>
        <w:ind w:left="1094" w:hanging="547"/>
      </w:pPr>
      <w:rPr>
        <w:rFonts w:ascii="Century Gothic" w:hAnsi="Century Gothic" w:hint="default"/>
        <w:b/>
        <w:i w:val="0"/>
        <w:color w:val="00467F"/>
        <w:sz w:val="26"/>
      </w:rPr>
    </w:lvl>
    <w:lvl w:ilvl="2">
      <w:start w:val="1"/>
      <w:numFmt w:val="decimal"/>
      <w:lvlText w:val="%1.%2.%3."/>
      <w:lvlJc w:val="left"/>
      <w:pPr>
        <w:tabs>
          <w:tab w:val="num" w:pos="1642"/>
        </w:tabs>
        <w:ind w:left="1641" w:hanging="547"/>
      </w:pPr>
      <w:rPr>
        <w:rFonts w:ascii="Century Gothic" w:hAnsi="Century Gothic" w:hint="default"/>
        <w:b/>
        <w:i w:val="0"/>
        <w:color w:val="00467F"/>
        <w:sz w:val="24"/>
      </w:rPr>
    </w:lvl>
    <w:lvl w:ilvl="3">
      <w:start w:val="1"/>
      <w:numFmt w:val="lowerLetter"/>
      <w:lvlText w:val="%1.%2.%3.%4."/>
      <w:lvlJc w:val="left"/>
      <w:pPr>
        <w:tabs>
          <w:tab w:val="num" w:pos="2189"/>
        </w:tabs>
        <w:ind w:left="2188" w:hanging="547"/>
      </w:pPr>
      <w:rPr>
        <w:rFonts w:ascii="Century Gothic" w:hAnsi="Century Gothic" w:hint="default"/>
        <w:b/>
        <w:i/>
        <w:color w:val="00467F"/>
        <w:sz w:val="23"/>
      </w:rPr>
    </w:lvl>
    <w:lvl w:ilvl="4">
      <w:start w:val="1"/>
      <w:numFmt w:val="none"/>
      <w:lvlText w:val=""/>
      <w:lvlJc w:val="left"/>
      <w:pPr>
        <w:ind w:left="2735" w:hanging="547"/>
      </w:pPr>
      <w:rPr>
        <w:rFonts w:hint="default"/>
      </w:rPr>
    </w:lvl>
    <w:lvl w:ilvl="5">
      <w:start w:val="1"/>
      <w:numFmt w:val="none"/>
      <w:lvlText w:val=""/>
      <w:lvlJc w:val="left"/>
      <w:pPr>
        <w:ind w:left="3282" w:hanging="547"/>
      </w:pPr>
      <w:rPr>
        <w:rFonts w:hint="default"/>
      </w:rPr>
    </w:lvl>
    <w:lvl w:ilvl="6">
      <w:start w:val="1"/>
      <w:numFmt w:val="none"/>
      <w:lvlText w:val="%7"/>
      <w:lvlJc w:val="left"/>
      <w:pPr>
        <w:ind w:left="3829" w:hanging="547"/>
      </w:pPr>
      <w:rPr>
        <w:rFonts w:hint="default"/>
      </w:rPr>
    </w:lvl>
    <w:lvl w:ilvl="7">
      <w:start w:val="1"/>
      <w:numFmt w:val="none"/>
      <w:lvlText w:val=""/>
      <w:lvlJc w:val="left"/>
      <w:pPr>
        <w:ind w:left="4376" w:hanging="547"/>
      </w:pPr>
      <w:rPr>
        <w:rFonts w:hint="default"/>
      </w:rPr>
    </w:lvl>
    <w:lvl w:ilvl="8">
      <w:start w:val="1"/>
      <w:numFmt w:val="none"/>
      <w:lvlText w:val=""/>
      <w:lvlJc w:val="left"/>
      <w:pPr>
        <w:ind w:left="4923" w:hanging="547"/>
      </w:pPr>
      <w:rPr>
        <w:rFonts w:hint="default"/>
      </w:rPr>
    </w:lvl>
  </w:abstractNum>
  <w:abstractNum w:abstractNumId="19" w15:restartNumberingAfterBreak="0">
    <w:nsid w:val="453E0E2D"/>
    <w:multiLevelType w:val="hybridMultilevel"/>
    <w:tmpl w:val="2AF20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8660C"/>
    <w:multiLevelType w:val="hybridMultilevel"/>
    <w:tmpl w:val="7E9C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CE31AF"/>
    <w:multiLevelType w:val="hybridMultilevel"/>
    <w:tmpl w:val="8EA4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B24776"/>
    <w:multiLevelType w:val="hybridMultilevel"/>
    <w:tmpl w:val="703C1A8E"/>
    <w:lvl w:ilvl="0" w:tplc="DEB67258">
      <w:start w:val="1"/>
      <w:numFmt w:val="decimal"/>
      <w:pStyle w:val="BG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39080B"/>
    <w:multiLevelType w:val="hybridMultilevel"/>
    <w:tmpl w:val="C700E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81ABE"/>
    <w:multiLevelType w:val="multilevel"/>
    <w:tmpl w:val="B232A776"/>
    <w:styleLink w:val="BlueBullets"/>
    <w:lvl w:ilvl="0">
      <w:start w:val="1"/>
      <w:numFmt w:val="bullet"/>
      <w:pStyle w:val="BGBulletedLis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25" w15:restartNumberingAfterBreak="0">
    <w:nsid w:val="666C08F7"/>
    <w:multiLevelType w:val="hybridMultilevel"/>
    <w:tmpl w:val="65804E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88167C"/>
    <w:multiLevelType w:val="hybridMultilevel"/>
    <w:tmpl w:val="15DE6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264753"/>
    <w:multiLevelType w:val="hybridMultilevel"/>
    <w:tmpl w:val="0DC6C5A8"/>
    <w:lvl w:ilvl="0" w:tplc="073CDE62">
      <w:start w:val="1"/>
      <w:numFmt w:val="bullet"/>
      <w:lvlText w:val=""/>
      <w:lvlJc w:val="left"/>
      <w:pPr>
        <w:ind w:left="720" w:hanging="360"/>
      </w:pPr>
      <w:rPr>
        <w:rFonts w:ascii="Symbol" w:hAnsi="Symbol" w:hint="default"/>
        <w:color w:val="00467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C64AFE"/>
    <w:multiLevelType w:val="hybridMultilevel"/>
    <w:tmpl w:val="9FCE3B22"/>
    <w:lvl w:ilvl="0" w:tplc="A1888A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957289"/>
    <w:multiLevelType w:val="hybridMultilevel"/>
    <w:tmpl w:val="A77C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C0231"/>
    <w:multiLevelType w:val="hybridMultilevel"/>
    <w:tmpl w:val="7C4C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15"/>
  </w:num>
  <w:num w:numId="4">
    <w:abstractNumId w:val="22"/>
  </w:num>
  <w:num w:numId="5">
    <w:abstractNumId w:val="24"/>
  </w:num>
  <w:num w:numId="6">
    <w:abstractNumId w:val="10"/>
  </w:num>
  <w:num w:numId="7">
    <w:abstractNumId w:val="5"/>
  </w:num>
  <w:num w:numId="8">
    <w:abstractNumId w:val="18"/>
  </w:num>
  <w:num w:numId="9">
    <w:abstractNumId w:val="16"/>
  </w:num>
  <w:num w:numId="10">
    <w:abstractNumId w:val="28"/>
  </w:num>
  <w:num w:numId="11">
    <w:abstractNumId w:val="2"/>
  </w:num>
  <w:num w:numId="12">
    <w:abstractNumId w:val="13"/>
  </w:num>
  <w:num w:numId="13">
    <w:abstractNumId w:val="20"/>
  </w:num>
  <w:num w:numId="14">
    <w:abstractNumId w:val="4"/>
  </w:num>
  <w:num w:numId="15">
    <w:abstractNumId w:val="6"/>
  </w:num>
  <w:num w:numId="16">
    <w:abstractNumId w:val="9"/>
  </w:num>
  <w:num w:numId="17">
    <w:abstractNumId w:val="19"/>
  </w:num>
  <w:num w:numId="18">
    <w:abstractNumId w:val="1"/>
  </w:num>
  <w:num w:numId="19">
    <w:abstractNumId w:val="12"/>
  </w:num>
  <w:num w:numId="20">
    <w:abstractNumId w:val="23"/>
  </w:num>
  <w:num w:numId="21">
    <w:abstractNumId w:val="0"/>
  </w:num>
  <w:num w:numId="22">
    <w:abstractNumId w:val="26"/>
  </w:num>
  <w:num w:numId="23">
    <w:abstractNumId w:val="30"/>
  </w:num>
  <w:num w:numId="24">
    <w:abstractNumId w:val="11"/>
  </w:num>
  <w:num w:numId="25">
    <w:abstractNumId w:val="25"/>
  </w:num>
  <w:num w:numId="26">
    <w:abstractNumId w:val="29"/>
  </w:num>
  <w:num w:numId="27">
    <w:abstractNumId w:val="7"/>
  </w:num>
  <w:num w:numId="28">
    <w:abstractNumId w:val="21"/>
  </w:num>
  <w:num w:numId="29">
    <w:abstractNumId w:val="3"/>
  </w:num>
  <w:num w:numId="30">
    <w:abstractNumId w:val="8"/>
  </w:num>
  <w:num w:numId="31">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attachedTemplate r:id="rId1"/>
  <w:defaultTabStop w:val="708"/>
  <w:hyphenationZone w:val="425"/>
  <w:characterSpacingControl w:val="doNotCompress"/>
  <w:hdrShapeDefaults>
    <o:shapedefaults v:ext="edit" spidmax="61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583"/>
    <w:rsid w:val="00004718"/>
    <w:rsid w:val="00005E8D"/>
    <w:rsid w:val="000072A6"/>
    <w:rsid w:val="000101DE"/>
    <w:rsid w:val="00010354"/>
    <w:rsid w:val="00010E75"/>
    <w:rsid w:val="00012657"/>
    <w:rsid w:val="00016A75"/>
    <w:rsid w:val="00016A7D"/>
    <w:rsid w:val="00021345"/>
    <w:rsid w:val="000255D4"/>
    <w:rsid w:val="000257E7"/>
    <w:rsid w:val="000321B9"/>
    <w:rsid w:val="00032DED"/>
    <w:rsid w:val="00035B59"/>
    <w:rsid w:val="00042692"/>
    <w:rsid w:val="00043927"/>
    <w:rsid w:val="0004593E"/>
    <w:rsid w:val="00046728"/>
    <w:rsid w:val="0004730B"/>
    <w:rsid w:val="0004752B"/>
    <w:rsid w:val="000501D2"/>
    <w:rsid w:val="00050F70"/>
    <w:rsid w:val="000517D5"/>
    <w:rsid w:val="00054BB5"/>
    <w:rsid w:val="000565D6"/>
    <w:rsid w:val="00056C7E"/>
    <w:rsid w:val="00057DFE"/>
    <w:rsid w:val="00060ADC"/>
    <w:rsid w:val="00061DA1"/>
    <w:rsid w:val="00061F1E"/>
    <w:rsid w:val="00062D0C"/>
    <w:rsid w:val="00065401"/>
    <w:rsid w:val="00066549"/>
    <w:rsid w:val="0007033C"/>
    <w:rsid w:val="00070F55"/>
    <w:rsid w:val="000740A4"/>
    <w:rsid w:val="00077409"/>
    <w:rsid w:val="00077F4E"/>
    <w:rsid w:val="00080461"/>
    <w:rsid w:val="00081655"/>
    <w:rsid w:val="00082ADF"/>
    <w:rsid w:val="00084B9A"/>
    <w:rsid w:val="0009094A"/>
    <w:rsid w:val="0009335C"/>
    <w:rsid w:val="0009357D"/>
    <w:rsid w:val="00093E73"/>
    <w:rsid w:val="00097924"/>
    <w:rsid w:val="00097C03"/>
    <w:rsid w:val="000A573E"/>
    <w:rsid w:val="000A7ED8"/>
    <w:rsid w:val="000B05D6"/>
    <w:rsid w:val="000B48EC"/>
    <w:rsid w:val="000B5563"/>
    <w:rsid w:val="000B62E4"/>
    <w:rsid w:val="000C1C90"/>
    <w:rsid w:val="000C1E59"/>
    <w:rsid w:val="000C2286"/>
    <w:rsid w:val="000C56C5"/>
    <w:rsid w:val="000C79EF"/>
    <w:rsid w:val="000D49BC"/>
    <w:rsid w:val="000D61E5"/>
    <w:rsid w:val="000E0183"/>
    <w:rsid w:val="000E298D"/>
    <w:rsid w:val="000E3F8E"/>
    <w:rsid w:val="000E42C4"/>
    <w:rsid w:val="000E5BF0"/>
    <w:rsid w:val="000E6712"/>
    <w:rsid w:val="000E79AA"/>
    <w:rsid w:val="000E7D7E"/>
    <w:rsid w:val="000F0C8B"/>
    <w:rsid w:val="000F7E2F"/>
    <w:rsid w:val="00100729"/>
    <w:rsid w:val="00100DD7"/>
    <w:rsid w:val="00101B0D"/>
    <w:rsid w:val="00102A8F"/>
    <w:rsid w:val="00102F41"/>
    <w:rsid w:val="00104318"/>
    <w:rsid w:val="001043F5"/>
    <w:rsid w:val="001049B1"/>
    <w:rsid w:val="00107FB9"/>
    <w:rsid w:val="00112EF4"/>
    <w:rsid w:val="001172D3"/>
    <w:rsid w:val="001300D3"/>
    <w:rsid w:val="00132D4F"/>
    <w:rsid w:val="00133AC1"/>
    <w:rsid w:val="00136CBE"/>
    <w:rsid w:val="001420D7"/>
    <w:rsid w:val="001421B9"/>
    <w:rsid w:val="00142D1C"/>
    <w:rsid w:val="001477DB"/>
    <w:rsid w:val="00150CFE"/>
    <w:rsid w:val="0015206F"/>
    <w:rsid w:val="00156434"/>
    <w:rsid w:val="00157EC1"/>
    <w:rsid w:val="00160654"/>
    <w:rsid w:val="001617BD"/>
    <w:rsid w:val="00161AC8"/>
    <w:rsid w:val="0016284A"/>
    <w:rsid w:val="00162B99"/>
    <w:rsid w:val="00165615"/>
    <w:rsid w:val="00167A1B"/>
    <w:rsid w:val="0017082F"/>
    <w:rsid w:val="0017190D"/>
    <w:rsid w:val="00171A39"/>
    <w:rsid w:val="001727E4"/>
    <w:rsid w:val="00172D10"/>
    <w:rsid w:val="0018504F"/>
    <w:rsid w:val="001862E4"/>
    <w:rsid w:val="00191EA9"/>
    <w:rsid w:val="001960D9"/>
    <w:rsid w:val="00197DD0"/>
    <w:rsid w:val="001A1988"/>
    <w:rsid w:val="001A284F"/>
    <w:rsid w:val="001A3404"/>
    <w:rsid w:val="001A4D82"/>
    <w:rsid w:val="001A5546"/>
    <w:rsid w:val="001A64FF"/>
    <w:rsid w:val="001A7D98"/>
    <w:rsid w:val="001B3476"/>
    <w:rsid w:val="001B79E5"/>
    <w:rsid w:val="001C5A6D"/>
    <w:rsid w:val="001C79ED"/>
    <w:rsid w:val="001D3DEE"/>
    <w:rsid w:val="001D56AB"/>
    <w:rsid w:val="001D5A45"/>
    <w:rsid w:val="001D663B"/>
    <w:rsid w:val="001E0599"/>
    <w:rsid w:val="001E3F85"/>
    <w:rsid w:val="001E6DDA"/>
    <w:rsid w:val="001F0F76"/>
    <w:rsid w:val="001F3488"/>
    <w:rsid w:val="001F3CCB"/>
    <w:rsid w:val="0020093E"/>
    <w:rsid w:val="00200E61"/>
    <w:rsid w:val="00202074"/>
    <w:rsid w:val="00204DA2"/>
    <w:rsid w:val="002119BF"/>
    <w:rsid w:val="00211ABA"/>
    <w:rsid w:val="00214983"/>
    <w:rsid w:val="00215DA3"/>
    <w:rsid w:val="00217792"/>
    <w:rsid w:val="00221031"/>
    <w:rsid w:val="002224CE"/>
    <w:rsid w:val="0022450D"/>
    <w:rsid w:val="0022613C"/>
    <w:rsid w:val="002276C0"/>
    <w:rsid w:val="00230F0B"/>
    <w:rsid w:val="00240AA1"/>
    <w:rsid w:val="00241E60"/>
    <w:rsid w:val="00242DFC"/>
    <w:rsid w:val="00244BE7"/>
    <w:rsid w:val="00246630"/>
    <w:rsid w:val="00253557"/>
    <w:rsid w:val="00253E3C"/>
    <w:rsid w:val="00255EFC"/>
    <w:rsid w:val="00262673"/>
    <w:rsid w:val="00266311"/>
    <w:rsid w:val="0027021D"/>
    <w:rsid w:val="00273BA8"/>
    <w:rsid w:val="00287557"/>
    <w:rsid w:val="00287F4B"/>
    <w:rsid w:val="002908DE"/>
    <w:rsid w:val="00294E51"/>
    <w:rsid w:val="0029655A"/>
    <w:rsid w:val="00296AC5"/>
    <w:rsid w:val="002A033D"/>
    <w:rsid w:val="002A2715"/>
    <w:rsid w:val="002B0A71"/>
    <w:rsid w:val="002B1B95"/>
    <w:rsid w:val="002B2FB5"/>
    <w:rsid w:val="002B3011"/>
    <w:rsid w:val="002B3315"/>
    <w:rsid w:val="002B3C5A"/>
    <w:rsid w:val="002B618C"/>
    <w:rsid w:val="002C16DC"/>
    <w:rsid w:val="002C32AD"/>
    <w:rsid w:val="002C4085"/>
    <w:rsid w:val="002C7CDB"/>
    <w:rsid w:val="002D11F9"/>
    <w:rsid w:val="002D286A"/>
    <w:rsid w:val="002E5206"/>
    <w:rsid w:val="002E5E90"/>
    <w:rsid w:val="002E6196"/>
    <w:rsid w:val="002F3056"/>
    <w:rsid w:val="002F405A"/>
    <w:rsid w:val="002F5746"/>
    <w:rsid w:val="002F5BE9"/>
    <w:rsid w:val="002F6949"/>
    <w:rsid w:val="0030010A"/>
    <w:rsid w:val="0030094F"/>
    <w:rsid w:val="00302020"/>
    <w:rsid w:val="00306E56"/>
    <w:rsid w:val="003074ED"/>
    <w:rsid w:val="00307A1B"/>
    <w:rsid w:val="00310D1F"/>
    <w:rsid w:val="00310F5E"/>
    <w:rsid w:val="00311D75"/>
    <w:rsid w:val="00312A53"/>
    <w:rsid w:val="00313590"/>
    <w:rsid w:val="00314ED9"/>
    <w:rsid w:val="00321C0A"/>
    <w:rsid w:val="003232EA"/>
    <w:rsid w:val="003249F9"/>
    <w:rsid w:val="00326188"/>
    <w:rsid w:val="00326E77"/>
    <w:rsid w:val="00331B09"/>
    <w:rsid w:val="003375E7"/>
    <w:rsid w:val="00341A2F"/>
    <w:rsid w:val="00342297"/>
    <w:rsid w:val="00342592"/>
    <w:rsid w:val="003431AB"/>
    <w:rsid w:val="0034476C"/>
    <w:rsid w:val="00344A6B"/>
    <w:rsid w:val="0034630A"/>
    <w:rsid w:val="00346672"/>
    <w:rsid w:val="00347770"/>
    <w:rsid w:val="003503A4"/>
    <w:rsid w:val="003504BD"/>
    <w:rsid w:val="003519D3"/>
    <w:rsid w:val="003615B8"/>
    <w:rsid w:val="00362940"/>
    <w:rsid w:val="00362B08"/>
    <w:rsid w:val="00367415"/>
    <w:rsid w:val="003708C1"/>
    <w:rsid w:val="00374681"/>
    <w:rsid w:val="00383359"/>
    <w:rsid w:val="003845B7"/>
    <w:rsid w:val="00384975"/>
    <w:rsid w:val="003966D4"/>
    <w:rsid w:val="003A1D09"/>
    <w:rsid w:val="003A36A8"/>
    <w:rsid w:val="003A6210"/>
    <w:rsid w:val="003A64E0"/>
    <w:rsid w:val="003B12F0"/>
    <w:rsid w:val="003B4B11"/>
    <w:rsid w:val="003B5525"/>
    <w:rsid w:val="003B5E4A"/>
    <w:rsid w:val="003C5816"/>
    <w:rsid w:val="003C58AD"/>
    <w:rsid w:val="003C6800"/>
    <w:rsid w:val="003D3DA8"/>
    <w:rsid w:val="003D78F5"/>
    <w:rsid w:val="003E070B"/>
    <w:rsid w:val="003E1C86"/>
    <w:rsid w:val="003E43F7"/>
    <w:rsid w:val="003E4596"/>
    <w:rsid w:val="003E473D"/>
    <w:rsid w:val="003F39F3"/>
    <w:rsid w:val="003F3F79"/>
    <w:rsid w:val="003F6A8E"/>
    <w:rsid w:val="003F6AD8"/>
    <w:rsid w:val="00403A0B"/>
    <w:rsid w:val="00405756"/>
    <w:rsid w:val="00405B57"/>
    <w:rsid w:val="00405E24"/>
    <w:rsid w:val="00406416"/>
    <w:rsid w:val="00407A1F"/>
    <w:rsid w:val="00411E43"/>
    <w:rsid w:val="0042083A"/>
    <w:rsid w:val="004216AB"/>
    <w:rsid w:val="00423B86"/>
    <w:rsid w:val="00423E4D"/>
    <w:rsid w:val="00424B97"/>
    <w:rsid w:val="00427940"/>
    <w:rsid w:val="0043545D"/>
    <w:rsid w:val="004368C4"/>
    <w:rsid w:val="00441536"/>
    <w:rsid w:val="00443AB0"/>
    <w:rsid w:val="00445309"/>
    <w:rsid w:val="00446189"/>
    <w:rsid w:val="00447114"/>
    <w:rsid w:val="0044722C"/>
    <w:rsid w:val="00450EA2"/>
    <w:rsid w:val="00453C48"/>
    <w:rsid w:val="00456C26"/>
    <w:rsid w:val="0045754A"/>
    <w:rsid w:val="00460F19"/>
    <w:rsid w:val="00465632"/>
    <w:rsid w:val="004801F8"/>
    <w:rsid w:val="00482CC8"/>
    <w:rsid w:val="00483B2C"/>
    <w:rsid w:val="004864B5"/>
    <w:rsid w:val="00491DB5"/>
    <w:rsid w:val="00496E44"/>
    <w:rsid w:val="004A3BF6"/>
    <w:rsid w:val="004A6654"/>
    <w:rsid w:val="004B49DB"/>
    <w:rsid w:val="004B58AD"/>
    <w:rsid w:val="004B7A6A"/>
    <w:rsid w:val="004C06A1"/>
    <w:rsid w:val="004C0B05"/>
    <w:rsid w:val="004C34C7"/>
    <w:rsid w:val="004C36AB"/>
    <w:rsid w:val="004C4499"/>
    <w:rsid w:val="004C54D1"/>
    <w:rsid w:val="004D238C"/>
    <w:rsid w:val="004D4E7F"/>
    <w:rsid w:val="004E0E3B"/>
    <w:rsid w:val="004E0F34"/>
    <w:rsid w:val="004E1420"/>
    <w:rsid w:val="004E4DDB"/>
    <w:rsid w:val="004E5ADA"/>
    <w:rsid w:val="004F0844"/>
    <w:rsid w:val="004F559F"/>
    <w:rsid w:val="0050215D"/>
    <w:rsid w:val="00502431"/>
    <w:rsid w:val="0050380C"/>
    <w:rsid w:val="005038AD"/>
    <w:rsid w:val="005100A3"/>
    <w:rsid w:val="005109DA"/>
    <w:rsid w:val="00511E00"/>
    <w:rsid w:val="00517625"/>
    <w:rsid w:val="0052170B"/>
    <w:rsid w:val="00522201"/>
    <w:rsid w:val="0052436D"/>
    <w:rsid w:val="00524731"/>
    <w:rsid w:val="00526044"/>
    <w:rsid w:val="005304BF"/>
    <w:rsid w:val="00531F4C"/>
    <w:rsid w:val="0053412D"/>
    <w:rsid w:val="0053584F"/>
    <w:rsid w:val="0053705D"/>
    <w:rsid w:val="0054446D"/>
    <w:rsid w:val="00544ACB"/>
    <w:rsid w:val="00546A5F"/>
    <w:rsid w:val="00546C11"/>
    <w:rsid w:val="00547C2D"/>
    <w:rsid w:val="005515D8"/>
    <w:rsid w:val="005529E0"/>
    <w:rsid w:val="005541C9"/>
    <w:rsid w:val="00555E07"/>
    <w:rsid w:val="00556234"/>
    <w:rsid w:val="00556753"/>
    <w:rsid w:val="0055716D"/>
    <w:rsid w:val="0055737F"/>
    <w:rsid w:val="005604F2"/>
    <w:rsid w:val="00560EB2"/>
    <w:rsid w:val="0056438A"/>
    <w:rsid w:val="00565E08"/>
    <w:rsid w:val="00566426"/>
    <w:rsid w:val="00570218"/>
    <w:rsid w:val="00570BE4"/>
    <w:rsid w:val="0057470A"/>
    <w:rsid w:val="00574D73"/>
    <w:rsid w:val="00581212"/>
    <w:rsid w:val="00584363"/>
    <w:rsid w:val="00584F42"/>
    <w:rsid w:val="00586F25"/>
    <w:rsid w:val="0058799E"/>
    <w:rsid w:val="00587FE3"/>
    <w:rsid w:val="00591A72"/>
    <w:rsid w:val="00594707"/>
    <w:rsid w:val="00596232"/>
    <w:rsid w:val="005962CF"/>
    <w:rsid w:val="005A0943"/>
    <w:rsid w:val="005A138F"/>
    <w:rsid w:val="005A1837"/>
    <w:rsid w:val="005A37CD"/>
    <w:rsid w:val="005B0293"/>
    <w:rsid w:val="005B02D0"/>
    <w:rsid w:val="005B1254"/>
    <w:rsid w:val="005B691A"/>
    <w:rsid w:val="005B772F"/>
    <w:rsid w:val="005C1AA9"/>
    <w:rsid w:val="005C5E40"/>
    <w:rsid w:val="005C6AD8"/>
    <w:rsid w:val="005C6AFB"/>
    <w:rsid w:val="005D03BB"/>
    <w:rsid w:val="005D0941"/>
    <w:rsid w:val="005D1057"/>
    <w:rsid w:val="005D3D19"/>
    <w:rsid w:val="005D4B1C"/>
    <w:rsid w:val="005D76C3"/>
    <w:rsid w:val="005E2946"/>
    <w:rsid w:val="005E7DDD"/>
    <w:rsid w:val="005F2112"/>
    <w:rsid w:val="005F6ADC"/>
    <w:rsid w:val="005F7225"/>
    <w:rsid w:val="00601666"/>
    <w:rsid w:val="00606856"/>
    <w:rsid w:val="00612BDF"/>
    <w:rsid w:val="00613191"/>
    <w:rsid w:val="00613C13"/>
    <w:rsid w:val="00616612"/>
    <w:rsid w:val="006201CA"/>
    <w:rsid w:val="00624E45"/>
    <w:rsid w:val="0062524E"/>
    <w:rsid w:val="006304AC"/>
    <w:rsid w:val="00630F7F"/>
    <w:rsid w:val="00631317"/>
    <w:rsid w:val="00633AB6"/>
    <w:rsid w:val="0063758F"/>
    <w:rsid w:val="0064070A"/>
    <w:rsid w:val="00642557"/>
    <w:rsid w:val="006477CD"/>
    <w:rsid w:val="006504F7"/>
    <w:rsid w:val="0065182F"/>
    <w:rsid w:val="00652601"/>
    <w:rsid w:val="00652758"/>
    <w:rsid w:val="006528CB"/>
    <w:rsid w:val="006536B5"/>
    <w:rsid w:val="00653750"/>
    <w:rsid w:val="00653FF5"/>
    <w:rsid w:val="00655029"/>
    <w:rsid w:val="006550C3"/>
    <w:rsid w:val="00656C6E"/>
    <w:rsid w:val="00657BCE"/>
    <w:rsid w:val="00664720"/>
    <w:rsid w:val="00670233"/>
    <w:rsid w:val="006732BB"/>
    <w:rsid w:val="00676422"/>
    <w:rsid w:val="00677649"/>
    <w:rsid w:val="00680B4A"/>
    <w:rsid w:val="00682396"/>
    <w:rsid w:val="006831C2"/>
    <w:rsid w:val="0068455E"/>
    <w:rsid w:val="00685289"/>
    <w:rsid w:val="00685EC9"/>
    <w:rsid w:val="00686377"/>
    <w:rsid w:val="00687C81"/>
    <w:rsid w:val="006908AA"/>
    <w:rsid w:val="00690ED4"/>
    <w:rsid w:val="00697472"/>
    <w:rsid w:val="00697509"/>
    <w:rsid w:val="006A1C94"/>
    <w:rsid w:val="006A298F"/>
    <w:rsid w:val="006B0781"/>
    <w:rsid w:val="006B11A4"/>
    <w:rsid w:val="006B25A4"/>
    <w:rsid w:val="006B2D9E"/>
    <w:rsid w:val="006B59D4"/>
    <w:rsid w:val="006B7E14"/>
    <w:rsid w:val="006C2BDC"/>
    <w:rsid w:val="006C2BFD"/>
    <w:rsid w:val="006C4BC1"/>
    <w:rsid w:val="006C4F27"/>
    <w:rsid w:val="006C6C80"/>
    <w:rsid w:val="006C7622"/>
    <w:rsid w:val="006D161E"/>
    <w:rsid w:val="006D16E8"/>
    <w:rsid w:val="006D1CC4"/>
    <w:rsid w:val="006D2022"/>
    <w:rsid w:val="006D2C4E"/>
    <w:rsid w:val="006E164E"/>
    <w:rsid w:val="006E39F4"/>
    <w:rsid w:val="006E4D60"/>
    <w:rsid w:val="006E503A"/>
    <w:rsid w:val="006E6286"/>
    <w:rsid w:val="006F0707"/>
    <w:rsid w:val="006F36E5"/>
    <w:rsid w:val="006F3B94"/>
    <w:rsid w:val="006F4823"/>
    <w:rsid w:val="006F6886"/>
    <w:rsid w:val="006F7185"/>
    <w:rsid w:val="007014FE"/>
    <w:rsid w:val="00703D4E"/>
    <w:rsid w:val="0070519E"/>
    <w:rsid w:val="007058DC"/>
    <w:rsid w:val="0071001F"/>
    <w:rsid w:val="00711B61"/>
    <w:rsid w:val="007125A1"/>
    <w:rsid w:val="00721639"/>
    <w:rsid w:val="007227E5"/>
    <w:rsid w:val="00722CD1"/>
    <w:rsid w:val="00723993"/>
    <w:rsid w:val="00723F95"/>
    <w:rsid w:val="00724DF6"/>
    <w:rsid w:val="007263BE"/>
    <w:rsid w:val="00726C40"/>
    <w:rsid w:val="007313AD"/>
    <w:rsid w:val="007536A7"/>
    <w:rsid w:val="0075582D"/>
    <w:rsid w:val="00756F94"/>
    <w:rsid w:val="00764B50"/>
    <w:rsid w:val="00764F1E"/>
    <w:rsid w:val="00766DC8"/>
    <w:rsid w:val="00767E6B"/>
    <w:rsid w:val="00770F13"/>
    <w:rsid w:val="00772E25"/>
    <w:rsid w:val="007769D9"/>
    <w:rsid w:val="00780F45"/>
    <w:rsid w:val="007911C9"/>
    <w:rsid w:val="007932A0"/>
    <w:rsid w:val="00793CDE"/>
    <w:rsid w:val="00794910"/>
    <w:rsid w:val="00796F50"/>
    <w:rsid w:val="007974EC"/>
    <w:rsid w:val="007A3230"/>
    <w:rsid w:val="007A3237"/>
    <w:rsid w:val="007B1218"/>
    <w:rsid w:val="007B2C10"/>
    <w:rsid w:val="007B3917"/>
    <w:rsid w:val="007B4A78"/>
    <w:rsid w:val="007B5828"/>
    <w:rsid w:val="007B628B"/>
    <w:rsid w:val="007B7B3C"/>
    <w:rsid w:val="007D100F"/>
    <w:rsid w:val="007D2286"/>
    <w:rsid w:val="007D3201"/>
    <w:rsid w:val="007D34FD"/>
    <w:rsid w:val="007D5D8F"/>
    <w:rsid w:val="007D7503"/>
    <w:rsid w:val="007E0EC9"/>
    <w:rsid w:val="007E1CED"/>
    <w:rsid w:val="007E5D43"/>
    <w:rsid w:val="007E759D"/>
    <w:rsid w:val="007F09E9"/>
    <w:rsid w:val="007F3481"/>
    <w:rsid w:val="007F4069"/>
    <w:rsid w:val="007F43F1"/>
    <w:rsid w:val="007F72BA"/>
    <w:rsid w:val="007F7AB3"/>
    <w:rsid w:val="007F7B5D"/>
    <w:rsid w:val="00800AE5"/>
    <w:rsid w:val="008016B1"/>
    <w:rsid w:val="0080393F"/>
    <w:rsid w:val="00803A7D"/>
    <w:rsid w:val="008047D4"/>
    <w:rsid w:val="00804894"/>
    <w:rsid w:val="00804B11"/>
    <w:rsid w:val="00812C26"/>
    <w:rsid w:val="00816175"/>
    <w:rsid w:val="00817887"/>
    <w:rsid w:val="00824268"/>
    <w:rsid w:val="008267A2"/>
    <w:rsid w:val="00827058"/>
    <w:rsid w:val="00835639"/>
    <w:rsid w:val="00835811"/>
    <w:rsid w:val="008372A1"/>
    <w:rsid w:val="00841249"/>
    <w:rsid w:val="00842160"/>
    <w:rsid w:val="00843681"/>
    <w:rsid w:val="00843F84"/>
    <w:rsid w:val="00844887"/>
    <w:rsid w:val="00846C93"/>
    <w:rsid w:val="008504CC"/>
    <w:rsid w:val="0085211C"/>
    <w:rsid w:val="00856E02"/>
    <w:rsid w:val="008577BF"/>
    <w:rsid w:val="008647FD"/>
    <w:rsid w:val="00864FD1"/>
    <w:rsid w:val="008664EE"/>
    <w:rsid w:val="00866903"/>
    <w:rsid w:val="00871A62"/>
    <w:rsid w:val="00872F9D"/>
    <w:rsid w:val="00873DCC"/>
    <w:rsid w:val="00874222"/>
    <w:rsid w:val="0088354F"/>
    <w:rsid w:val="00884101"/>
    <w:rsid w:val="008854AB"/>
    <w:rsid w:val="00886910"/>
    <w:rsid w:val="00887974"/>
    <w:rsid w:val="00891935"/>
    <w:rsid w:val="008940FD"/>
    <w:rsid w:val="00895354"/>
    <w:rsid w:val="00896757"/>
    <w:rsid w:val="00897C4F"/>
    <w:rsid w:val="008A3881"/>
    <w:rsid w:val="008A43A3"/>
    <w:rsid w:val="008A57B3"/>
    <w:rsid w:val="008A7D41"/>
    <w:rsid w:val="008B0478"/>
    <w:rsid w:val="008B638A"/>
    <w:rsid w:val="008B68BC"/>
    <w:rsid w:val="008C189B"/>
    <w:rsid w:val="008C30FE"/>
    <w:rsid w:val="008C3A36"/>
    <w:rsid w:val="008C7603"/>
    <w:rsid w:val="008C7C93"/>
    <w:rsid w:val="008D0388"/>
    <w:rsid w:val="008D1583"/>
    <w:rsid w:val="008D242B"/>
    <w:rsid w:val="008D425C"/>
    <w:rsid w:val="008E01FE"/>
    <w:rsid w:val="008E0E34"/>
    <w:rsid w:val="009009C2"/>
    <w:rsid w:val="00902F57"/>
    <w:rsid w:val="00903F38"/>
    <w:rsid w:val="0090545B"/>
    <w:rsid w:val="009110A2"/>
    <w:rsid w:val="009142DE"/>
    <w:rsid w:val="009148C4"/>
    <w:rsid w:val="009163BD"/>
    <w:rsid w:val="0091652D"/>
    <w:rsid w:val="009205EB"/>
    <w:rsid w:val="0092474D"/>
    <w:rsid w:val="00925C3F"/>
    <w:rsid w:val="009264B5"/>
    <w:rsid w:val="00931C4F"/>
    <w:rsid w:val="009344CB"/>
    <w:rsid w:val="00935326"/>
    <w:rsid w:val="00940C5A"/>
    <w:rsid w:val="0094182F"/>
    <w:rsid w:val="00943F36"/>
    <w:rsid w:val="00944530"/>
    <w:rsid w:val="00945B1F"/>
    <w:rsid w:val="00951A9C"/>
    <w:rsid w:val="00952C07"/>
    <w:rsid w:val="00953E73"/>
    <w:rsid w:val="009544DE"/>
    <w:rsid w:val="0095501E"/>
    <w:rsid w:val="00956B5E"/>
    <w:rsid w:val="009621B8"/>
    <w:rsid w:val="00962382"/>
    <w:rsid w:val="009637D9"/>
    <w:rsid w:val="0096445D"/>
    <w:rsid w:val="00966086"/>
    <w:rsid w:val="00966B2D"/>
    <w:rsid w:val="0097192D"/>
    <w:rsid w:val="00972AE1"/>
    <w:rsid w:val="00972AF7"/>
    <w:rsid w:val="009753E8"/>
    <w:rsid w:val="00976138"/>
    <w:rsid w:val="00977F76"/>
    <w:rsid w:val="00980898"/>
    <w:rsid w:val="0098195C"/>
    <w:rsid w:val="00990060"/>
    <w:rsid w:val="00990DE7"/>
    <w:rsid w:val="009915C8"/>
    <w:rsid w:val="00991C2B"/>
    <w:rsid w:val="0099377C"/>
    <w:rsid w:val="00993B93"/>
    <w:rsid w:val="00996454"/>
    <w:rsid w:val="009A0AD5"/>
    <w:rsid w:val="009A25EE"/>
    <w:rsid w:val="009A3484"/>
    <w:rsid w:val="009A3624"/>
    <w:rsid w:val="009A3D53"/>
    <w:rsid w:val="009A42CE"/>
    <w:rsid w:val="009A50F0"/>
    <w:rsid w:val="009A69D1"/>
    <w:rsid w:val="009B3B04"/>
    <w:rsid w:val="009B3C74"/>
    <w:rsid w:val="009B47AD"/>
    <w:rsid w:val="009B5706"/>
    <w:rsid w:val="009B6536"/>
    <w:rsid w:val="009C0DC4"/>
    <w:rsid w:val="009C3C66"/>
    <w:rsid w:val="009C4439"/>
    <w:rsid w:val="009C7344"/>
    <w:rsid w:val="009D16C1"/>
    <w:rsid w:val="009D2856"/>
    <w:rsid w:val="009D2D6D"/>
    <w:rsid w:val="009D2EA0"/>
    <w:rsid w:val="009D3651"/>
    <w:rsid w:val="009D5510"/>
    <w:rsid w:val="009E1F41"/>
    <w:rsid w:val="009E34D8"/>
    <w:rsid w:val="009E62CE"/>
    <w:rsid w:val="009E784B"/>
    <w:rsid w:val="009F0FED"/>
    <w:rsid w:val="009F31B0"/>
    <w:rsid w:val="009F5FAA"/>
    <w:rsid w:val="009F79B9"/>
    <w:rsid w:val="00A017D8"/>
    <w:rsid w:val="00A02773"/>
    <w:rsid w:val="00A049CD"/>
    <w:rsid w:val="00A10177"/>
    <w:rsid w:val="00A106B3"/>
    <w:rsid w:val="00A13CCF"/>
    <w:rsid w:val="00A204D1"/>
    <w:rsid w:val="00A21BBE"/>
    <w:rsid w:val="00A255C4"/>
    <w:rsid w:val="00A30E73"/>
    <w:rsid w:val="00A34C68"/>
    <w:rsid w:val="00A3555D"/>
    <w:rsid w:val="00A35A1F"/>
    <w:rsid w:val="00A362D9"/>
    <w:rsid w:val="00A40C72"/>
    <w:rsid w:val="00A41124"/>
    <w:rsid w:val="00A43F58"/>
    <w:rsid w:val="00A44F8B"/>
    <w:rsid w:val="00A5101C"/>
    <w:rsid w:val="00A52438"/>
    <w:rsid w:val="00A536A4"/>
    <w:rsid w:val="00A56051"/>
    <w:rsid w:val="00A56362"/>
    <w:rsid w:val="00A56DC0"/>
    <w:rsid w:val="00A6305C"/>
    <w:rsid w:val="00A65044"/>
    <w:rsid w:val="00A663C5"/>
    <w:rsid w:val="00A76CF0"/>
    <w:rsid w:val="00A808E0"/>
    <w:rsid w:val="00A81B4D"/>
    <w:rsid w:val="00A8208A"/>
    <w:rsid w:val="00A8386A"/>
    <w:rsid w:val="00A8641A"/>
    <w:rsid w:val="00A875DB"/>
    <w:rsid w:val="00A877E2"/>
    <w:rsid w:val="00A91585"/>
    <w:rsid w:val="00A96C99"/>
    <w:rsid w:val="00A97591"/>
    <w:rsid w:val="00AA0BF4"/>
    <w:rsid w:val="00AA23AA"/>
    <w:rsid w:val="00AA7F32"/>
    <w:rsid w:val="00AB139A"/>
    <w:rsid w:val="00AB364C"/>
    <w:rsid w:val="00AB4103"/>
    <w:rsid w:val="00AB530C"/>
    <w:rsid w:val="00AC0775"/>
    <w:rsid w:val="00AC1E78"/>
    <w:rsid w:val="00AC50C1"/>
    <w:rsid w:val="00AC59C2"/>
    <w:rsid w:val="00AC7B00"/>
    <w:rsid w:val="00AD28DC"/>
    <w:rsid w:val="00AD4726"/>
    <w:rsid w:val="00AD5F64"/>
    <w:rsid w:val="00AE14D8"/>
    <w:rsid w:val="00AE576C"/>
    <w:rsid w:val="00AE6344"/>
    <w:rsid w:val="00AF0435"/>
    <w:rsid w:val="00AF19C7"/>
    <w:rsid w:val="00AF4271"/>
    <w:rsid w:val="00AF58FB"/>
    <w:rsid w:val="00AF5E4D"/>
    <w:rsid w:val="00AF6233"/>
    <w:rsid w:val="00AF771A"/>
    <w:rsid w:val="00AF772D"/>
    <w:rsid w:val="00AF7ED7"/>
    <w:rsid w:val="00B01004"/>
    <w:rsid w:val="00B01422"/>
    <w:rsid w:val="00B07282"/>
    <w:rsid w:val="00B07E9D"/>
    <w:rsid w:val="00B1060B"/>
    <w:rsid w:val="00B125E2"/>
    <w:rsid w:val="00B15BD7"/>
    <w:rsid w:val="00B16FCE"/>
    <w:rsid w:val="00B21394"/>
    <w:rsid w:val="00B27183"/>
    <w:rsid w:val="00B27F94"/>
    <w:rsid w:val="00B30A5B"/>
    <w:rsid w:val="00B32352"/>
    <w:rsid w:val="00B33C37"/>
    <w:rsid w:val="00B34370"/>
    <w:rsid w:val="00B35911"/>
    <w:rsid w:val="00B35A91"/>
    <w:rsid w:val="00B35DC0"/>
    <w:rsid w:val="00B3676F"/>
    <w:rsid w:val="00B3693B"/>
    <w:rsid w:val="00B36EAF"/>
    <w:rsid w:val="00B4381F"/>
    <w:rsid w:val="00B4561C"/>
    <w:rsid w:val="00B458BE"/>
    <w:rsid w:val="00B50165"/>
    <w:rsid w:val="00B50E55"/>
    <w:rsid w:val="00B51A63"/>
    <w:rsid w:val="00B52C86"/>
    <w:rsid w:val="00B55BDF"/>
    <w:rsid w:val="00B60282"/>
    <w:rsid w:val="00B60D29"/>
    <w:rsid w:val="00B61857"/>
    <w:rsid w:val="00B62A65"/>
    <w:rsid w:val="00B638C5"/>
    <w:rsid w:val="00B64216"/>
    <w:rsid w:val="00B6537B"/>
    <w:rsid w:val="00B65498"/>
    <w:rsid w:val="00B66116"/>
    <w:rsid w:val="00B662B0"/>
    <w:rsid w:val="00B738DD"/>
    <w:rsid w:val="00B755AD"/>
    <w:rsid w:val="00B779A7"/>
    <w:rsid w:val="00B77CC8"/>
    <w:rsid w:val="00B83B23"/>
    <w:rsid w:val="00B90893"/>
    <w:rsid w:val="00B91C55"/>
    <w:rsid w:val="00B92913"/>
    <w:rsid w:val="00B95A0A"/>
    <w:rsid w:val="00B95C3E"/>
    <w:rsid w:val="00B96426"/>
    <w:rsid w:val="00B964EC"/>
    <w:rsid w:val="00BA77B7"/>
    <w:rsid w:val="00BB4E52"/>
    <w:rsid w:val="00BB5F0E"/>
    <w:rsid w:val="00BC0BD3"/>
    <w:rsid w:val="00BC1EC7"/>
    <w:rsid w:val="00BC26A2"/>
    <w:rsid w:val="00BC4314"/>
    <w:rsid w:val="00BC61FF"/>
    <w:rsid w:val="00BC6A55"/>
    <w:rsid w:val="00BD268E"/>
    <w:rsid w:val="00BD38B6"/>
    <w:rsid w:val="00BD4C6B"/>
    <w:rsid w:val="00BD6051"/>
    <w:rsid w:val="00BD6168"/>
    <w:rsid w:val="00BD7A41"/>
    <w:rsid w:val="00BE14B1"/>
    <w:rsid w:val="00BE1681"/>
    <w:rsid w:val="00BE334A"/>
    <w:rsid w:val="00C00B70"/>
    <w:rsid w:val="00C03F67"/>
    <w:rsid w:val="00C03FA7"/>
    <w:rsid w:val="00C042FC"/>
    <w:rsid w:val="00C053A8"/>
    <w:rsid w:val="00C0557A"/>
    <w:rsid w:val="00C069DF"/>
    <w:rsid w:val="00C101E2"/>
    <w:rsid w:val="00C10C7E"/>
    <w:rsid w:val="00C13B37"/>
    <w:rsid w:val="00C15052"/>
    <w:rsid w:val="00C15CD0"/>
    <w:rsid w:val="00C228FC"/>
    <w:rsid w:val="00C2373A"/>
    <w:rsid w:val="00C24BF8"/>
    <w:rsid w:val="00C24DE2"/>
    <w:rsid w:val="00C27654"/>
    <w:rsid w:val="00C31A5C"/>
    <w:rsid w:val="00C35FA9"/>
    <w:rsid w:val="00C37447"/>
    <w:rsid w:val="00C407C7"/>
    <w:rsid w:val="00C41616"/>
    <w:rsid w:val="00C43781"/>
    <w:rsid w:val="00C44152"/>
    <w:rsid w:val="00C46CA9"/>
    <w:rsid w:val="00C50581"/>
    <w:rsid w:val="00C50F9C"/>
    <w:rsid w:val="00C610EB"/>
    <w:rsid w:val="00C62005"/>
    <w:rsid w:val="00C64354"/>
    <w:rsid w:val="00C6585D"/>
    <w:rsid w:val="00C668B0"/>
    <w:rsid w:val="00C670CA"/>
    <w:rsid w:val="00C7120B"/>
    <w:rsid w:val="00C72C92"/>
    <w:rsid w:val="00C732D6"/>
    <w:rsid w:val="00C73A80"/>
    <w:rsid w:val="00C74E6B"/>
    <w:rsid w:val="00C7550D"/>
    <w:rsid w:val="00C75766"/>
    <w:rsid w:val="00C76666"/>
    <w:rsid w:val="00C80117"/>
    <w:rsid w:val="00C80B90"/>
    <w:rsid w:val="00C80F3B"/>
    <w:rsid w:val="00C82B0F"/>
    <w:rsid w:val="00C847B1"/>
    <w:rsid w:val="00C84E3F"/>
    <w:rsid w:val="00C85B70"/>
    <w:rsid w:val="00C90F0C"/>
    <w:rsid w:val="00C933B4"/>
    <w:rsid w:val="00C9580C"/>
    <w:rsid w:val="00CA081D"/>
    <w:rsid w:val="00CA3F1F"/>
    <w:rsid w:val="00CA3FE0"/>
    <w:rsid w:val="00CA4575"/>
    <w:rsid w:val="00CA46F4"/>
    <w:rsid w:val="00CB257F"/>
    <w:rsid w:val="00CB3E29"/>
    <w:rsid w:val="00CB4AF1"/>
    <w:rsid w:val="00CB7927"/>
    <w:rsid w:val="00CC13E6"/>
    <w:rsid w:val="00CC1C04"/>
    <w:rsid w:val="00CC3C91"/>
    <w:rsid w:val="00CC45B0"/>
    <w:rsid w:val="00CC48A4"/>
    <w:rsid w:val="00CC7F34"/>
    <w:rsid w:val="00CD1A53"/>
    <w:rsid w:val="00CD1C9B"/>
    <w:rsid w:val="00CD317F"/>
    <w:rsid w:val="00CD3AC9"/>
    <w:rsid w:val="00CD45B7"/>
    <w:rsid w:val="00CD4BBC"/>
    <w:rsid w:val="00CD7B83"/>
    <w:rsid w:val="00CE08B4"/>
    <w:rsid w:val="00CE25C5"/>
    <w:rsid w:val="00CE287C"/>
    <w:rsid w:val="00CE5C32"/>
    <w:rsid w:val="00CE7053"/>
    <w:rsid w:val="00CE7AFA"/>
    <w:rsid w:val="00CE7B87"/>
    <w:rsid w:val="00CF57C0"/>
    <w:rsid w:val="00CF6B67"/>
    <w:rsid w:val="00CF78D5"/>
    <w:rsid w:val="00D01440"/>
    <w:rsid w:val="00D031CF"/>
    <w:rsid w:val="00D10A6A"/>
    <w:rsid w:val="00D12F2C"/>
    <w:rsid w:val="00D13205"/>
    <w:rsid w:val="00D137C9"/>
    <w:rsid w:val="00D13FCC"/>
    <w:rsid w:val="00D14121"/>
    <w:rsid w:val="00D141D3"/>
    <w:rsid w:val="00D14CB0"/>
    <w:rsid w:val="00D151D9"/>
    <w:rsid w:val="00D1693C"/>
    <w:rsid w:val="00D1756E"/>
    <w:rsid w:val="00D17BE7"/>
    <w:rsid w:val="00D20FB6"/>
    <w:rsid w:val="00D21DC4"/>
    <w:rsid w:val="00D22B2F"/>
    <w:rsid w:val="00D237BB"/>
    <w:rsid w:val="00D24A08"/>
    <w:rsid w:val="00D26686"/>
    <w:rsid w:val="00D27BC5"/>
    <w:rsid w:val="00D27DB1"/>
    <w:rsid w:val="00D27F53"/>
    <w:rsid w:val="00D31CE0"/>
    <w:rsid w:val="00D33883"/>
    <w:rsid w:val="00D35693"/>
    <w:rsid w:val="00D3585F"/>
    <w:rsid w:val="00D3610C"/>
    <w:rsid w:val="00D41464"/>
    <w:rsid w:val="00D41CB6"/>
    <w:rsid w:val="00D4424A"/>
    <w:rsid w:val="00D57492"/>
    <w:rsid w:val="00D57DE0"/>
    <w:rsid w:val="00D617CD"/>
    <w:rsid w:val="00D630B2"/>
    <w:rsid w:val="00D63978"/>
    <w:rsid w:val="00D654E3"/>
    <w:rsid w:val="00D675B0"/>
    <w:rsid w:val="00D73568"/>
    <w:rsid w:val="00D75794"/>
    <w:rsid w:val="00D76DE9"/>
    <w:rsid w:val="00D7719A"/>
    <w:rsid w:val="00D82143"/>
    <w:rsid w:val="00D8430F"/>
    <w:rsid w:val="00D853C0"/>
    <w:rsid w:val="00D85416"/>
    <w:rsid w:val="00D8550F"/>
    <w:rsid w:val="00D909AC"/>
    <w:rsid w:val="00D90FB8"/>
    <w:rsid w:val="00D91D84"/>
    <w:rsid w:val="00D953F3"/>
    <w:rsid w:val="00D96A12"/>
    <w:rsid w:val="00DA0EE4"/>
    <w:rsid w:val="00DA1CDE"/>
    <w:rsid w:val="00DA3B2B"/>
    <w:rsid w:val="00DA56F7"/>
    <w:rsid w:val="00DA6653"/>
    <w:rsid w:val="00DA6A1B"/>
    <w:rsid w:val="00DA6C77"/>
    <w:rsid w:val="00DB1951"/>
    <w:rsid w:val="00DB5319"/>
    <w:rsid w:val="00DC47A0"/>
    <w:rsid w:val="00DC62D0"/>
    <w:rsid w:val="00DC73AA"/>
    <w:rsid w:val="00DD0209"/>
    <w:rsid w:val="00DD1094"/>
    <w:rsid w:val="00DD3DB6"/>
    <w:rsid w:val="00DD3E52"/>
    <w:rsid w:val="00DD5633"/>
    <w:rsid w:val="00DE0AB0"/>
    <w:rsid w:val="00DE35E2"/>
    <w:rsid w:val="00DE46F6"/>
    <w:rsid w:val="00DE67EA"/>
    <w:rsid w:val="00DE77F6"/>
    <w:rsid w:val="00DF0515"/>
    <w:rsid w:val="00DF076B"/>
    <w:rsid w:val="00DF1845"/>
    <w:rsid w:val="00DF2097"/>
    <w:rsid w:val="00DF299C"/>
    <w:rsid w:val="00DF4CD3"/>
    <w:rsid w:val="00DF4EE5"/>
    <w:rsid w:val="00E025BC"/>
    <w:rsid w:val="00E04C0A"/>
    <w:rsid w:val="00E060FB"/>
    <w:rsid w:val="00E06609"/>
    <w:rsid w:val="00E06EB3"/>
    <w:rsid w:val="00E06FCC"/>
    <w:rsid w:val="00E07BF6"/>
    <w:rsid w:val="00E10053"/>
    <w:rsid w:val="00E112F9"/>
    <w:rsid w:val="00E11BBB"/>
    <w:rsid w:val="00E15C63"/>
    <w:rsid w:val="00E2090D"/>
    <w:rsid w:val="00E20E07"/>
    <w:rsid w:val="00E23E57"/>
    <w:rsid w:val="00E27CA4"/>
    <w:rsid w:val="00E3176D"/>
    <w:rsid w:val="00E31C9D"/>
    <w:rsid w:val="00E347DC"/>
    <w:rsid w:val="00E34C0B"/>
    <w:rsid w:val="00E367B1"/>
    <w:rsid w:val="00E41111"/>
    <w:rsid w:val="00E43535"/>
    <w:rsid w:val="00E45392"/>
    <w:rsid w:val="00E456C6"/>
    <w:rsid w:val="00E46659"/>
    <w:rsid w:val="00E467FA"/>
    <w:rsid w:val="00E477D5"/>
    <w:rsid w:val="00E51A67"/>
    <w:rsid w:val="00E5288E"/>
    <w:rsid w:val="00E52AF2"/>
    <w:rsid w:val="00E54F84"/>
    <w:rsid w:val="00E55A04"/>
    <w:rsid w:val="00E56FEA"/>
    <w:rsid w:val="00E57F04"/>
    <w:rsid w:val="00E60122"/>
    <w:rsid w:val="00E6061F"/>
    <w:rsid w:val="00E61B1A"/>
    <w:rsid w:val="00E63C4D"/>
    <w:rsid w:val="00E63F35"/>
    <w:rsid w:val="00E66972"/>
    <w:rsid w:val="00E71395"/>
    <w:rsid w:val="00E73644"/>
    <w:rsid w:val="00E73AE3"/>
    <w:rsid w:val="00E74118"/>
    <w:rsid w:val="00E77081"/>
    <w:rsid w:val="00E818E3"/>
    <w:rsid w:val="00E82243"/>
    <w:rsid w:val="00E82A64"/>
    <w:rsid w:val="00E82D1A"/>
    <w:rsid w:val="00E86301"/>
    <w:rsid w:val="00E8695C"/>
    <w:rsid w:val="00E86DA9"/>
    <w:rsid w:val="00E87913"/>
    <w:rsid w:val="00E87E99"/>
    <w:rsid w:val="00E906D1"/>
    <w:rsid w:val="00E93C39"/>
    <w:rsid w:val="00EA10A5"/>
    <w:rsid w:val="00EA12CF"/>
    <w:rsid w:val="00EA16ED"/>
    <w:rsid w:val="00EA2A38"/>
    <w:rsid w:val="00EA2AC6"/>
    <w:rsid w:val="00EA468B"/>
    <w:rsid w:val="00EA5E9C"/>
    <w:rsid w:val="00EA65DF"/>
    <w:rsid w:val="00EB492F"/>
    <w:rsid w:val="00EB6293"/>
    <w:rsid w:val="00EC0382"/>
    <w:rsid w:val="00EC0CB7"/>
    <w:rsid w:val="00EC16E5"/>
    <w:rsid w:val="00EC5580"/>
    <w:rsid w:val="00ED167D"/>
    <w:rsid w:val="00ED2CAC"/>
    <w:rsid w:val="00ED36CA"/>
    <w:rsid w:val="00ED47F7"/>
    <w:rsid w:val="00ED4D2D"/>
    <w:rsid w:val="00EE11DA"/>
    <w:rsid w:val="00EE5AF7"/>
    <w:rsid w:val="00EE7F6C"/>
    <w:rsid w:val="00EF0925"/>
    <w:rsid w:val="00EF09D3"/>
    <w:rsid w:val="00EF1E19"/>
    <w:rsid w:val="00EF2A20"/>
    <w:rsid w:val="00EF44A3"/>
    <w:rsid w:val="00EF44CF"/>
    <w:rsid w:val="00EF5279"/>
    <w:rsid w:val="00F01914"/>
    <w:rsid w:val="00F03118"/>
    <w:rsid w:val="00F06A72"/>
    <w:rsid w:val="00F0739A"/>
    <w:rsid w:val="00F10C3D"/>
    <w:rsid w:val="00F11780"/>
    <w:rsid w:val="00F11CC3"/>
    <w:rsid w:val="00F13808"/>
    <w:rsid w:val="00F145D7"/>
    <w:rsid w:val="00F14BAA"/>
    <w:rsid w:val="00F20506"/>
    <w:rsid w:val="00F22280"/>
    <w:rsid w:val="00F226C7"/>
    <w:rsid w:val="00F242EE"/>
    <w:rsid w:val="00F256CF"/>
    <w:rsid w:val="00F2602D"/>
    <w:rsid w:val="00F26843"/>
    <w:rsid w:val="00F26E33"/>
    <w:rsid w:val="00F279D6"/>
    <w:rsid w:val="00F27BB7"/>
    <w:rsid w:val="00F27FFA"/>
    <w:rsid w:val="00F303F9"/>
    <w:rsid w:val="00F33E6F"/>
    <w:rsid w:val="00F35DFC"/>
    <w:rsid w:val="00F36711"/>
    <w:rsid w:val="00F4245D"/>
    <w:rsid w:val="00F46590"/>
    <w:rsid w:val="00F47DA7"/>
    <w:rsid w:val="00F507DA"/>
    <w:rsid w:val="00F51135"/>
    <w:rsid w:val="00F54C82"/>
    <w:rsid w:val="00F5590A"/>
    <w:rsid w:val="00F55D48"/>
    <w:rsid w:val="00F56639"/>
    <w:rsid w:val="00F5712C"/>
    <w:rsid w:val="00F578AC"/>
    <w:rsid w:val="00F60CAA"/>
    <w:rsid w:val="00F63CF1"/>
    <w:rsid w:val="00F64E4B"/>
    <w:rsid w:val="00F67D54"/>
    <w:rsid w:val="00F7153E"/>
    <w:rsid w:val="00F73043"/>
    <w:rsid w:val="00F74D41"/>
    <w:rsid w:val="00F81082"/>
    <w:rsid w:val="00F85034"/>
    <w:rsid w:val="00F869ED"/>
    <w:rsid w:val="00F90E29"/>
    <w:rsid w:val="00F92758"/>
    <w:rsid w:val="00F942AA"/>
    <w:rsid w:val="00F95D87"/>
    <w:rsid w:val="00F9752B"/>
    <w:rsid w:val="00FA0DFD"/>
    <w:rsid w:val="00FA4B1D"/>
    <w:rsid w:val="00FB000D"/>
    <w:rsid w:val="00FB2312"/>
    <w:rsid w:val="00FB4763"/>
    <w:rsid w:val="00FB59ED"/>
    <w:rsid w:val="00FB6147"/>
    <w:rsid w:val="00FB7A4C"/>
    <w:rsid w:val="00FB7C49"/>
    <w:rsid w:val="00FC073F"/>
    <w:rsid w:val="00FC2C1C"/>
    <w:rsid w:val="00FC338B"/>
    <w:rsid w:val="00FC5A17"/>
    <w:rsid w:val="00FC7A73"/>
    <w:rsid w:val="00FC7B7D"/>
    <w:rsid w:val="00FC7B87"/>
    <w:rsid w:val="00FD02F1"/>
    <w:rsid w:val="00FD4FA8"/>
    <w:rsid w:val="00FD56AF"/>
    <w:rsid w:val="00FE1010"/>
    <w:rsid w:val="00FE1E32"/>
    <w:rsid w:val="00FF088B"/>
    <w:rsid w:val="00FF1741"/>
    <w:rsid w:val="00FF1B4C"/>
    <w:rsid w:val="00FF1CEC"/>
    <w:rsid w:val="00FF4A68"/>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1"/>
    <o:shapelayout v:ext="edit">
      <o:idmap v:ext="edit" data="1"/>
    </o:shapelayout>
  </w:shapeDefaults>
  <w:decimalSymbol w:val="."/>
  <w:listSeparator w:val=","/>
  <w14:docId w14:val="5C00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9D3"/>
    <w:pPr>
      <w:spacing w:after="120" w:line="288" w:lineRule="auto"/>
    </w:pPr>
    <w:rPr>
      <w:rFonts w:ascii="Calibri" w:hAnsi="Calibri"/>
      <w:kern w:val="24"/>
      <w:lang w:val="en-US"/>
    </w:rPr>
  </w:style>
  <w:style w:type="paragraph" w:styleId="Heading1">
    <w:name w:val="heading 1"/>
    <w:aliases w:val="BG Heading 1"/>
    <w:basedOn w:val="Title"/>
    <w:next w:val="Normal"/>
    <w:link w:val="Heading1Char"/>
    <w:uiPriority w:val="9"/>
    <w:qFormat/>
    <w:rsid w:val="00B51A63"/>
    <w:pPr>
      <w:keepNext/>
      <w:keepLines/>
      <w:shd w:val="clear" w:color="auto" w:fill="002B54" w:themeFill="accent3"/>
      <w:spacing w:before="360" w:after="60"/>
      <w:outlineLvl w:val="0"/>
    </w:pPr>
    <w:rPr>
      <w:rFonts w:ascii="Century Gothic" w:hAnsi="Century Gothic"/>
      <w:color w:val="FFFFFF" w:themeColor="background1"/>
      <w:sz w:val="48"/>
    </w:rPr>
  </w:style>
  <w:style w:type="paragraph" w:styleId="Heading2">
    <w:name w:val="heading 2"/>
    <w:aliases w:val="BG Heading 2"/>
    <w:basedOn w:val="Heading1"/>
    <w:next w:val="Normal"/>
    <w:link w:val="Heading2Char"/>
    <w:uiPriority w:val="9"/>
    <w:unhideWhenUsed/>
    <w:qFormat/>
    <w:rsid w:val="007D34FD"/>
    <w:pPr>
      <w:shd w:val="clear" w:color="auto" w:fill="auto"/>
      <w:outlineLvl w:val="1"/>
    </w:pPr>
    <w:rPr>
      <w:rFonts w:ascii="Calibri" w:hAnsi="Calibri"/>
      <w:color w:val="002B54" w:themeColor="accent3"/>
      <w:sz w:val="24"/>
      <w:szCs w:val="26"/>
    </w:rPr>
  </w:style>
  <w:style w:type="paragraph" w:styleId="Heading3">
    <w:name w:val="heading 3"/>
    <w:aliases w:val="BG Heading 3"/>
    <w:basedOn w:val="Normal"/>
    <w:next w:val="Normal"/>
    <w:link w:val="Heading3Char"/>
    <w:uiPriority w:val="9"/>
    <w:unhideWhenUsed/>
    <w:qFormat/>
    <w:rsid w:val="007D34FD"/>
    <w:pPr>
      <w:keepNext/>
      <w:keepLines/>
      <w:spacing w:line="240" w:lineRule="auto"/>
      <w:outlineLvl w:val="2"/>
    </w:pPr>
    <w:rPr>
      <w:rFonts w:eastAsiaTheme="majorEastAsia" w:cstheme="majorBidi"/>
      <w:b/>
      <w:caps/>
      <w:color w:val="002B54" w:themeColor="accent3"/>
      <w:szCs w:val="24"/>
    </w:rPr>
  </w:style>
  <w:style w:type="paragraph" w:styleId="Heading4">
    <w:name w:val="heading 4"/>
    <w:aliases w:val="BG Heading 4"/>
    <w:basedOn w:val="Heading3"/>
    <w:next w:val="Normal"/>
    <w:link w:val="Heading4Char"/>
    <w:uiPriority w:val="9"/>
    <w:unhideWhenUsed/>
    <w:qFormat/>
    <w:rsid w:val="00DE77F6"/>
    <w:pPr>
      <w:outlineLvl w:val="3"/>
    </w:pPr>
  </w:style>
  <w:style w:type="paragraph" w:styleId="Heading5">
    <w:name w:val="heading 5"/>
    <w:basedOn w:val="Heading4"/>
    <w:next w:val="Normal"/>
    <w:link w:val="Heading5Char"/>
    <w:uiPriority w:val="9"/>
    <w:unhideWhenUsed/>
    <w:qFormat/>
    <w:rsid w:val="00DE77F6"/>
    <w:pPr>
      <w:outlineLvl w:val="4"/>
    </w:pPr>
  </w:style>
  <w:style w:type="paragraph" w:styleId="Heading6">
    <w:name w:val="heading 6"/>
    <w:basedOn w:val="Heading5"/>
    <w:next w:val="Normal"/>
    <w:link w:val="Heading6Char"/>
    <w:uiPriority w:val="9"/>
    <w:unhideWhenUsed/>
    <w:qFormat/>
    <w:rsid w:val="00DE77F6"/>
    <w:pPr>
      <w:outlineLvl w:val="5"/>
    </w:pPr>
  </w:style>
  <w:style w:type="paragraph" w:styleId="Heading7">
    <w:name w:val="heading 7"/>
    <w:basedOn w:val="Heading6"/>
    <w:next w:val="Normal"/>
    <w:link w:val="Heading7Char"/>
    <w:uiPriority w:val="9"/>
    <w:unhideWhenUsed/>
    <w:qFormat/>
    <w:rsid w:val="00DE77F6"/>
    <w:pPr>
      <w:outlineLvl w:val="6"/>
    </w:pPr>
  </w:style>
  <w:style w:type="paragraph" w:styleId="Heading8">
    <w:name w:val="heading 8"/>
    <w:basedOn w:val="Normal"/>
    <w:next w:val="Normal"/>
    <w:link w:val="Heading8Char"/>
    <w:uiPriority w:val="9"/>
    <w:semiHidden/>
    <w:unhideWhenUsed/>
    <w:qFormat/>
    <w:rsid w:val="004B58AD"/>
    <w:pPr>
      <w:keepNext/>
      <w:keepLines/>
      <w:spacing w:before="200" w:after="0" w:line="240" w:lineRule="auto"/>
      <w:ind w:left="5040"/>
      <w:jc w:val="both"/>
      <w:outlineLvl w:val="7"/>
    </w:pPr>
    <w:rPr>
      <w:rFonts w:ascii="Sylfaen" w:eastAsiaTheme="majorEastAsia" w:hAnsi="Sylfaen" w:cstheme="majorBidi"/>
      <w:color w:val="615F6B" w:themeColor="text1" w:themeTint="BF"/>
      <w:kern w:val="0"/>
      <w:sz w:val="23"/>
      <w:szCs w:val="23"/>
    </w:rPr>
  </w:style>
  <w:style w:type="paragraph" w:styleId="Heading9">
    <w:name w:val="heading 9"/>
    <w:basedOn w:val="Normal"/>
    <w:next w:val="Normal"/>
    <w:link w:val="Heading9Char"/>
    <w:uiPriority w:val="9"/>
    <w:semiHidden/>
    <w:unhideWhenUsed/>
    <w:qFormat/>
    <w:rsid w:val="004B58AD"/>
    <w:pPr>
      <w:keepNext/>
      <w:keepLines/>
      <w:spacing w:before="200" w:after="0" w:line="240" w:lineRule="auto"/>
      <w:ind w:left="5760"/>
      <w:jc w:val="both"/>
      <w:outlineLvl w:val="8"/>
    </w:pPr>
    <w:rPr>
      <w:rFonts w:ascii="Sylfaen" w:eastAsiaTheme="majorEastAsia" w:hAnsi="Sylfaen" w:cstheme="majorBidi"/>
      <w:i/>
      <w:iCs/>
      <w:color w:val="615F6B" w:themeColor="text1" w:themeTint="BF"/>
      <w:kern w:val="0"/>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G Heading 1 Char"/>
    <w:basedOn w:val="DefaultParagraphFont"/>
    <w:link w:val="Heading1"/>
    <w:uiPriority w:val="9"/>
    <w:rsid w:val="00B51A63"/>
    <w:rPr>
      <w:rFonts w:ascii="Century Gothic" w:eastAsiaTheme="majorEastAsia" w:hAnsi="Century Gothic" w:cstheme="majorBidi"/>
      <w:b/>
      <w:caps/>
      <w:color w:val="FFFFFF" w:themeColor="background1"/>
      <w:kern w:val="24"/>
      <w:sz w:val="48"/>
      <w:szCs w:val="32"/>
      <w:shd w:val="clear" w:color="auto" w:fill="002B54" w:themeFill="accent3"/>
      <w:lang w:val="en-US"/>
    </w:rPr>
  </w:style>
  <w:style w:type="paragraph" w:styleId="NormalWeb">
    <w:name w:val="Normal (Web)"/>
    <w:basedOn w:val="Normal"/>
    <w:uiPriority w:val="99"/>
    <w:unhideWhenUsed/>
    <w:rsid w:val="0056438A"/>
    <w:pPr>
      <w:spacing w:before="100" w:beforeAutospacing="1" w:after="100" w:afterAutospacing="1" w:line="240" w:lineRule="auto"/>
    </w:pPr>
    <w:rPr>
      <w:rFonts w:ascii="Times New Roman" w:eastAsia="Times New Roman" w:hAnsi="Times New Roman" w:cs="Times New Roman"/>
      <w:szCs w:val="24"/>
      <w:lang w:eastAsia="ro-RO"/>
    </w:rPr>
  </w:style>
  <w:style w:type="paragraph" w:styleId="NoSpacing">
    <w:name w:val="No Spacing"/>
    <w:link w:val="NoSpacingChar"/>
    <w:uiPriority w:val="1"/>
    <w:qFormat/>
    <w:rsid w:val="0056438A"/>
    <w:pPr>
      <w:spacing w:after="0" w:line="240" w:lineRule="auto"/>
    </w:pPr>
    <w:rPr>
      <w:kern w:val="24"/>
      <w:sz w:val="24"/>
    </w:rPr>
  </w:style>
  <w:style w:type="paragraph" w:styleId="Title">
    <w:name w:val="Title"/>
    <w:next w:val="Normal"/>
    <w:link w:val="TitleChar"/>
    <w:uiPriority w:val="10"/>
    <w:qFormat/>
    <w:rsid w:val="009D2D6D"/>
    <w:pPr>
      <w:spacing w:after="0" w:line="240" w:lineRule="auto"/>
    </w:pPr>
    <w:rPr>
      <w:rFonts w:asciiTheme="majorHAnsi" w:eastAsiaTheme="majorEastAsia" w:hAnsiTheme="majorHAnsi" w:cstheme="majorBidi"/>
      <w:b/>
      <w:caps/>
      <w:kern w:val="24"/>
      <w:sz w:val="72"/>
      <w:szCs w:val="32"/>
      <w:lang w:val="en-US"/>
    </w:rPr>
  </w:style>
  <w:style w:type="character" w:customStyle="1" w:styleId="TitleChar">
    <w:name w:val="Title Char"/>
    <w:basedOn w:val="DefaultParagraphFont"/>
    <w:link w:val="Title"/>
    <w:uiPriority w:val="10"/>
    <w:rsid w:val="009D2D6D"/>
    <w:rPr>
      <w:rFonts w:asciiTheme="majorHAnsi" w:eastAsiaTheme="majorEastAsia" w:hAnsiTheme="majorHAnsi" w:cstheme="majorBidi"/>
      <w:b/>
      <w:caps/>
      <w:kern w:val="24"/>
      <w:sz w:val="72"/>
      <w:szCs w:val="32"/>
      <w:lang w:val="en-US"/>
    </w:rPr>
  </w:style>
  <w:style w:type="character" w:customStyle="1" w:styleId="Heading2Char">
    <w:name w:val="Heading 2 Char"/>
    <w:aliases w:val="BG Heading 2 Char"/>
    <w:basedOn w:val="DefaultParagraphFont"/>
    <w:link w:val="Heading2"/>
    <w:uiPriority w:val="9"/>
    <w:rsid w:val="007D34FD"/>
    <w:rPr>
      <w:rFonts w:ascii="Calibri" w:eastAsiaTheme="majorEastAsia" w:hAnsi="Calibri" w:cstheme="majorBidi"/>
      <w:b/>
      <w:caps/>
      <w:color w:val="002B54" w:themeColor="accent3"/>
      <w:kern w:val="24"/>
      <w:sz w:val="24"/>
      <w:szCs w:val="26"/>
      <w:lang w:val="en-US"/>
    </w:rPr>
  </w:style>
  <w:style w:type="character" w:customStyle="1" w:styleId="Heading3Char">
    <w:name w:val="Heading 3 Char"/>
    <w:aliases w:val="BG Heading 3 Char"/>
    <w:basedOn w:val="DefaultParagraphFont"/>
    <w:link w:val="Heading3"/>
    <w:uiPriority w:val="9"/>
    <w:rsid w:val="007D34FD"/>
    <w:rPr>
      <w:rFonts w:ascii="Calibri" w:eastAsiaTheme="majorEastAsia" w:hAnsi="Calibri" w:cstheme="majorBidi"/>
      <w:b/>
      <w:caps/>
      <w:color w:val="002B54" w:themeColor="accent3"/>
      <w:kern w:val="24"/>
      <w:szCs w:val="24"/>
      <w:lang w:val="en-US"/>
    </w:rPr>
  </w:style>
  <w:style w:type="character" w:customStyle="1" w:styleId="Heading4Char">
    <w:name w:val="Heading 4 Char"/>
    <w:aliases w:val="BG Heading 4 Char"/>
    <w:basedOn w:val="DefaultParagraphFont"/>
    <w:link w:val="Heading4"/>
    <w:uiPriority w:val="9"/>
    <w:rsid w:val="00DE77F6"/>
    <w:rPr>
      <w:rFonts w:asciiTheme="majorHAnsi" w:eastAsiaTheme="majorEastAsia" w:hAnsiTheme="majorHAnsi" w:cstheme="majorBidi"/>
      <w:b/>
      <w:caps/>
      <w:color w:val="7FB9C2" w:themeColor="accent5"/>
      <w:kern w:val="24"/>
      <w:sz w:val="24"/>
      <w:szCs w:val="24"/>
      <w:lang w:val="en-US"/>
    </w:rPr>
  </w:style>
  <w:style w:type="character" w:customStyle="1" w:styleId="Heading5Char">
    <w:name w:val="Heading 5 Char"/>
    <w:basedOn w:val="DefaultParagraphFont"/>
    <w:link w:val="Heading5"/>
    <w:uiPriority w:val="9"/>
    <w:rsid w:val="00DE77F6"/>
    <w:rPr>
      <w:rFonts w:asciiTheme="majorHAnsi" w:eastAsiaTheme="majorEastAsia" w:hAnsiTheme="majorHAnsi" w:cstheme="majorBidi"/>
      <w:b/>
      <w:caps/>
      <w:color w:val="7FB9C2" w:themeColor="accent5"/>
      <w:kern w:val="24"/>
      <w:sz w:val="24"/>
      <w:szCs w:val="24"/>
      <w:lang w:val="en-US"/>
    </w:rPr>
  </w:style>
  <w:style w:type="paragraph" w:styleId="Subtitle">
    <w:name w:val="Subtitle"/>
    <w:basedOn w:val="Normal"/>
    <w:next w:val="Normal"/>
    <w:link w:val="SubtitleChar"/>
    <w:uiPriority w:val="11"/>
    <w:qFormat/>
    <w:rsid w:val="006504F7"/>
    <w:pPr>
      <w:numPr>
        <w:ilvl w:val="1"/>
      </w:numPr>
      <w:spacing w:after="0"/>
      <w:ind w:firstLine="567"/>
    </w:pPr>
    <w:rPr>
      <w:rFonts w:eastAsiaTheme="minorEastAsia"/>
      <w:color w:val="747280" w:themeColor="text1" w:themeTint="A6"/>
      <w:spacing w:val="15"/>
      <w:sz w:val="36"/>
    </w:rPr>
  </w:style>
  <w:style w:type="character" w:customStyle="1" w:styleId="SubtitleChar">
    <w:name w:val="Subtitle Char"/>
    <w:basedOn w:val="DefaultParagraphFont"/>
    <w:link w:val="Subtitle"/>
    <w:uiPriority w:val="11"/>
    <w:rsid w:val="006504F7"/>
    <w:rPr>
      <w:rFonts w:eastAsiaTheme="minorEastAsia"/>
      <w:color w:val="747280" w:themeColor="text1" w:themeTint="A6"/>
      <w:spacing w:val="15"/>
      <w:kern w:val="24"/>
      <w:sz w:val="36"/>
    </w:rPr>
  </w:style>
  <w:style w:type="character" w:styleId="SubtleEmphasis">
    <w:name w:val="Subtle Emphasis"/>
    <w:basedOn w:val="DefaultParagraphFont"/>
    <w:uiPriority w:val="19"/>
    <w:qFormat/>
    <w:rsid w:val="006504F7"/>
    <w:rPr>
      <w:i/>
      <w:iCs/>
      <w:color w:val="615F6B" w:themeColor="text1" w:themeTint="BF"/>
    </w:rPr>
  </w:style>
  <w:style w:type="character" w:styleId="Emphasis">
    <w:name w:val="Emphasis"/>
    <w:basedOn w:val="DefaultParagraphFont"/>
    <w:uiPriority w:val="20"/>
    <w:qFormat/>
    <w:rsid w:val="006504F7"/>
    <w:rPr>
      <w:i/>
      <w:iCs/>
    </w:rPr>
  </w:style>
  <w:style w:type="character" w:styleId="IntenseEmphasis">
    <w:name w:val="Intense Emphasis"/>
    <w:basedOn w:val="DefaultParagraphFont"/>
    <w:uiPriority w:val="21"/>
    <w:qFormat/>
    <w:rsid w:val="00E477D5"/>
    <w:rPr>
      <w:i/>
      <w:iCs/>
      <w:color w:val="00467F" w:themeColor="accent6"/>
    </w:rPr>
  </w:style>
  <w:style w:type="paragraph" w:customStyle="1" w:styleId="Author">
    <w:name w:val="Author"/>
    <w:basedOn w:val="Normal"/>
    <w:qFormat/>
    <w:rsid w:val="009205EB"/>
    <w:pPr>
      <w:spacing w:after="0"/>
    </w:pPr>
    <w:rPr>
      <w:color w:val="FFFFFF" w:themeColor="background1"/>
      <w:sz w:val="48"/>
    </w:rPr>
  </w:style>
  <w:style w:type="character" w:customStyle="1" w:styleId="NoSpacingChar">
    <w:name w:val="No Spacing Char"/>
    <w:basedOn w:val="DefaultParagraphFont"/>
    <w:link w:val="NoSpacing"/>
    <w:uiPriority w:val="1"/>
    <w:rsid w:val="00CA081D"/>
    <w:rPr>
      <w:kern w:val="24"/>
      <w:sz w:val="24"/>
    </w:rPr>
  </w:style>
  <w:style w:type="paragraph" w:styleId="TOCHeading">
    <w:name w:val="TOC Heading"/>
    <w:basedOn w:val="Heading1"/>
    <w:next w:val="Normal"/>
    <w:uiPriority w:val="39"/>
    <w:unhideWhenUsed/>
    <w:qFormat/>
    <w:rsid w:val="009205EB"/>
    <w:pPr>
      <w:spacing w:before="240" w:after="0" w:line="259" w:lineRule="auto"/>
      <w:outlineLvl w:val="9"/>
    </w:pPr>
    <w:rPr>
      <w:caps w:val="0"/>
      <w:kern w:val="0"/>
    </w:rPr>
  </w:style>
  <w:style w:type="paragraph" w:styleId="TOC1">
    <w:name w:val="toc 1"/>
    <w:aliases w:val="BG TOC 1"/>
    <w:basedOn w:val="Heading2"/>
    <w:next w:val="Normal"/>
    <w:autoRedefine/>
    <w:uiPriority w:val="39"/>
    <w:unhideWhenUsed/>
    <w:rsid w:val="00896757"/>
    <w:pPr>
      <w:tabs>
        <w:tab w:val="right" w:leader="dot" w:pos="9350"/>
      </w:tabs>
      <w:spacing w:before="240" w:after="120"/>
    </w:pPr>
  </w:style>
  <w:style w:type="character" w:styleId="Hyperlink">
    <w:name w:val="Hyperlink"/>
    <w:aliases w:val="BG Hyperlink"/>
    <w:basedOn w:val="DefaultParagraphFont"/>
    <w:uiPriority w:val="99"/>
    <w:unhideWhenUsed/>
    <w:rsid w:val="002C7CDB"/>
    <w:rPr>
      <w:color w:val="7FB9C2" w:themeColor="hyperlink"/>
      <w:u w:val="single"/>
    </w:rPr>
  </w:style>
  <w:style w:type="character" w:customStyle="1" w:styleId="Heading6Char">
    <w:name w:val="Heading 6 Char"/>
    <w:basedOn w:val="DefaultParagraphFont"/>
    <w:link w:val="Heading6"/>
    <w:uiPriority w:val="9"/>
    <w:rsid w:val="00DE77F6"/>
    <w:rPr>
      <w:rFonts w:asciiTheme="majorHAnsi" w:eastAsiaTheme="majorEastAsia" w:hAnsiTheme="majorHAnsi" w:cstheme="majorBidi"/>
      <w:b/>
      <w:caps/>
      <w:color w:val="7FB9C2" w:themeColor="accent5"/>
      <w:kern w:val="24"/>
      <w:sz w:val="24"/>
      <w:szCs w:val="24"/>
      <w:lang w:val="en-US"/>
    </w:rPr>
  </w:style>
  <w:style w:type="paragraph" w:styleId="TOC2">
    <w:name w:val="toc 2"/>
    <w:aliases w:val="BG TOC 2"/>
    <w:basedOn w:val="Heading3"/>
    <w:next w:val="Normal"/>
    <w:autoRedefine/>
    <w:uiPriority w:val="39"/>
    <w:unhideWhenUsed/>
    <w:rsid w:val="003B5525"/>
    <w:pPr>
      <w:tabs>
        <w:tab w:val="left" w:pos="450"/>
        <w:tab w:val="left" w:pos="720"/>
        <w:tab w:val="right" w:leader="dot" w:pos="9360"/>
      </w:tabs>
      <w:ind w:left="284"/>
    </w:pPr>
    <w:rPr>
      <w:b w:val="0"/>
      <w:noProof/>
    </w:rPr>
  </w:style>
  <w:style w:type="paragraph" w:styleId="TOC3">
    <w:name w:val="toc 3"/>
    <w:aliases w:val="BG TOC 3"/>
    <w:basedOn w:val="Heading3"/>
    <w:next w:val="Normal"/>
    <w:autoRedefine/>
    <w:uiPriority w:val="39"/>
    <w:unhideWhenUsed/>
    <w:rsid w:val="00896757"/>
    <w:pPr>
      <w:tabs>
        <w:tab w:val="left" w:pos="1080"/>
        <w:tab w:val="right" w:leader="dot" w:pos="9350"/>
      </w:tabs>
      <w:ind w:left="567"/>
    </w:pPr>
  </w:style>
  <w:style w:type="paragraph" w:styleId="Header">
    <w:name w:val="header"/>
    <w:basedOn w:val="Normal"/>
    <w:link w:val="HeaderChar"/>
    <w:uiPriority w:val="99"/>
    <w:unhideWhenUsed/>
    <w:rsid w:val="008178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7887"/>
    <w:rPr>
      <w:kern w:val="24"/>
      <w:sz w:val="24"/>
      <w:lang w:val="en-US"/>
    </w:rPr>
  </w:style>
  <w:style w:type="paragraph" w:styleId="Footer">
    <w:name w:val="footer"/>
    <w:basedOn w:val="Normal"/>
    <w:link w:val="FooterChar"/>
    <w:uiPriority w:val="99"/>
    <w:unhideWhenUsed/>
    <w:rsid w:val="00F11780"/>
    <w:pPr>
      <w:tabs>
        <w:tab w:val="center" w:pos="4536"/>
        <w:tab w:val="right" w:pos="9072"/>
      </w:tabs>
      <w:spacing w:after="0" w:line="240" w:lineRule="auto"/>
      <w:jc w:val="center"/>
    </w:pPr>
    <w:rPr>
      <w:color w:val="FFFFFF" w:themeColor="background1"/>
    </w:rPr>
  </w:style>
  <w:style w:type="character" w:customStyle="1" w:styleId="FooterChar">
    <w:name w:val="Footer Char"/>
    <w:basedOn w:val="DefaultParagraphFont"/>
    <w:link w:val="Footer"/>
    <w:uiPriority w:val="99"/>
    <w:rsid w:val="00F11780"/>
    <w:rPr>
      <w:color w:val="FFFFFF" w:themeColor="background1"/>
      <w:kern w:val="24"/>
      <w:sz w:val="24"/>
      <w:lang w:val="en-US"/>
    </w:rPr>
  </w:style>
  <w:style w:type="paragraph" w:styleId="ListBullet">
    <w:name w:val="List Bullet"/>
    <w:basedOn w:val="Normal"/>
    <w:uiPriority w:val="11"/>
    <w:qFormat/>
    <w:rsid w:val="00C24DE2"/>
    <w:pPr>
      <w:numPr>
        <w:numId w:val="1"/>
      </w:numPr>
      <w:spacing w:before="120" w:after="0"/>
      <w:ind w:left="568" w:hanging="284"/>
    </w:pPr>
    <w:rPr>
      <w:rFonts w:eastAsiaTheme="minorEastAsia"/>
      <w:kern w:val="0"/>
      <w:lang w:eastAsia="ja-JP"/>
    </w:rPr>
  </w:style>
  <w:style w:type="character" w:customStyle="1" w:styleId="Heading7Char">
    <w:name w:val="Heading 7 Char"/>
    <w:basedOn w:val="DefaultParagraphFont"/>
    <w:link w:val="Heading7"/>
    <w:uiPriority w:val="9"/>
    <w:rsid w:val="00DE77F6"/>
    <w:rPr>
      <w:rFonts w:asciiTheme="majorHAnsi" w:eastAsiaTheme="majorEastAsia" w:hAnsiTheme="majorHAnsi" w:cstheme="majorBidi"/>
      <w:b/>
      <w:caps/>
      <w:color w:val="7FB9C2" w:themeColor="accent5"/>
      <w:kern w:val="24"/>
      <w:sz w:val="24"/>
      <w:szCs w:val="24"/>
      <w:lang w:val="en-US"/>
    </w:rPr>
  </w:style>
  <w:style w:type="paragraph" w:styleId="IntenseQuote">
    <w:name w:val="Intense Quote"/>
    <w:basedOn w:val="Normal"/>
    <w:next w:val="Normal"/>
    <w:link w:val="IntenseQuoteChar"/>
    <w:uiPriority w:val="30"/>
    <w:qFormat/>
    <w:rsid w:val="00874222"/>
    <w:pPr>
      <w:pBdr>
        <w:top w:val="single" w:sz="4" w:space="10" w:color="00467F" w:themeColor="accent6"/>
        <w:bottom w:val="single" w:sz="4" w:space="1" w:color="00467F" w:themeColor="accent6"/>
      </w:pBdr>
      <w:spacing w:before="360" w:after="360"/>
      <w:ind w:left="567" w:right="2835"/>
      <w:jc w:val="center"/>
    </w:pPr>
    <w:rPr>
      <w:i/>
      <w:iCs/>
      <w:color w:val="00467F" w:themeColor="accent6"/>
    </w:rPr>
  </w:style>
  <w:style w:type="character" w:customStyle="1" w:styleId="IntenseQuoteChar">
    <w:name w:val="Intense Quote Char"/>
    <w:basedOn w:val="DefaultParagraphFont"/>
    <w:link w:val="IntenseQuote"/>
    <w:uiPriority w:val="30"/>
    <w:rsid w:val="00874222"/>
    <w:rPr>
      <w:i/>
      <w:iCs/>
      <w:color w:val="00467F" w:themeColor="accent6"/>
      <w:kern w:val="24"/>
      <w:sz w:val="24"/>
      <w:lang w:val="en-US"/>
    </w:rPr>
  </w:style>
  <w:style w:type="character" w:styleId="IntenseReference">
    <w:name w:val="Intense Reference"/>
    <w:basedOn w:val="DefaultParagraphFont"/>
    <w:uiPriority w:val="32"/>
    <w:qFormat/>
    <w:rsid w:val="00E477D5"/>
    <w:rPr>
      <w:b/>
      <w:bCs/>
      <w:smallCaps/>
      <w:color w:val="00467F" w:themeColor="accent6"/>
      <w:spacing w:val="5"/>
      <w:bdr w:val="none" w:sz="0" w:space="0" w:color="auto"/>
    </w:rPr>
  </w:style>
  <w:style w:type="paragraph" w:styleId="BalloonText">
    <w:name w:val="Balloon Text"/>
    <w:basedOn w:val="Normal"/>
    <w:link w:val="BalloonTextChar"/>
    <w:uiPriority w:val="99"/>
    <w:semiHidden/>
    <w:unhideWhenUsed/>
    <w:rsid w:val="00C24D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DE2"/>
    <w:rPr>
      <w:rFonts w:ascii="Segoe UI" w:hAnsi="Segoe UI" w:cs="Segoe UI"/>
      <w:kern w:val="24"/>
      <w:sz w:val="18"/>
      <w:szCs w:val="18"/>
      <w:lang w:val="en-US"/>
    </w:rPr>
  </w:style>
  <w:style w:type="character" w:styleId="CommentReference">
    <w:name w:val="annotation reference"/>
    <w:basedOn w:val="DefaultParagraphFont"/>
    <w:uiPriority w:val="99"/>
    <w:semiHidden/>
    <w:unhideWhenUsed/>
    <w:rsid w:val="00B51A63"/>
    <w:rPr>
      <w:sz w:val="16"/>
      <w:szCs w:val="16"/>
    </w:rPr>
  </w:style>
  <w:style w:type="paragraph" w:styleId="CommentText">
    <w:name w:val="annotation text"/>
    <w:basedOn w:val="Normal"/>
    <w:link w:val="CommentTextChar"/>
    <w:uiPriority w:val="99"/>
    <w:unhideWhenUsed/>
    <w:rsid w:val="00B51A63"/>
    <w:pPr>
      <w:spacing w:after="200" w:line="240" w:lineRule="auto"/>
    </w:pPr>
    <w:rPr>
      <w:rFonts w:eastAsia="MS Mincho"/>
      <w:kern w:val="0"/>
      <w:sz w:val="20"/>
      <w:szCs w:val="20"/>
      <w:lang w:val="en-GB" w:eastAsia="en-GB"/>
    </w:rPr>
  </w:style>
  <w:style w:type="character" w:customStyle="1" w:styleId="CommentTextChar">
    <w:name w:val="Comment Text Char"/>
    <w:basedOn w:val="DefaultParagraphFont"/>
    <w:link w:val="CommentText"/>
    <w:uiPriority w:val="99"/>
    <w:rsid w:val="00B51A63"/>
    <w:rPr>
      <w:rFonts w:eastAsia="MS Mincho"/>
      <w:sz w:val="20"/>
      <w:szCs w:val="20"/>
      <w:lang w:val="en-GB" w:eastAsia="en-GB"/>
    </w:rPr>
  </w:style>
  <w:style w:type="paragraph" w:styleId="FootnoteText">
    <w:name w:val="footnote text"/>
    <w:aliases w:val="TBG Style,BG Footnote Text,Footnote Text Char1 Char,TBG Style Char Char Char,TBG Style Char Char,Footnote Text Char3 Char,Footnote Text Char Char Char,Footnote Text Char1 Char Char Char"/>
    <w:basedOn w:val="Normal"/>
    <w:link w:val="FootnoteTextChar"/>
    <w:uiPriority w:val="99"/>
    <w:unhideWhenUsed/>
    <w:rsid w:val="00B51A63"/>
    <w:pPr>
      <w:spacing w:after="0" w:line="240" w:lineRule="auto"/>
    </w:pPr>
    <w:rPr>
      <w:rFonts w:eastAsia="MS Mincho"/>
      <w:kern w:val="0"/>
      <w:sz w:val="20"/>
      <w:szCs w:val="20"/>
      <w:lang w:val="en-GB" w:eastAsia="en-GB"/>
    </w:rPr>
  </w:style>
  <w:style w:type="character" w:customStyle="1" w:styleId="FootnoteTextChar">
    <w:name w:val="Footnote Text Char"/>
    <w:aliases w:val="TBG Style Char,BG Footnote Text Char,Footnote Text Char1 Char Char,TBG Style Char Char Char Char,TBG Style Char Char Char1,Footnote Text Char3 Char Char,Footnote Text Char Char Char Char,Footnote Text Char1 Char Char Char Char"/>
    <w:basedOn w:val="DefaultParagraphFont"/>
    <w:link w:val="FootnoteText"/>
    <w:uiPriority w:val="99"/>
    <w:rsid w:val="00B51A63"/>
    <w:rPr>
      <w:rFonts w:eastAsia="MS Mincho"/>
      <w:sz w:val="20"/>
      <w:szCs w:val="20"/>
      <w:lang w:val="en-GB" w:eastAsia="en-GB"/>
    </w:rPr>
  </w:style>
  <w:style w:type="character" w:styleId="FootnoteReference">
    <w:name w:val="footnote reference"/>
    <w:aliases w:val="o"/>
    <w:basedOn w:val="DefaultParagraphFont"/>
    <w:uiPriority w:val="99"/>
    <w:unhideWhenUsed/>
    <w:rsid w:val="00B51A63"/>
    <w:rPr>
      <w:vertAlign w:val="superscript"/>
    </w:rPr>
  </w:style>
  <w:style w:type="paragraph" w:styleId="Caption">
    <w:name w:val="caption"/>
    <w:aliases w:val="BG Caption"/>
    <w:basedOn w:val="Normal"/>
    <w:next w:val="Normal"/>
    <w:unhideWhenUsed/>
    <w:qFormat/>
    <w:rsid w:val="00B51A63"/>
    <w:pPr>
      <w:spacing w:after="200" w:line="240" w:lineRule="auto"/>
    </w:pPr>
    <w:rPr>
      <w:i/>
      <w:iCs/>
      <w:color w:val="FFFFFF" w:themeColor="text2"/>
      <w:sz w:val="18"/>
      <w:szCs w:val="18"/>
    </w:rPr>
  </w:style>
  <w:style w:type="paragraph" w:styleId="ListParagraph">
    <w:name w:val="List Paragraph"/>
    <w:basedOn w:val="Normal"/>
    <w:link w:val="ListParagraphChar"/>
    <w:uiPriority w:val="34"/>
    <w:qFormat/>
    <w:rsid w:val="005529E0"/>
    <w:pPr>
      <w:ind w:left="720"/>
      <w:contextualSpacing/>
    </w:pPr>
  </w:style>
  <w:style w:type="character" w:customStyle="1" w:styleId="UnresolvedMention1">
    <w:name w:val="Unresolved Mention1"/>
    <w:basedOn w:val="DefaultParagraphFont"/>
    <w:uiPriority w:val="99"/>
    <w:semiHidden/>
    <w:unhideWhenUsed/>
    <w:rsid w:val="0084368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101E2"/>
    <w:pPr>
      <w:spacing w:after="120"/>
    </w:pPr>
    <w:rPr>
      <w:rFonts w:eastAsiaTheme="minorHAnsi"/>
      <w:b/>
      <w:bCs/>
      <w:kern w:val="24"/>
      <w:lang w:val="en-US" w:eastAsia="en-US"/>
    </w:rPr>
  </w:style>
  <w:style w:type="character" w:customStyle="1" w:styleId="CommentSubjectChar">
    <w:name w:val="Comment Subject Char"/>
    <w:basedOn w:val="CommentTextChar"/>
    <w:link w:val="CommentSubject"/>
    <w:uiPriority w:val="99"/>
    <w:semiHidden/>
    <w:rsid w:val="00C101E2"/>
    <w:rPr>
      <w:rFonts w:eastAsia="MS Mincho"/>
      <w:b/>
      <w:bCs/>
      <w:kern w:val="24"/>
      <w:sz w:val="20"/>
      <w:szCs w:val="20"/>
      <w:lang w:val="en-US" w:eastAsia="en-GB"/>
    </w:rPr>
  </w:style>
  <w:style w:type="paragraph" w:styleId="Revision">
    <w:name w:val="Revision"/>
    <w:hidden/>
    <w:uiPriority w:val="99"/>
    <w:semiHidden/>
    <w:rsid w:val="00EB492F"/>
    <w:pPr>
      <w:spacing w:after="0" w:line="240" w:lineRule="auto"/>
    </w:pPr>
    <w:rPr>
      <w:kern w:val="24"/>
      <w:sz w:val="24"/>
      <w:lang w:val="en-US"/>
    </w:rPr>
  </w:style>
  <w:style w:type="table" w:styleId="TableGrid">
    <w:name w:val="Table Grid"/>
    <w:basedOn w:val="TableNormal"/>
    <w:uiPriority w:val="59"/>
    <w:rsid w:val="00A8208A"/>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2940"/>
    <w:pPr>
      <w:autoSpaceDE w:val="0"/>
      <w:autoSpaceDN w:val="0"/>
      <w:adjustRightInd w:val="0"/>
      <w:spacing w:after="0" w:line="240" w:lineRule="auto"/>
    </w:pPr>
    <w:rPr>
      <w:rFonts w:ascii="Calibri" w:hAnsi="Calibri" w:cs="Calibri"/>
      <w:color w:val="000000"/>
      <w:sz w:val="24"/>
      <w:szCs w:val="24"/>
      <w:lang w:val="en-US"/>
    </w:rPr>
  </w:style>
  <w:style w:type="paragraph" w:customStyle="1" w:styleId="BGNormal125">
    <w:name w:val="BG Normal 125"/>
    <w:basedOn w:val="Normal"/>
    <w:qFormat/>
    <w:rsid w:val="004A3BF6"/>
    <w:pPr>
      <w:spacing w:before="300" w:after="0" w:line="300" w:lineRule="auto"/>
      <w:jc w:val="both"/>
    </w:pPr>
    <w:rPr>
      <w:rFonts w:ascii="Sylfaen" w:hAnsi="Sylfaen" w:cs="Times New Roman"/>
      <w:color w:val="000000"/>
      <w:kern w:val="0"/>
      <w:sz w:val="23"/>
      <w:szCs w:val="23"/>
    </w:rPr>
  </w:style>
  <w:style w:type="paragraph" w:customStyle="1" w:styleId="BGAcknowledgement">
    <w:name w:val="BG Acknowledgement"/>
    <w:basedOn w:val="BGNormal125"/>
    <w:next w:val="BGNormal125"/>
    <w:qFormat/>
    <w:rsid w:val="004A3BF6"/>
    <w:rPr>
      <w:szCs w:val="21"/>
    </w:rPr>
  </w:style>
  <w:style w:type="paragraph" w:customStyle="1" w:styleId="BGInsertGraphic">
    <w:name w:val="BG Insert Graphic"/>
    <w:basedOn w:val="Normal"/>
    <w:next w:val="BGNormal125"/>
    <w:qFormat/>
    <w:rsid w:val="009D5510"/>
    <w:pPr>
      <w:spacing w:before="60" w:after="0" w:line="240" w:lineRule="auto"/>
      <w:jc w:val="center"/>
    </w:pPr>
    <w:rPr>
      <w:rFonts w:ascii="Sylfaen" w:hAnsi="Sylfaen" w:cs="Times New Roman"/>
      <w:color w:val="000000"/>
      <w:kern w:val="0"/>
      <w:sz w:val="23"/>
      <w:szCs w:val="23"/>
    </w:rPr>
  </w:style>
  <w:style w:type="paragraph" w:customStyle="1" w:styleId="BGNotesFiguresTables">
    <w:name w:val="BG Notes Figures &amp; Tables"/>
    <w:basedOn w:val="Normal"/>
    <w:next w:val="BGNormal125"/>
    <w:qFormat/>
    <w:rsid w:val="009D5510"/>
    <w:pPr>
      <w:spacing w:before="60" w:after="0" w:line="240" w:lineRule="auto"/>
      <w:ind w:left="1440" w:right="1440"/>
      <w:jc w:val="both"/>
    </w:pPr>
    <w:rPr>
      <w:rFonts w:cs="Times New Roman"/>
      <w:color w:val="000000"/>
      <w:kern w:val="0"/>
      <w:sz w:val="16"/>
      <w:szCs w:val="23"/>
    </w:rPr>
  </w:style>
  <w:style w:type="character" w:customStyle="1" w:styleId="Heading8Char">
    <w:name w:val="Heading 8 Char"/>
    <w:basedOn w:val="DefaultParagraphFont"/>
    <w:link w:val="Heading8"/>
    <w:uiPriority w:val="9"/>
    <w:semiHidden/>
    <w:rsid w:val="004B58AD"/>
    <w:rPr>
      <w:rFonts w:ascii="Sylfaen" w:eastAsiaTheme="majorEastAsia" w:hAnsi="Sylfaen" w:cstheme="majorBidi"/>
      <w:color w:val="615F6B" w:themeColor="text1" w:themeTint="BF"/>
      <w:sz w:val="23"/>
      <w:szCs w:val="23"/>
      <w:lang w:val="en-US"/>
    </w:rPr>
  </w:style>
  <w:style w:type="character" w:customStyle="1" w:styleId="Heading9Char">
    <w:name w:val="Heading 9 Char"/>
    <w:basedOn w:val="DefaultParagraphFont"/>
    <w:link w:val="Heading9"/>
    <w:uiPriority w:val="9"/>
    <w:semiHidden/>
    <w:rsid w:val="004B58AD"/>
    <w:rPr>
      <w:rFonts w:ascii="Sylfaen" w:eastAsiaTheme="majorEastAsia" w:hAnsi="Sylfaen" w:cstheme="majorBidi"/>
      <w:i/>
      <w:iCs/>
      <w:color w:val="615F6B" w:themeColor="text1" w:themeTint="BF"/>
      <w:sz w:val="23"/>
      <w:szCs w:val="23"/>
      <w:lang w:val="en-US"/>
    </w:rPr>
  </w:style>
  <w:style w:type="paragraph" w:customStyle="1" w:styleId="BGBulletedList">
    <w:name w:val="BG Bulleted List"/>
    <w:basedOn w:val="Normal"/>
    <w:qFormat/>
    <w:rsid w:val="004B58AD"/>
    <w:pPr>
      <w:numPr>
        <w:numId w:val="5"/>
      </w:numPr>
      <w:spacing w:before="120" w:after="0" w:line="300" w:lineRule="auto"/>
      <w:jc w:val="both"/>
    </w:pPr>
    <w:rPr>
      <w:rFonts w:ascii="Sylfaen" w:hAnsi="Sylfaen" w:cs="Times New Roman"/>
      <w:color w:val="000000"/>
      <w:kern w:val="0"/>
      <w:sz w:val="23"/>
      <w:szCs w:val="23"/>
    </w:rPr>
  </w:style>
  <w:style w:type="paragraph" w:customStyle="1" w:styleId="BGCoNameorLogo">
    <w:name w:val="BG Co Name or Logo"/>
    <w:basedOn w:val="Normal"/>
    <w:next w:val="Normal"/>
    <w:qFormat/>
    <w:rsid w:val="004B58AD"/>
    <w:pPr>
      <w:spacing w:after="0" w:line="300" w:lineRule="auto"/>
      <w:jc w:val="both"/>
    </w:pPr>
    <w:rPr>
      <w:rFonts w:ascii="Century Gothic" w:hAnsi="Century Gothic" w:cs="Times New Roman"/>
      <w:color w:val="000000"/>
      <w:kern w:val="0"/>
      <w:sz w:val="40"/>
      <w:szCs w:val="40"/>
    </w:rPr>
  </w:style>
  <w:style w:type="paragraph" w:customStyle="1" w:styleId="BGConsultantName">
    <w:name w:val="BG Consultant Name"/>
    <w:basedOn w:val="Normal"/>
    <w:next w:val="Normal"/>
    <w:qFormat/>
    <w:rsid w:val="004B58AD"/>
    <w:pPr>
      <w:spacing w:before="120" w:after="0" w:line="240" w:lineRule="auto"/>
      <w:jc w:val="both"/>
    </w:pPr>
    <w:rPr>
      <w:rFonts w:ascii="Century Gothic" w:hAnsi="Century Gothic" w:cs="Times New Roman"/>
      <w:color w:val="000000"/>
      <w:kern w:val="0"/>
      <w:sz w:val="23"/>
      <w:szCs w:val="23"/>
    </w:rPr>
  </w:style>
  <w:style w:type="paragraph" w:customStyle="1" w:styleId="BGCopyright">
    <w:name w:val="BG Copyright"/>
    <w:basedOn w:val="Normal"/>
    <w:next w:val="BGNormal125"/>
    <w:qFormat/>
    <w:rsid w:val="004B58AD"/>
    <w:pPr>
      <w:spacing w:after="0" w:line="420" w:lineRule="auto"/>
      <w:jc w:val="both"/>
    </w:pPr>
    <w:rPr>
      <w:rFonts w:ascii="Century Gothic" w:hAnsi="Century Gothic" w:cs="Times New Roman"/>
      <w:color w:val="000000"/>
      <w:kern w:val="0"/>
      <w:sz w:val="15"/>
      <w:szCs w:val="15"/>
    </w:rPr>
  </w:style>
  <w:style w:type="paragraph" w:customStyle="1" w:styleId="BGNormal150">
    <w:name w:val="BG Normal 150"/>
    <w:basedOn w:val="Normal"/>
    <w:qFormat/>
    <w:rsid w:val="004B58AD"/>
    <w:pPr>
      <w:spacing w:before="320" w:after="0" w:line="360" w:lineRule="auto"/>
      <w:jc w:val="both"/>
    </w:pPr>
    <w:rPr>
      <w:rFonts w:ascii="Sylfaen" w:hAnsi="Sylfaen" w:cs="Times New Roman"/>
      <w:color w:val="000000"/>
      <w:kern w:val="0"/>
      <w:sz w:val="23"/>
      <w:szCs w:val="23"/>
    </w:rPr>
  </w:style>
  <w:style w:type="paragraph" w:customStyle="1" w:styleId="BGNumberedList">
    <w:name w:val="BG Numbered List"/>
    <w:basedOn w:val="Normal"/>
    <w:qFormat/>
    <w:rsid w:val="004B58AD"/>
    <w:pPr>
      <w:numPr>
        <w:numId w:val="3"/>
      </w:numPr>
      <w:spacing w:before="120" w:after="0" w:line="276" w:lineRule="auto"/>
      <w:jc w:val="both"/>
    </w:pPr>
    <w:rPr>
      <w:rFonts w:ascii="Sylfaen" w:hAnsi="Sylfaen" w:cs="Times New Roman"/>
      <w:color w:val="000000"/>
      <w:kern w:val="0"/>
      <w:sz w:val="23"/>
      <w:szCs w:val="23"/>
    </w:rPr>
  </w:style>
  <w:style w:type="paragraph" w:customStyle="1" w:styleId="BGParaNumbered">
    <w:name w:val="BG Para Numbered"/>
    <w:basedOn w:val="Normal"/>
    <w:qFormat/>
    <w:rsid w:val="004B58AD"/>
    <w:pPr>
      <w:numPr>
        <w:numId w:val="4"/>
      </w:numPr>
      <w:spacing w:before="120" w:after="0" w:line="300" w:lineRule="auto"/>
      <w:ind w:left="547" w:hanging="547"/>
      <w:jc w:val="both"/>
    </w:pPr>
    <w:rPr>
      <w:rFonts w:ascii="Sylfaen" w:hAnsi="Sylfaen" w:cs="Times New Roman"/>
      <w:color w:val="000000"/>
      <w:kern w:val="0"/>
      <w:sz w:val="23"/>
      <w:szCs w:val="23"/>
    </w:rPr>
  </w:style>
  <w:style w:type="paragraph" w:customStyle="1" w:styleId="BGPreparedorDate">
    <w:name w:val="BG Prepared or Date"/>
    <w:basedOn w:val="Normal"/>
    <w:next w:val="Normal"/>
    <w:qFormat/>
    <w:rsid w:val="004B58AD"/>
    <w:pPr>
      <w:spacing w:after="0" w:line="480" w:lineRule="auto"/>
      <w:jc w:val="both"/>
    </w:pPr>
    <w:rPr>
      <w:rFonts w:ascii="Century Gothic" w:hAnsi="Century Gothic" w:cs="Times New Roman"/>
      <w:b/>
      <w:color w:val="7FB9C2"/>
      <w:spacing w:val="20"/>
      <w:kern w:val="0"/>
      <w:sz w:val="23"/>
      <w:szCs w:val="23"/>
    </w:rPr>
  </w:style>
  <w:style w:type="paragraph" w:customStyle="1" w:styleId="BGReportTitle">
    <w:name w:val="BG Report Title"/>
    <w:basedOn w:val="Normal"/>
    <w:qFormat/>
    <w:rsid w:val="004B58AD"/>
    <w:pPr>
      <w:spacing w:after="0" w:line="300" w:lineRule="auto"/>
      <w:jc w:val="both"/>
    </w:pPr>
    <w:rPr>
      <w:rFonts w:ascii="Century Gothic" w:hAnsi="Century Gothic" w:cs="Times New Roman"/>
      <w:b/>
      <w:color w:val="00467F"/>
      <w:kern w:val="0"/>
      <w:sz w:val="48"/>
      <w:szCs w:val="48"/>
    </w:rPr>
  </w:style>
  <w:style w:type="paragraph" w:customStyle="1" w:styleId="BGRptSubtitle">
    <w:name w:val="BG Rpt Subtitle"/>
    <w:basedOn w:val="Normal"/>
    <w:next w:val="Normal"/>
    <w:qFormat/>
    <w:rsid w:val="004B58AD"/>
    <w:pPr>
      <w:spacing w:after="0" w:line="300" w:lineRule="auto"/>
      <w:jc w:val="both"/>
    </w:pPr>
    <w:rPr>
      <w:rFonts w:ascii="Century Gothic" w:hAnsi="Century Gothic" w:cs="Times New Roman"/>
      <w:color w:val="00467F"/>
      <w:kern w:val="0"/>
      <w:sz w:val="42"/>
      <w:szCs w:val="42"/>
    </w:rPr>
  </w:style>
  <w:style w:type="paragraph" w:customStyle="1" w:styleId="BGTOCHeading">
    <w:name w:val="BG TOC Heading"/>
    <w:basedOn w:val="Normal"/>
    <w:next w:val="Normal"/>
    <w:qFormat/>
    <w:rsid w:val="004B58AD"/>
    <w:pPr>
      <w:spacing w:before="300" w:after="0" w:line="300" w:lineRule="auto"/>
      <w:jc w:val="both"/>
    </w:pPr>
    <w:rPr>
      <w:rFonts w:ascii="Century Gothic" w:hAnsi="Century Gothic" w:cs="Times New Roman"/>
      <w:b/>
      <w:color w:val="00467F"/>
      <w:kern w:val="0"/>
      <w:sz w:val="28"/>
      <w:szCs w:val="28"/>
    </w:rPr>
  </w:style>
  <w:style w:type="numbering" w:customStyle="1" w:styleId="BlueBullets">
    <w:name w:val="Blue Bullets"/>
    <w:uiPriority w:val="99"/>
    <w:rsid w:val="004B58AD"/>
    <w:pPr>
      <w:numPr>
        <w:numId w:val="5"/>
      </w:numPr>
    </w:pPr>
  </w:style>
  <w:style w:type="character" w:styleId="FollowedHyperlink">
    <w:name w:val="FollowedHyperlink"/>
    <w:basedOn w:val="DefaultParagraphFont"/>
    <w:uiPriority w:val="99"/>
    <w:semiHidden/>
    <w:unhideWhenUsed/>
    <w:rsid w:val="004B58AD"/>
    <w:rPr>
      <w:color w:val="00467F" w:themeColor="followedHyperlink"/>
      <w:u w:val="single"/>
    </w:rPr>
  </w:style>
  <w:style w:type="character" w:styleId="PageNumber">
    <w:name w:val="page number"/>
    <w:basedOn w:val="DefaultParagraphFont"/>
    <w:uiPriority w:val="99"/>
    <w:semiHidden/>
    <w:unhideWhenUsed/>
    <w:rsid w:val="004B58AD"/>
  </w:style>
  <w:style w:type="character" w:styleId="PlaceholderText">
    <w:name w:val="Placeholder Text"/>
    <w:basedOn w:val="DefaultParagraphFont"/>
    <w:uiPriority w:val="99"/>
    <w:semiHidden/>
    <w:rsid w:val="004B58AD"/>
    <w:rPr>
      <w:color w:val="808080"/>
    </w:rPr>
  </w:style>
  <w:style w:type="paragraph" w:styleId="Quote">
    <w:name w:val="Quote"/>
    <w:aliases w:val="BG Indented Quote"/>
    <w:basedOn w:val="Normal"/>
    <w:next w:val="Normal"/>
    <w:link w:val="QuoteChar"/>
    <w:uiPriority w:val="29"/>
    <w:qFormat/>
    <w:rsid w:val="004B58AD"/>
    <w:pPr>
      <w:spacing w:before="120" w:after="0" w:line="240" w:lineRule="auto"/>
      <w:ind w:left="720" w:right="720"/>
      <w:jc w:val="both"/>
    </w:pPr>
    <w:rPr>
      <w:rFonts w:ascii="Sylfaen" w:hAnsi="Sylfaen" w:cs="Times New Roman"/>
      <w:iCs/>
      <w:color w:val="000000"/>
      <w:kern w:val="0"/>
      <w:sz w:val="23"/>
      <w:szCs w:val="23"/>
    </w:rPr>
  </w:style>
  <w:style w:type="character" w:customStyle="1" w:styleId="QuoteChar">
    <w:name w:val="Quote Char"/>
    <w:aliases w:val="BG Indented Quote Char"/>
    <w:basedOn w:val="DefaultParagraphFont"/>
    <w:link w:val="Quote"/>
    <w:uiPriority w:val="29"/>
    <w:rsid w:val="004B58AD"/>
    <w:rPr>
      <w:rFonts w:ascii="Sylfaen" w:hAnsi="Sylfaen" w:cs="Times New Roman"/>
      <w:iCs/>
      <w:color w:val="000000"/>
      <w:sz w:val="23"/>
      <w:szCs w:val="23"/>
      <w:lang w:val="en-US"/>
    </w:rPr>
  </w:style>
  <w:style w:type="paragraph" w:styleId="TOC4">
    <w:name w:val="toc 4"/>
    <w:aliases w:val="BG TOC 4"/>
    <w:basedOn w:val="Normal"/>
    <w:next w:val="Normal"/>
    <w:uiPriority w:val="39"/>
    <w:unhideWhenUsed/>
    <w:rsid w:val="004B58AD"/>
    <w:pPr>
      <w:tabs>
        <w:tab w:val="left" w:pos="2160"/>
        <w:tab w:val="right" w:leader="dot" w:pos="9350"/>
      </w:tabs>
      <w:spacing w:before="60" w:after="0" w:line="240" w:lineRule="auto"/>
      <w:ind w:left="2174" w:hanging="547"/>
      <w:jc w:val="both"/>
    </w:pPr>
    <w:rPr>
      <w:rFonts w:ascii="Sylfaen" w:hAnsi="Sylfaen" w:cs="Times New Roman"/>
      <w:color w:val="000000"/>
      <w:kern w:val="0"/>
      <w:sz w:val="23"/>
      <w:szCs w:val="23"/>
    </w:rPr>
  </w:style>
  <w:style w:type="numbering" w:customStyle="1" w:styleId="OutlineOnly-NoHeadings">
    <w:name w:val="Outline Only - No Headings"/>
    <w:uiPriority w:val="99"/>
    <w:rsid w:val="004B58AD"/>
    <w:pPr>
      <w:numPr>
        <w:numId w:val="6"/>
      </w:numPr>
    </w:pPr>
  </w:style>
  <w:style w:type="numbering" w:customStyle="1" w:styleId="HeadingOutline">
    <w:name w:val="Heading Outline"/>
    <w:uiPriority w:val="99"/>
    <w:rsid w:val="004B58AD"/>
    <w:pPr>
      <w:numPr>
        <w:numId w:val="7"/>
      </w:numPr>
    </w:pPr>
  </w:style>
  <w:style w:type="numbering" w:customStyle="1" w:styleId="UKHeadingOutline">
    <w:name w:val="UK Heading Outline"/>
    <w:uiPriority w:val="99"/>
    <w:rsid w:val="004B58AD"/>
    <w:pPr>
      <w:numPr>
        <w:numId w:val="8"/>
      </w:numPr>
    </w:pPr>
  </w:style>
  <w:style w:type="paragraph" w:customStyle="1" w:styleId="BGAcronymlist">
    <w:name w:val="BG Acronym list"/>
    <w:basedOn w:val="Normal"/>
    <w:qFormat/>
    <w:rsid w:val="004B58AD"/>
    <w:pPr>
      <w:tabs>
        <w:tab w:val="left" w:pos="2160"/>
      </w:tabs>
      <w:spacing w:before="80" w:after="0" w:line="240" w:lineRule="auto"/>
      <w:jc w:val="both"/>
    </w:pPr>
    <w:rPr>
      <w:rFonts w:ascii="Sylfaen" w:hAnsi="Sylfaen" w:cs="Times New Roman"/>
      <w:color w:val="000000"/>
      <w:kern w:val="0"/>
      <w:sz w:val="23"/>
      <w:szCs w:val="23"/>
    </w:rPr>
  </w:style>
  <w:style w:type="paragraph" w:customStyle="1" w:styleId="BGBibliographyText">
    <w:name w:val="BG BibliographyText"/>
    <w:basedOn w:val="Normal"/>
    <w:qFormat/>
    <w:rsid w:val="004B58AD"/>
    <w:pPr>
      <w:spacing w:before="160" w:after="0" w:line="240" w:lineRule="auto"/>
      <w:ind w:left="720" w:hanging="720"/>
    </w:pPr>
    <w:rPr>
      <w:rFonts w:ascii="Sylfaen" w:hAnsi="Sylfaen" w:cs="Times New Roman"/>
      <w:color w:val="000000"/>
      <w:kern w:val="0"/>
      <w:sz w:val="23"/>
      <w:szCs w:val="23"/>
    </w:rPr>
  </w:style>
  <w:style w:type="paragraph" w:customStyle="1" w:styleId="sourcesandnotes">
    <w:name w:val="sources and notes"/>
    <w:basedOn w:val="Normal"/>
    <w:qFormat/>
    <w:rsid w:val="004B58AD"/>
    <w:pPr>
      <w:keepNext/>
      <w:tabs>
        <w:tab w:val="left" w:pos="270"/>
        <w:tab w:val="left" w:pos="450"/>
        <w:tab w:val="left" w:pos="9090"/>
      </w:tabs>
      <w:autoSpaceDE w:val="0"/>
      <w:autoSpaceDN w:val="0"/>
      <w:adjustRightInd w:val="0"/>
      <w:spacing w:after="0" w:line="240" w:lineRule="auto"/>
      <w:ind w:left="630" w:right="180" w:hanging="360"/>
      <w:jc w:val="both"/>
    </w:pPr>
    <w:rPr>
      <w:rFonts w:asciiTheme="minorHAnsi" w:hAnsiTheme="minorHAnsi" w:cstheme="minorHAnsi"/>
      <w:color w:val="000000"/>
      <w:kern w:val="0"/>
      <w:sz w:val="16"/>
      <w:szCs w:val="23"/>
    </w:rPr>
  </w:style>
  <w:style w:type="paragraph" w:customStyle="1" w:styleId="Bibliography1">
    <w:name w:val="Bibliography1"/>
    <w:basedOn w:val="BGNormal125"/>
    <w:qFormat/>
    <w:rsid w:val="004B58AD"/>
    <w:pPr>
      <w:tabs>
        <w:tab w:val="left" w:pos="360"/>
        <w:tab w:val="left" w:pos="450"/>
        <w:tab w:val="left" w:pos="720"/>
      </w:tabs>
      <w:autoSpaceDE w:val="0"/>
      <w:autoSpaceDN w:val="0"/>
      <w:adjustRightInd w:val="0"/>
      <w:spacing w:before="240" w:line="240" w:lineRule="auto"/>
      <w:ind w:left="360" w:hanging="270"/>
    </w:pPr>
    <w:rPr>
      <w:color w:val="302F35"/>
    </w:rPr>
  </w:style>
  <w:style w:type="character" w:customStyle="1" w:styleId="UnresolvedMention2">
    <w:name w:val="Unresolved Mention2"/>
    <w:basedOn w:val="DefaultParagraphFont"/>
    <w:uiPriority w:val="99"/>
    <w:semiHidden/>
    <w:unhideWhenUsed/>
    <w:rsid w:val="00102F41"/>
    <w:rPr>
      <w:color w:val="605E5C"/>
      <w:shd w:val="clear" w:color="auto" w:fill="E1DFDD"/>
    </w:rPr>
  </w:style>
  <w:style w:type="character" w:customStyle="1" w:styleId="ListParagraphChar">
    <w:name w:val="List Paragraph Char"/>
    <w:link w:val="ListParagraph"/>
    <w:uiPriority w:val="34"/>
    <w:locked/>
    <w:rsid w:val="00FE1E32"/>
    <w:rPr>
      <w:rFonts w:ascii="Calibri" w:hAnsi="Calibri"/>
      <w:kern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500">
      <w:bodyDiv w:val="1"/>
      <w:marLeft w:val="0"/>
      <w:marRight w:val="0"/>
      <w:marTop w:val="0"/>
      <w:marBottom w:val="0"/>
      <w:divBdr>
        <w:top w:val="none" w:sz="0" w:space="0" w:color="auto"/>
        <w:left w:val="none" w:sz="0" w:space="0" w:color="auto"/>
        <w:bottom w:val="none" w:sz="0" w:space="0" w:color="auto"/>
        <w:right w:val="none" w:sz="0" w:space="0" w:color="auto"/>
      </w:divBdr>
    </w:div>
    <w:div w:id="33313884">
      <w:bodyDiv w:val="1"/>
      <w:marLeft w:val="0"/>
      <w:marRight w:val="0"/>
      <w:marTop w:val="0"/>
      <w:marBottom w:val="0"/>
      <w:divBdr>
        <w:top w:val="none" w:sz="0" w:space="0" w:color="auto"/>
        <w:left w:val="none" w:sz="0" w:space="0" w:color="auto"/>
        <w:bottom w:val="none" w:sz="0" w:space="0" w:color="auto"/>
        <w:right w:val="none" w:sz="0" w:space="0" w:color="auto"/>
      </w:divBdr>
    </w:div>
    <w:div w:id="38824393">
      <w:bodyDiv w:val="1"/>
      <w:marLeft w:val="0"/>
      <w:marRight w:val="0"/>
      <w:marTop w:val="0"/>
      <w:marBottom w:val="0"/>
      <w:divBdr>
        <w:top w:val="none" w:sz="0" w:space="0" w:color="auto"/>
        <w:left w:val="none" w:sz="0" w:space="0" w:color="auto"/>
        <w:bottom w:val="none" w:sz="0" w:space="0" w:color="auto"/>
        <w:right w:val="none" w:sz="0" w:space="0" w:color="auto"/>
      </w:divBdr>
    </w:div>
    <w:div w:id="151798942">
      <w:bodyDiv w:val="1"/>
      <w:marLeft w:val="0"/>
      <w:marRight w:val="0"/>
      <w:marTop w:val="0"/>
      <w:marBottom w:val="0"/>
      <w:divBdr>
        <w:top w:val="none" w:sz="0" w:space="0" w:color="auto"/>
        <w:left w:val="none" w:sz="0" w:space="0" w:color="auto"/>
        <w:bottom w:val="none" w:sz="0" w:space="0" w:color="auto"/>
        <w:right w:val="none" w:sz="0" w:space="0" w:color="auto"/>
      </w:divBdr>
    </w:div>
    <w:div w:id="161090113">
      <w:bodyDiv w:val="1"/>
      <w:marLeft w:val="0"/>
      <w:marRight w:val="0"/>
      <w:marTop w:val="0"/>
      <w:marBottom w:val="0"/>
      <w:divBdr>
        <w:top w:val="none" w:sz="0" w:space="0" w:color="auto"/>
        <w:left w:val="none" w:sz="0" w:space="0" w:color="auto"/>
        <w:bottom w:val="none" w:sz="0" w:space="0" w:color="auto"/>
        <w:right w:val="none" w:sz="0" w:space="0" w:color="auto"/>
      </w:divBdr>
    </w:div>
    <w:div w:id="171574707">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4388541">
      <w:bodyDiv w:val="1"/>
      <w:marLeft w:val="0"/>
      <w:marRight w:val="0"/>
      <w:marTop w:val="0"/>
      <w:marBottom w:val="0"/>
      <w:divBdr>
        <w:top w:val="none" w:sz="0" w:space="0" w:color="auto"/>
        <w:left w:val="none" w:sz="0" w:space="0" w:color="auto"/>
        <w:bottom w:val="none" w:sz="0" w:space="0" w:color="auto"/>
        <w:right w:val="none" w:sz="0" w:space="0" w:color="auto"/>
      </w:divBdr>
    </w:div>
    <w:div w:id="284771513">
      <w:bodyDiv w:val="1"/>
      <w:marLeft w:val="0"/>
      <w:marRight w:val="0"/>
      <w:marTop w:val="0"/>
      <w:marBottom w:val="0"/>
      <w:divBdr>
        <w:top w:val="none" w:sz="0" w:space="0" w:color="auto"/>
        <w:left w:val="none" w:sz="0" w:space="0" w:color="auto"/>
        <w:bottom w:val="none" w:sz="0" w:space="0" w:color="auto"/>
        <w:right w:val="none" w:sz="0" w:space="0" w:color="auto"/>
      </w:divBdr>
    </w:div>
    <w:div w:id="303509824">
      <w:bodyDiv w:val="1"/>
      <w:marLeft w:val="0"/>
      <w:marRight w:val="0"/>
      <w:marTop w:val="0"/>
      <w:marBottom w:val="0"/>
      <w:divBdr>
        <w:top w:val="none" w:sz="0" w:space="0" w:color="auto"/>
        <w:left w:val="none" w:sz="0" w:space="0" w:color="auto"/>
        <w:bottom w:val="none" w:sz="0" w:space="0" w:color="auto"/>
        <w:right w:val="none" w:sz="0" w:space="0" w:color="auto"/>
      </w:divBdr>
    </w:div>
    <w:div w:id="381372518">
      <w:bodyDiv w:val="1"/>
      <w:marLeft w:val="0"/>
      <w:marRight w:val="0"/>
      <w:marTop w:val="0"/>
      <w:marBottom w:val="0"/>
      <w:divBdr>
        <w:top w:val="none" w:sz="0" w:space="0" w:color="auto"/>
        <w:left w:val="none" w:sz="0" w:space="0" w:color="auto"/>
        <w:bottom w:val="none" w:sz="0" w:space="0" w:color="auto"/>
        <w:right w:val="none" w:sz="0" w:space="0" w:color="auto"/>
      </w:divBdr>
    </w:div>
    <w:div w:id="384260383">
      <w:bodyDiv w:val="1"/>
      <w:marLeft w:val="0"/>
      <w:marRight w:val="0"/>
      <w:marTop w:val="0"/>
      <w:marBottom w:val="0"/>
      <w:divBdr>
        <w:top w:val="none" w:sz="0" w:space="0" w:color="auto"/>
        <w:left w:val="none" w:sz="0" w:space="0" w:color="auto"/>
        <w:bottom w:val="none" w:sz="0" w:space="0" w:color="auto"/>
        <w:right w:val="none" w:sz="0" w:space="0" w:color="auto"/>
      </w:divBdr>
    </w:div>
    <w:div w:id="388771670">
      <w:bodyDiv w:val="1"/>
      <w:marLeft w:val="0"/>
      <w:marRight w:val="0"/>
      <w:marTop w:val="0"/>
      <w:marBottom w:val="0"/>
      <w:divBdr>
        <w:top w:val="none" w:sz="0" w:space="0" w:color="auto"/>
        <w:left w:val="none" w:sz="0" w:space="0" w:color="auto"/>
        <w:bottom w:val="none" w:sz="0" w:space="0" w:color="auto"/>
        <w:right w:val="none" w:sz="0" w:space="0" w:color="auto"/>
      </w:divBdr>
    </w:div>
    <w:div w:id="406151417">
      <w:bodyDiv w:val="1"/>
      <w:marLeft w:val="0"/>
      <w:marRight w:val="0"/>
      <w:marTop w:val="0"/>
      <w:marBottom w:val="0"/>
      <w:divBdr>
        <w:top w:val="none" w:sz="0" w:space="0" w:color="auto"/>
        <w:left w:val="none" w:sz="0" w:space="0" w:color="auto"/>
        <w:bottom w:val="none" w:sz="0" w:space="0" w:color="auto"/>
        <w:right w:val="none" w:sz="0" w:space="0" w:color="auto"/>
      </w:divBdr>
    </w:div>
    <w:div w:id="409080553">
      <w:bodyDiv w:val="1"/>
      <w:marLeft w:val="0"/>
      <w:marRight w:val="0"/>
      <w:marTop w:val="0"/>
      <w:marBottom w:val="0"/>
      <w:divBdr>
        <w:top w:val="none" w:sz="0" w:space="0" w:color="auto"/>
        <w:left w:val="none" w:sz="0" w:space="0" w:color="auto"/>
        <w:bottom w:val="none" w:sz="0" w:space="0" w:color="auto"/>
        <w:right w:val="none" w:sz="0" w:space="0" w:color="auto"/>
      </w:divBdr>
    </w:div>
    <w:div w:id="409693729">
      <w:bodyDiv w:val="1"/>
      <w:marLeft w:val="0"/>
      <w:marRight w:val="0"/>
      <w:marTop w:val="0"/>
      <w:marBottom w:val="0"/>
      <w:divBdr>
        <w:top w:val="none" w:sz="0" w:space="0" w:color="auto"/>
        <w:left w:val="none" w:sz="0" w:space="0" w:color="auto"/>
        <w:bottom w:val="none" w:sz="0" w:space="0" w:color="auto"/>
        <w:right w:val="none" w:sz="0" w:space="0" w:color="auto"/>
      </w:divBdr>
    </w:div>
    <w:div w:id="414668091">
      <w:bodyDiv w:val="1"/>
      <w:marLeft w:val="0"/>
      <w:marRight w:val="0"/>
      <w:marTop w:val="0"/>
      <w:marBottom w:val="0"/>
      <w:divBdr>
        <w:top w:val="none" w:sz="0" w:space="0" w:color="auto"/>
        <w:left w:val="none" w:sz="0" w:space="0" w:color="auto"/>
        <w:bottom w:val="none" w:sz="0" w:space="0" w:color="auto"/>
        <w:right w:val="none" w:sz="0" w:space="0" w:color="auto"/>
      </w:divBdr>
    </w:div>
    <w:div w:id="416094507">
      <w:bodyDiv w:val="1"/>
      <w:marLeft w:val="0"/>
      <w:marRight w:val="0"/>
      <w:marTop w:val="0"/>
      <w:marBottom w:val="0"/>
      <w:divBdr>
        <w:top w:val="none" w:sz="0" w:space="0" w:color="auto"/>
        <w:left w:val="none" w:sz="0" w:space="0" w:color="auto"/>
        <w:bottom w:val="none" w:sz="0" w:space="0" w:color="auto"/>
        <w:right w:val="none" w:sz="0" w:space="0" w:color="auto"/>
      </w:divBdr>
    </w:div>
    <w:div w:id="422796967">
      <w:bodyDiv w:val="1"/>
      <w:marLeft w:val="0"/>
      <w:marRight w:val="0"/>
      <w:marTop w:val="0"/>
      <w:marBottom w:val="0"/>
      <w:divBdr>
        <w:top w:val="none" w:sz="0" w:space="0" w:color="auto"/>
        <w:left w:val="none" w:sz="0" w:space="0" w:color="auto"/>
        <w:bottom w:val="none" w:sz="0" w:space="0" w:color="auto"/>
        <w:right w:val="none" w:sz="0" w:space="0" w:color="auto"/>
      </w:divBdr>
    </w:div>
    <w:div w:id="426314106">
      <w:bodyDiv w:val="1"/>
      <w:marLeft w:val="0"/>
      <w:marRight w:val="0"/>
      <w:marTop w:val="0"/>
      <w:marBottom w:val="0"/>
      <w:divBdr>
        <w:top w:val="none" w:sz="0" w:space="0" w:color="auto"/>
        <w:left w:val="none" w:sz="0" w:space="0" w:color="auto"/>
        <w:bottom w:val="none" w:sz="0" w:space="0" w:color="auto"/>
        <w:right w:val="none" w:sz="0" w:space="0" w:color="auto"/>
      </w:divBdr>
      <w:divsChild>
        <w:div w:id="533616300">
          <w:marLeft w:val="605"/>
          <w:marRight w:val="0"/>
          <w:marTop w:val="130"/>
          <w:marBottom w:val="0"/>
          <w:divBdr>
            <w:top w:val="none" w:sz="0" w:space="0" w:color="auto"/>
            <w:left w:val="none" w:sz="0" w:space="0" w:color="auto"/>
            <w:bottom w:val="none" w:sz="0" w:space="0" w:color="auto"/>
            <w:right w:val="none" w:sz="0" w:space="0" w:color="auto"/>
          </w:divBdr>
        </w:div>
      </w:divsChild>
    </w:div>
    <w:div w:id="455880802">
      <w:bodyDiv w:val="1"/>
      <w:marLeft w:val="0"/>
      <w:marRight w:val="0"/>
      <w:marTop w:val="0"/>
      <w:marBottom w:val="0"/>
      <w:divBdr>
        <w:top w:val="none" w:sz="0" w:space="0" w:color="auto"/>
        <w:left w:val="none" w:sz="0" w:space="0" w:color="auto"/>
        <w:bottom w:val="none" w:sz="0" w:space="0" w:color="auto"/>
        <w:right w:val="none" w:sz="0" w:space="0" w:color="auto"/>
      </w:divBdr>
    </w:div>
    <w:div w:id="464353968">
      <w:bodyDiv w:val="1"/>
      <w:marLeft w:val="0"/>
      <w:marRight w:val="0"/>
      <w:marTop w:val="0"/>
      <w:marBottom w:val="0"/>
      <w:divBdr>
        <w:top w:val="none" w:sz="0" w:space="0" w:color="auto"/>
        <w:left w:val="none" w:sz="0" w:space="0" w:color="auto"/>
        <w:bottom w:val="none" w:sz="0" w:space="0" w:color="auto"/>
        <w:right w:val="none" w:sz="0" w:space="0" w:color="auto"/>
      </w:divBdr>
    </w:div>
    <w:div w:id="471562946">
      <w:bodyDiv w:val="1"/>
      <w:marLeft w:val="0"/>
      <w:marRight w:val="0"/>
      <w:marTop w:val="0"/>
      <w:marBottom w:val="0"/>
      <w:divBdr>
        <w:top w:val="none" w:sz="0" w:space="0" w:color="auto"/>
        <w:left w:val="none" w:sz="0" w:space="0" w:color="auto"/>
        <w:bottom w:val="none" w:sz="0" w:space="0" w:color="auto"/>
        <w:right w:val="none" w:sz="0" w:space="0" w:color="auto"/>
      </w:divBdr>
    </w:div>
    <w:div w:id="476580720">
      <w:bodyDiv w:val="1"/>
      <w:marLeft w:val="0"/>
      <w:marRight w:val="0"/>
      <w:marTop w:val="0"/>
      <w:marBottom w:val="0"/>
      <w:divBdr>
        <w:top w:val="none" w:sz="0" w:space="0" w:color="auto"/>
        <w:left w:val="none" w:sz="0" w:space="0" w:color="auto"/>
        <w:bottom w:val="none" w:sz="0" w:space="0" w:color="auto"/>
        <w:right w:val="none" w:sz="0" w:space="0" w:color="auto"/>
      </w:divBdr>
    </w:div>
    <w:div w:id="478772551">
      <w:bodyDiv w:val="1"/>
      <w:marLeft w:val="0"/>
      <w:marRight w:val="0"/>
      <w:marTop w:val="0"/>
      <w:marBottom w:val="0"/>
      <w:divBdr>
        <w:top w:val="none" w:sz="0" w:space="0" w:color="auto"/>
        <w:left w:val="none" w:sz="0" w:space="0" w:color="auto"/>
        <w:bottom w:val="none" w:sz="0" w:space="0" w:color="auto"/>
        <w:right w:val="none" w:sz="0" w:space="0" w:color="auto"/>
      </w:divBdr>
    </w:div>
    <w:div w:id="484587602">
      <w:bodyDiv w:val="1"/>
      <w:marLeft w:val="0"/>
      <w:marRight w:val="0"/>
      <w:marTop w:val="0"/>
      <w:marBottom w:val="0"/>
      <w:divBdr>
        <w:top w:val="none" w:sz="0" w:space="0" w:color="auto"/>
        <w:left w:val="none" w:sz="0" w:space="0" w:color="auto"/>
        <w:bottom w:val="none" w:sz="0" w:space="0" w:color="auto"/>
        <w:right w:val="none" w:sz="0" w:space="0" w:color="auto"/>
      </w:divBdr>
    </w:div>
    <w:div w:id="513150825">
      <w:bodyDiv w:val="1"/>
      <w:marLeft w:val="0"/>
      <w:marRight w:val="0"/>
      <w:marTop w:val="0"/>
      <w:marBottom w:val="0"/>
      <w:divBdr>
        <w:top w:val="none" w:sz="0" w:space="0" w:color="auto"/>
        <w:left w:val="none" w:sz="0" w:space="0" w:color="auto"/>
        <w:bottom w:val="none" w:sz="0" w:space="0" w:color="auto"/>
        <w:right w:val="none" w:sz="0" w:space="0" w:color="auto"/>
      </w:divBdr>
    </w:div>
    <w:div w:id="516624801">
      <w:bodyDiv w:val="1"/>
      <w:marLeft w:val="0"/>
      <w:marRight w:val="0"/>
      <w:marTop w:val="0"/>
      <w:marBottom w:val="0"/>
      <w:divBdr>
        <w:top w:val="none" w:sz="0" w:space="0" w:color="auto"/>
        <w:left w:val="none" w:sz="0" w:space="0" w:color="auto"/>
        <w:bottom w:val="none" w:sz="0" w:space="0" w:color="auto"/>
        <w:right w:val="none" w:sz="0" w:space="0" w:color="auto"/>
      </w:divBdr>
    </w:div>
    <w:div w:id="528952135">
      <w:bodyDiv w:val="1"/>
      <w:marLeft w:val="0"/>
      <w:marRight w:val="0"/>
      <w:marTop w:val="0"/>
      <w:marBottom w:val="0"/>
      <w:divBdr>
        <w:top w:val="none" w:sz="0" w:space="0" w:color="auto"/>
        <w:left w:val="none" w:sz="0" w:space="0" w:color="auto"/>
        <w:bottom w:val="none" w:sz="0" w:space="0" w:color="auto"/>
        <w:right w:val="none" w:sz="0" w:space="0" w:color="auto"/>
      </w:divBdr>
    </w:div>
    <w:div w:id="534582272">
      <w:bodyDiv w:val="1"/>
      <w:marLeft w:val="0"/>
      <w:marRight w:val="0"/>
      <w:marTop w:val="0"/>
      <w:marBottom w:val="0"/>
      <w:divBdr>
        <w:top w:val="none" w:sz="0" w:space="0" w:color="auto"/>
        <w:left w:val="none" w:sz="0" w:space="0" w:color="auto"/>
        <w:bottom w:val="none" w:sz="0" w:space="0" w:color="auto"/>
        <w:right w:val="none" w:sz="0" w:space="0" w:color="auto"/>
      </w:divBdr>
    </w:div>
    <w:div w:id="538397483">
      <w:bodyDiv w:val="1"/>
      <w:marLeft w:val="0"/>
      <w:marRight w:val="0"/>
      <w:marTop w:val="0"/>
      <w:marBottom w:val="0"/>
      <w:divBdr>
        <w:top w:val="none" w:sz="0" w:space="0" w:color="auto"/>
        <w:left w:val="none" w:sz="0" w:space="0" w:color="auto"/>
        <w:bottom w:val="none" w:sz="0" w:space="0" w:color="auto"/>
        <w:right w:val="none" w:sz="0" w:space="0" w:color="auto"/>
      </w:divBdr>
    </w:div>
    <w:div w:id="538977625">
      <w:bodyDiv w:val="1"/>
      <w:marLeft w:val="0"/>
      <w:marRight w:val="0"/>
      <w:marTop w:val="0"/>
      <w:marBottom w:val="0"/>
      <w:divBdr>
        <w:top w:val="none" w:sz="0" w:space="0" w:color="auto"/>
        <w:left w:val="none" w:sz="0" w:space="0" w:color="auto"/>
        <w:bottom w:val="none" w:sz="0" w:space="0" w:color="auto"/>
        <w:right w:val="none" w:sz="0" w:space="0" w:color="auto"/>
      </w:divBdr>
    </w:div>
    <w:div w:id="585577488">
      <w:bodyDiv w:val="1"/>
      <w:marLeft w:val="0"/>
      <w:marRight w:val="0"/>
      <w:marTop w:val="0"/>
      <w:marBottom w:val="0"/>
      <w:divBdr>
        <w:top w:val="none" w:sz="0" w:space="0" w:color="auto"/>
        <w:left w:val="none" w:sz="0" w:space="0" w:color="auto"/>
        <w:bottom w:val="none" w:sz="0" w:space="0" w:color="auto"/>
        <w:right w:val="none" w:sz="0" w:space="0" w:color="auto"/>
      </w:divBdr>
    </w:div>
    <w:div w:id="608049237">
      <w:bodyDiv w:val="1"/>
      <w:marLeft w:val="0"/>
      <w:marRight w:val="0"/>
      <w:marTop w:val="0"/>
      <w:marBottom w:val="0"/>
      <w:divBdr>
        <w:top w:val="none" w:sz="0" w:space="0" w:color="auto"/>
        <w:left w:val="none" w:sz="0" w:space="0" w:color="auto"/>
        <w:bottom w:val="none" w:sz="0" w:space="0" w:color="auto"/>
        <w:right w:val="none" w:sz="0" w:space="0" w:color="auto"/>
      </w:divBdr>
    </w:div>
    <w:div w:id="614337445">
      <w:bodyDiv w:val="1"/>
      <w:marLeft w:val="0"/>
      <w:marRight w:val="0"/>
      <w:marTop w:val="0"/>
      <w:marBottom w:val="0"/>
      <w:divBdr>
        <w:top w:val="none" w:sz="0" w:space="0" w:color="auto"/>
        <w:left w:val="none" w:sz="0" w:space="0" w:color="auto"/>
        <w:bottom w:val="none" w:sz="0" w:space="0" w:color="auto"/>
        <w:right w:val="none" w:sz="0" w:space="0" w:color="auto"/>
      </w:divBdr>
    </w:div>
    <w:div w:id="618611684">
      <w:bodyDiv w:val="1"/>
      <w:marLeft w:val="0"/>
      <w:marRight w:val="0"/>
      <w:marTop w:val="0"/>
      <w:marBottom w:val="0"/>
      <w:divBdr>
        <w:top w:val="none" w:sz="0" w:space="0" w:color="auto"/>
        <w:left w:val="none" w:sz="0" w:space="0" w:color="auto"/>
        <w:bottom w:val="none" w:sz="0" w:space="0" w:color="auto"/>
        <w:right w:val="none" w:sz="0" w:space="0" w:color="auto"/>
      </w:divBdr>
    </w:div>
    <w:div w:id="621424284">
      <w:bodyDiv w:val="1"/>
      <w:marLeft w:val="0"/>
      <w:marRight w:val="0"/>
      <w:marTop w:val="0"/>
      <w:marBottom w:val="0"/>
      <w:divBdr>
        <w:top w:val="none" w:sz="0" w:space="0" w:color="auto"/>
        <w:left w:val="none" w:sz="0" w:space="0" w:color="auto"/>
        <w:bottom w:val="none" w:sz="0" w:space="0" w:color="auto"/>
        <w:right w:val="none" w:sz="0" w:space="0" w:color="auto"/>
      </w:divBdr>
    </w:div>
    <w:div w:id="631714615">
      <w:bodyDiv w:val="1"/>
      <w:marLeft w:val="0"/>
      <w:marRight w:val="0"/>
      <w:marTop w:val="0"/>
      <w:marBottom w:val="0"/>
      <w:divBdr>
        <w:top w:val="none" w:sz="0" w:space="0" w:color="auto"/>
        <w:left w:val="none" w:sz="0" w:space="0" w:color="auto"/>
        <w:bottom w:val="none" w:sz="0" w:space="0" w:color="auto"/>
        <w:right w:val="none" w:sz="0" w:space="0" w:color="auto"/>
      </w:divBdr>
    </w:div>
    <w:div w:id="671835564">
      <w:bodyDiv w:val="1"/>
      <w:marLeft w:val="0"/>
      <w:marRight w:val="0"/>
      <w:marTop w:val="0"/>
      <w:marBottom w:val="0"/>
      <w:divBdr>
        <w:top w:val="none" w:sz="0" w:space="0" w:color="auto"/>
        <w:left w:val="none" w:sz="0" w:space="0" w:color="auto"/>
        <w:bottom w:val="none" w:sz="0" w:space="0" w:color="auto"/>
        <w:right w:val="none" w:sz="0" w:space="0" w:color="auto"/>
      </w:divBdr>
    </w:div>
    <w:div w:id="715618960">
      <w:bodyDiv w:val="1"/>
      <w:marLeft w:val="0"/>
      <w:marRight w:val="0"/>
      <w:marTop w:val="0"/>
      <w:marBottom w:val="0"/>
      <w:divBdr>
        <w:top w:val="none" w:sz="0" w:space="0" w:color="auto"/>
        <w:left w:val="none" w:sz="0" w:space="0" w:color="auto"/>
        <w:bottom w:val="none" w:sz="0" w:space="0" w:color="auto"/>
        <w:right w:val="none" w:sz="0" w:space="0" w:color="auto"/>
      </w:divBdr>
    </w:div>
    <w:div w:id="716197141">
      <w:bodyDiv w:val="1"/>
      <w:marLeft w:val="0"/>
      <w:marRight w:val="0"/>
      <w:marTop w:val="0"/>
      <w:marBottom w:val="0"/>
      <w:divBdr>
        <w:top w:val="none" w:sz="0" w:space="0" w:color="auto"/>
        <w:left w:val="none" w:sz="0" w:space="0" w:color="auto"/>
        <w:bottom w:val="none" w:sz="0" w:space="0" w:color="auto"/>
        <w:right w:val="none" w:sz="0" w:space="0" w:color="auto"/>
      </w:divBdr>
    </w:div>
    <w:div w:id="719481287">
      <w:bodyDiv w:val="1"/>
      <w:marLeft w:val="0"/>
      <w:marRight w:val="0"/>
      <w:marTop w:val="0"/>
      <w:marBottom w:val="0"/>
      <w:divBdr>
        <w:top w:val="none" w:sz="0" w:space="0" w:color="auto"/>
        <w:left w:val="none" w:sz="0" w:space="0" w:color="auto"/>
        <w:bottom w:val="none" w:sz="0" w:space="0" w:color="auto"/>
        <w:right w:val="none" w:sz="0" w:space="0" w:color="auto"/>
      </w:divBdr>
    </w:div>
    <w:div w:id="730079880">
      <w:bodyDiv w:val="1"/>
      <w:marLeft w:val="0"/>
      <w:marRight w:val="0"/>
      <w:marTop w:val="0"/>
      <w:marBottom w:val="0"/>
      <w:divBdr>
        <w:top w:val="none" w:sz="0" w:space="0" w:color="auto"/>
        <w:left w:val="none" w:sz="0" w:space="0" w:color="auto"/>
        <w:bottom w:val="none" w:sz="0" w:space="0" w:color="auto"/>
        <w:right w:val="none" w:sz="0" w:space="0" w:color="auto"/>
      </w:divBdr>
    </w:div>
    <w:div w:id="736513229">
      <w:bodyDiv w:val="1"/>
      <w:marLeft w:val="0"/>
      <w:marRight w:val="0"/>
      <w:marTop w:val="0"/>
      <w:marBottom w:val="0"/>
      <w:divBdr>
        <w:top w:val="none" w:sz="0" w:space="0" w:color="auto"/>
        <w:left w:val="none" w:sz="0" w:space="0" w:color="auto"/>
        <w:bottom w:val="none" w:sz="0" w:space="0" w:color="auto"/>
        <w:right w:val="none" w:sz="0" w:space="0" w:color="auto"/>
      </w:divBdr>
    </w:div>
    <w:div w:id="747534585">
      <w:bodyDiv w:val="1"/>
      <w:marLeft w:val="0"/>
      <w:marRight w:val="0"/>
      <w:marTop w:val="0"/>
      <w:marBottom w:val="0"/>
      <w:divBdr>
        <w:top w:val="none" w:sz="0" w:space="0" w:color="auto"/>
        <w:left w:val="none" w:sz="0" w:space="0" w:color="auto"/>
        <w:bottom w:val="none" w:sz="0" w:space="0" w:color="auto"/>
        <w:right w:val="none" w:sz="0" w:space="0" w:color="auto"/>
      </w:divBdr>
    </w:div>
    <w:div w:id="768892810">
      <w:bodyDiv w:val="1"/>
      <w:marLeft w:val="0"/>
      <w:marRight w:val="0"/>
      <w:marTop w:val="0"/>
      <w:marBottom w:val="0"/>
      <w:divBdr>
        <w:top w:val="none" w:sz="0" w:space="0" w:color="auto"/>
        <w:left w:val="none" w:sz="0" w:space="0" w:color="auto"/>
        <w:bottom w:val="none" w:sz="0" w:space="0" w:color="auto"/>
        <w:right w:val="none" w:sz="0" w:space="0" w:color="auto"/>
      </w:divBdr>
    </w:div>
    <w:div w:id="779568230">
      <w:bodyDiv w:val="1"/>
      <w:marLeft w:val="0"/>
      <w:marRight w:val="0"/>
      <w:marTop w:val="0"/>
      <w:marBottom w:val="0"/>
      <w:divBdr>
        <w:top w:val="none" w:sz="0" w:space="0" w:color="auto"/>
        <w:left w:val="none" w:sz="0" w:space="0" w:color="auto"/>
        <w:bottom w:val="none" w:sz="0" w:space="0" w:color="auto"/>
        <w:right w:val="none" w:sz="0" w:space="0" w:color="auto"/>
      </w:divBdr>
      <w:divsChild>
        <w:div w:id="64647067">
          <w:marLeft w:val="605"/>
          <w:marRight w:val="0"/>
          <w:marTop w:val="130"/>
          <w:marBottom w:val="0"/>
          <w:divBdr>
            <w:top w:val="none" w:sz="0" w:space="0" w:color="auto"/>
            <w:left w:val="none" w:sz="0" w:space="0" w:color="auto"/>
            <w:bottom w:val="none" w:sz="0" w:space="0" w:color="auto"/>
            <w:right w:val="none" w:sz="0" w:space="0" w:color="auto"/>
          </w:divBdr>
        </w:div>
      </w:divsChild>
    </w:div>
    <w:div w:id="791904169">
      <w:bodyDiv w:val="1"/>
      <w:marLeft w:val="0"/>
      <w:marRight w:val="0"/>
      <w:marTop w:val="0"/>
      <w:marBottom w:val="0"/>
      <w:divBdr>
        <w:top w:val="none" w:sz="0" w:space="0" w:color="auto"/>
        <w:left w:val="none" w:sz="0" w:space="0" w:color="auto"/>
        <w:bottom w:val="none" w:sz="0" w:space="0" w:color="auto"/>
        <w:right w:val="none" w:sz="0" w:space="0" w:color="auto"/>
      </w:divBdr>
      <w:divsChild>
        <w:div w:id="1678457741">
          <w:marLeft w:val="547"/>
          <w:marRight w:val="0"/>
          <w:marTop w:val="0"/>
          <w:marBottom w:val="0"/>
          <w:divBdr>
            <w:top w:val="none" w:sz="0" w:space="0" w:color="auto"/>
            <w:left w:val="none" w:sz="0" w:space="0" w:color="auto"/>
            <w:bottom w:val="none" w:sz="0" w:space="0" w:color="auto"/>
            <w:right w:val="none" w:sz="0" w:space="0" w:color="auto"/>
          </w:divBdr>
        </w:div>
      </w:divsChild>
    </w:div>
    <w:div w:id="802650748">
      <w:bodyDiv w:val="1"/>
      <w:marLeft w:val="0"/>
      <w:marRight w:val="0"/>
      <w:marTop w:val="0"/>
      <w:marBottom w:val="0"/>
      <w:divBdr>
        <w:top w:val="none" w:sz="0" w:space="0" w:color="auto"/>
        <w:left w:val="none" w:sz="0" w:space="0" w:color="auto"/>
        <w:bottom w:val="none" w:sz="0" w:space="0" w:color="auto"/>
        <w:right w:val="none" w:sz="0" w:space="0" w:color="auto"/>
      </w:divBdr>
    </w:div>
    <w:div w:id="810439745">
      <w:bodyDiv w:val="1"/>
      <w:marLeft w:val="0"/>
      <w:marRight w:val="0"/>
      <w:marTop w:val="0"/>
      <w:marBottom w:val="0"/>
      <w:divBdr>
        <w:top w:val="none" w:sz="0" w:space="0" w:color="auto"/>
        <w:left w:val="none" w:sz="0" w:space="0" w:color="auto"/>
        <w:bottom w:val="none" w:sz="0" w:space="0" w:color="auto"/>
        <w:right w:val="none" w:sz="0" w:space="0" w:color="auto"/>
      </w:divBdr>
      <w:divsChild>
        <w:div w:id="1783300221">
          <w:marLeft w:val="605"/>
          <w:marRight w:val="0"/>
          <w:marTop w:val="130"/>
          <w:marBottom w:val="0"/>
          <w:divBdr>
            <w:top w:val="none" w:sz="0" w:space="0" w:color="auto"/>
            <w:left w:val="none" w:sz="0" w:space="0" w:color="auto"/>
            <w:bottom w:val="none" w:sz="0" w:space="0" w:color="auto"/>
            <w:right w:val="none" w:sz="0" w:space="0" w:color="auto"/>
          </w:divBdr>
        </w:div>
      </w:divsChild>
    </w:div>
    <w:div w:id="818032630">
      <w:bodyDiv w:val="1"/>
      <w:marLeft w:val="0"/>
      <w:marRight w:val="0"/>
      <w:marTop w:val="0"/>
      <w:marBottom w:val="0"/>
      <w:divBdr>
        <w:top w:val="none" w:sz="0" w:space="0" w:color="auto"/>
        <w:left w:val="none" w:sz="0" w:space="0" w:color="auto"/>
        <w:bottom w:val="none" w:sz="0" w:space="0" w:color="auto"/>
        <w:right w:val="none" w:sz="0" w:space="0" w:color="auto"/>
      </w:divBdr>
    </w:div>
    <w:div w:id="821963382">
      <w:bodyDiv w:val="1"/>
      <w:marLeft w:val="0"/>
      <w:marRight w:val="0"/>
      <w:marTop w:val="0"/>
      <w:marBottom w:val="0"/>
      <w:divBdr>
        <w:top w:val="none" w:sz="0" w:space="0" w:color="auto"/>
        <w:left w:val="none" w:sz="0" w:space="0" w:color="auto"/>
        <w:bottom w:val="none" w:sz="0" w:space="0" w:color="auto"/>
        <w:right w:val="none" w:sz="0" w:space="0" w:color="auto"/>
      </w:divBdr>
    </w:div>
    <w:div w:id="831527962">
      <w:bodyDiv w:val="1"/>
      <w:marLeft w:val="0"/>
      <w:marRight w:val="0"/>
      <w:marTop w:val="0"/>
      <w:marBottom w:val="0"/>
      <w:divBdr>
        <w:top w:val="none" w:sz="0" w:space="0" w:color="auto"/>
        <w:left w:val="none" w:sz="0" w:space="0" w:color="auto"/>
        <w:bottom w:val="none" w:sz="0" w:space="0" w:color="auto"/>
        <w:right w:val="none" w:sz="0" w:space="0" w:color="auto"/>
      </w:divBdr>
    </w:div>
    <w:div w:id="865405287">
      <w:bodyDiv w:val="1"/>
      <w:marLeft w:val="0"/>
      <w:marRight w:val="0"/>
      <w:marTop w:val="0"/>
      <w:marBottom w:val="0"/>
      <w:divBdr>
        <w:top w:val="none" w:sz="0" w:space="0" w:color="auto"/>
        <w:left w:val="none" w:sz="0" w:space="0" w:color="auto"/>
        <w:bottom w:val="none" w:sz="0" w:space="0" w:color="auto"/>
        <w:right w:val="none" w:sz="0" w:space="0" w:color="auto"/>
      </w:divBdr>
    </w:div>
    <w:div w:id="867832683">
      <w:bodyDiv w:val="1"/>
      <w:marLeft w:val="0"/>
      <w:marRight w:val="0"/>
      <w:marTop w:val="0"/>
      <w:marBottom w:val="0"/>
      <w:divBdr>
        <w:top w:val="none" w:sz="0" w:space="0" w:color="auto"/>
        <w:left w:val="none" w:sz="0" w:space="0" w:color="auto"/>
        <w:bottom w:val="none" w:sz="0" w:space="0" w:color="auto"/>
        <w:right w:val="none" w:sz="0" w:space="0" w:color="auto"/>
      </w:divBdr>
    </w:div>
    <w:div w:id="886263794">
      <w:bodyDiv w:val="1"/>
      <w:marLeft w:val="0"/>
      <w:marRight w:val="0"/>
      <w:marTop w:val="0"/>
      <w:marBottom w:val="0"/>
      <w:divBdr>
        <w:top w:val="none" w:sz="0" w:space="0" w:color="auto"/>
        <w:left w:val="none" w:sz="0" w:space="0" w:color="auto"/>
        <w:bottom w:val="none" w:sz="0" w:space="0" w:color="auto"/>
        <w:right w:val="none" w:sz="0" w:space="0" w:color="auto"/>
      </w:divBdr>
    </w:div>
    <w:div w:id="940145134">
      <w:bodyDiv w:val="1"/>
      <w:marLeft w:val="0"/>
      <w:marRight w:val="0"/>
      <w:marTop w:val="0"/>
      <w:marBottom w:val="0"/>
      <w:divBdr>
        <w:top w:val="none" w:sz="0" w:space="0" w:color="auto"/>
        <w:left w:val="none" w:sz="0" w:space="0" w:color="auto"/>
        <w:bottom w:val="none" w:sz="0" w:space="0" w:color="auto"/>
        <w:right w:val="none" w:sz="0" w:space="0" w:color="auto"/>
      </w:divBdr>
      <w:divsChild>
        <w:div w:id="1483157155">
          <w:marLeft w:val="605"/>
          <w:marRight w:val="0"/>
          <w:marTop w:val="130"/>
          <w:marBottom w:val="0"/>
          <w:divBdr>
            <w:top w:val="none" w:sz="0" w:space="0" w:color="auto"/>
            <w:left w:val="none" w:sz="0" w:space="0" w:color="auto"/>
            <w:bottom w:val="none" w:sz="0" w:space="0" w:color="auto"/>
            <w:right w:val="none" w:sz="0" w:space="0" w:color="auto"/>
          </w:divBdr>
        </w:div>
      </w:divsChild>
    </w:div>
    <w:div w:id="944845895">
      <w:bodyDiv w:val="1"/>
      <w:marLeft w:val="0"/>
      <w:marRight w:val="0"/>
      <w:marTop w:val="0"/>
      <w:marBottom w:val="0"/>
      <w:divBdr>
        <w:top w:val="none" w:sz="0" w:space="0" w:color="auto"/>
        <w:left w:val="none" w:sz="0" w:space="0" w:color="auto"/>
        <w:bottom w:val="none" w:sz="0" w:space="0" w:color="auto"/>
        <w:right w:val="none" w:sz="0" w:space="0" w:color="auto"/>
      </w:divBdr>
    </w:div>
    <w:div w:id="955332472">
      <w:bodyDiv w:val="1"/>
      <w:marLeft w:val="0"/>
      <w:marRight w:val="0"/>
      <w:marTop w:val="0"/>
      <w:marBottom w:val="0"/>
      <w:divBdr>
        <w:top w:val="none" w:sz="0" w:space="0" w:color="auto"/>
        <w:left w:val="none" w:sz="0" w:space="0" w:color="auto"/>
        <w:bottom w:val="none" w:sz="0" w:space="0" w:color="auto"/>
        <w:right w:val="none" w:sz="0" w:space="0" w:color="auto"/>
      </w:divBdr>
    </w:div>
    <w:div w:id="964696575">
      <w:bodyDiv w:val="1"/>
      <w:marLeft w:val="0"/>
      <w:marRight w:val="0"/>
      <w:marTop w:val="0"/>
      <w:marBottom w:val="0"/>
      <w:divBdr>
        <w:top w:val="none" w:sz="0" w:space="0" w:color="auto"/>
        <w:left w:val="none" w:sz="0" w:space="0" w:color="auto"/>
        <w:bottom w:val="none" w:sz="0" w:space="0" w:color="auto"/>
        <w:right w:val="none" w:sz="0" w:space="0" w:color="auto"/>
      </w:divBdr>
    </w:div>
    <w:div w:id="987824874">
      <w:bodyDiv w:val="1"/>
      <w:marLeft w:val="0"/>
      <w:marRight w:val="0"/>
      <w:marTop w:val="0"/>
      <w:marBottom w:val="0"/>
      <w:divBdr>
        <w:top w:val="none" w:sz="0" w:space="0" w:color="auto"/>
        <w:left w:val="none" w:sz="0" w:space="0" w:color="auto"/>
        <w:bottom w:val="none" w:sz="0" w:space="0" w:color="auto"/>
        <w:right w:val="none" w:sz="0" w:space="0" w:color="auto"/>
      </w:divBdr>
    </w:div>
    <w:div w:id="995458488">
      <w:bodyDiv w:val="1"/>
      <w:marLeft w:val="0"/>
      <w:marRight w:val="0"/>
      <w:marTop w:val="0"/>
      <w:marBottom w:val="0"/>
      <w:divBdr>
        <w:top w:val="none" w:sz="0" w:space="0" w:color="auto"/>
        <w:left w:val="none" w:sz="0" w:space="0" w:color="auto"/>
        <w:bottom w:val="none" w:sz="0" w:space="0" w:color="auto"/>
        <w:right w:val="none" w:sz="0" w:space="0" w:color="auto"/>
      </w:divBdr>
    </w:div>
    <w:div w:id="1015233687">
      <w:bodyDiv w:val="1"/>
      <w:marLeft w:val="0"/>
      <w:marRight w:val="0"/>
      <w:marTop w:val="0"/>
      <w:marBottom w:val="0"/>
      <w:divBdr>
        <w:top w:val="none" w:sz="0" w:space="0" w:color="auto"/>
        <w:left w:val="none" w:sz="0" w:space="0" w:color="auto"/>
        <w:bottom w:val="none" w:sz="0" w:space="0" w:color="auto"/>
        <w:right w:val="none" w:sz="0" w:space="0" w:color="auto"/>
      </w:divBdr>
    </w:div>
    <w:div w:id="1015379692">
      <w:bodyDiv w:val="1"/>
      <w:marLeft w:val="0"/>
      <w:marRight w:val="0"/>
      <w:marTop w:val="0"/>
      <w:marBottom w:val="0"/>
      <w:divBdr>
        <w:top w:val="none" w:sz="0" w:space="0" w:color="auto"/>
        <w:left w:val="none" w:sz="0" w:space="0" w:color="auto"/>
        <w:bottom w:val="none" w:sz="0" w:space="0" w:color="auto"/>
        <w:right w:val="none" w:sz="0" w:space="0" w:color="auto"/>
      </w:divBdr>
    </w:div>
    <w:div w:id="1052776403">
      <w:bodyDiv w:val="1"/>
      <w:marLeft w:val="0"/>
      <w:marRight w:val="0"/>
      <w:marTop w:val="0"/>
      <w:marBottom w:val="0"/>
      <w:divBdr>
        <w:top w:val="none" w:sz="0" w:space="0" w:color="auto"/>
        <w:left w:val="none" w:sz="0" w:space="0" w:color="auto"/>
        <w:bottom w:val="none" w:sz="0" w:space="0" w:color="auto"/>
        <w:right w:val="none" w:sz="0" w:space="0" w:color="auto"/>
      </w:divBdr>
    </w:div>
    <w:div w:id="1087768124">
      <w:bodyDiv w:val="1"/>
      <w:marLeft w:val="0"/>
      <w:marRight w:val="0"/>
      <w:marTop w:val="0"/>
      <w:marBottom w:val="0"/>
      <w:divBdr>
        <w:top w:val="none" w:sz="0" w:space="0" w:color="auto"/>
        <w:left w:val="none" w:sz="0" w:space="0" w:color="auto"/>
        <w:bottom w:val="none" w:sz="0" w:space="0" w:color="auto"/>
        <w:right w:val="none" w:sz="0" w:space="0" w:color="auto"/>
      </w:divBdr>
    </w:div>
    <w:div w:id="1098213739">
      <w:bodyDiv w:val="1"/>
      <w:marLeft w:val="0"/>
      <w:marRight w:val="0"/>
      <w:marTop w:val="0"/>
      <w:marBottom w:val="0"/>
      <w:divBdr>
        <w:top w:val="none" w:sz="0" w:space="0" w:color="auto"/>
        <w:left w:val="none" w:sz="0" w:space="0" w:color="auto"/>
        <w:bottom w:val="none" w:sz="0" w:space="0" w:color="auto"/>
        <w:right w:val="none" w:sz="0" w:space="0" w:color="auto"/>
      </w:divBdr>
    </w:div>
    <w:div w:id="1102340795">
      <w:bodyDiv w:val="1"/>
      <w:marLeft w:val="0"/>
      <w:marRight w:val="0"/>
      <w:marTop w:val="0"/>
      <w:marBottom w:val="0"/>
      <w:divBdr>
        <w:top w:val="none" w:sz="0" w:space="0" w:color="auto"/>
        <w:left w:val="none" w:sz="0" w:space="0" w:color="auto"/>
        <w:bottom w:val="none" w:sz="0" w:space="0" w:color="auto"/>
        <w:right w:val="none" w:sz="0" w:space="0" w:color="auto"/>
      </w:divBdr>
    </w:div>
    <w:div w:id="1117141419">
      <w:bodyDiv w:val="1"/>
      <w:marLeft w:val="0"/>
      <w:marRight w:val="0"/>
      <w:marTop w:val="0"/>
      <w:marBottom w:val="0"/>
      <w:divBdr>
        <w:top w:val="none" w:sz="0" w:space="0" w:color="auto"/>
        <w:left w:val="none" w:sz="0" w:space="0" w:color="auto"/>
        <w:bottom w:val="none" w:sz="0" w:space="0" w:color="auto"/>
        <w:right w:val="none" w:sz="0" w:space="0" w:color="auto"/>
      </w:divBdr>
    </w:div>
    <w:div w:id="1139152942">
      <w:bodyDiv w:val="1"/>
      <w:marLeft w:val="0"/>
      <w:marRight w:val="0"/>
      <w:marTop w:val="0"/>
      <w:marBottom w:val="0"/>
      <w:divBdr>
        <w:top w:val="none" w:sz="0" w:space="0" w:color="auto"/>
        <w:left w:val="none" w:sz="0" w:space="0" w:color="auto"/>
        <w:bottom w:val="none" w:sz="0" w:space="0" w:color="auto"/>
        <w:right w:val="none" w:sz="0" w:space="0" w:color="auto"/>
      </w:divBdr>
    </w:div>
    <w:div w:id="1157454308">
      <w:bodyDiv w:val="1"/>
      <w:marLeft w:val="0"/>
      <w:marRight w:val="0"/>
      <w:marTop w:val="0"/>
      <w:marBottom w:val="0"/>
      <w:divBdr>
        <w:top w:val="none" w:sz="0" w:space="0" w:color="auto"/>
        <w:left w:val="none" w:sz="0" w:space="0" w:color="auto"/>
        <w:bottom w:val="none" w:sz="0" w:space="0" w:color="auto"/>
        <w:right w:val="none" w:sz="0" w:space="0" w:color="auto"/>
      </w:divBdr>
    </w:div>
    <w:div w:id="1211646142">
      <w:bodyDiv w:val="1"/>
      <w:marLeft w:val="0"/>
      <w:marRight w:val="0"/>
      <w:marTop w:val="0"/>
      <w:marBottom w:val="0"/>
      <w:divBdr>
        <w:top w:val="none" w:sz="0" w:space="0" w:color="auto"/>
        <w:left w:val="none" w:sz="0" w:space="0" w:color="auto"/>
        <w:bottom w:val="none" w:sz="0" w:space="0" w:color="auto"/>
        <w:right w:val="none" w:sz="0" w:space="0" w:color="auto"/>
      </w:divBdr>
    </w:div>
    <w:div w:id="1245409965">
      <w:bodyDiv w:val="1"/>
      <w:marLeft w:val="0"/>
      <w:marRight w:val="0"/>
      <w:marTop w:val="0"/>
      <w:marBottom w:val="0"/>
      <w:divBdr>
        <w:top w:val="none" w:sz="0" w:space="0" w:color="auto"/>
        <w:left w:val="none" w:sz="0" w:space="0" w:color="auto"/>
        <w:bottom w:val="none" w:sz="0" w:space="0" w:color="auto"/>
        <w:right w:val="none" w:sz="0" w:space="0" w:color="auto"/>
      </w:divBdr>
    </w:div>
    <w:div w:id="1249584670">
      <w:bodyDiv w:val="1"/>
      <w:marLeft w:val="0"/>
      <w:marRight w:val="0"/>
      <w:marTop w:val="0"/>
      <w:marBottom w:val="0"/>
      <w:divBdr>
        <w:top w:val="none" w:sz="0" w:space="0" w:color="auto"/>
        <w:left w:val="none" w:sz="0" w:space="0" w:color="auto"/>
        <w:bottom w:val="none" w:sz="0" w:space="0" w:color="auto"/>
        <w:right w:val="none" w:sz="0" w:space="0" w:color="auto"/>
      </w:divBdr>
    </w:div>
    <w:div w:id="1267273939">
      <w:bodyDiv w:val="1"/>
      <w:marLeft w:val="0"/>
      <w:marRight w:val="0"/>
      <w:marTop w:val="0"/>
      <w:marBottom w:val="0"/>
      <w:divBdr>
        <w:top w:val="none" w:sz="0" w:space="0" w:color="auto"/>
        <w:left w:val="none" w:sz="0" w:space="0" w:color="auto"/>
        <w:bottom w:val="none" w:sz="0" w:space="0" w:color="auto"/>
        <w:right w:val="none" w:sz="0" w:space="0" w:color="auto"/>
      </w:divBdr>
    </w:div>
    <w:div w:id="1272586843">
      <w:bodyDiv w:val="1"/>
      <w:marLeft w:val="0"/>
      <w:marRight w:val="0"/>
      <w:marTop w:val="0"/>
      <w:marBottom w:val="0"/>
      <w:divBdr>
        <w:top w:val="none" w:sz="0" w:space="0" w:color="auto"/>
        <w:left w:val="none" w:sz="0" w:space="0" w:color="auto"/>
        <w:bottom w:val="none" w:sz="0" w:space="0" w:color="auto"/>
        <w:right w:val="none" w:sz="0" w:space="0" w:color="auto"/>
      </w:divBdr>
    </w:div>
    <w:div w:id="1280605286">
      <w:bodyDiv w:val="1"/>
      <w:marLeft w:val="0"/>
      <w:marRight w:val="0"/>
      <w:marTop w:val="0"/>
      <w:marBottom w:val="0"/>
      <w:divBdr>
        <w:top w:val="none" w:sz="0" w:space="0" w:color="auto"/>
        <w:left w:val="none" w:sz="0" w:space="0" w:color="auto"/>
        <w:bottom w:val="none" w:sz="0" w:space="0" w:color="auto"/>
        <w:right w:val="none" w:sz="0" w:space="0" w:color="auto"/>
      </w:divBdr>
    </w:div>
    <w:div w:id="1281111355">
      <w:bodyDiv w:val="1"/>
      <w:marLeft w:val="0"/>
      <w:marRight w:val="0"/>
      <w:marTop w:val="0"/>
      <w:marBottom w:val="0"/>
      <w:divBdr>
        <w:top w:val="none" w:sz="0" w:space="0" w:color="auto"/>
        <w:left w:val="none" w:sz="0" w:space="0" w:color="auto"/>
        <w:bottom w:val="none" w:sz="0" w:space="0" w:color="auto"/>
        <w:right w:val="none" w:sz="0" w:space="0" w:color="auto"/>
      </w:divBdr>
      <w:divsChild>
        <w:div w:id="985666974">
          <w:marLeft w:val="720"/>
          <w:marRight w:val="0"/>
          <w:marTop w:val="120"/>
          <w:marBottom w:val="0"/>
          <w:divBdr>
            <w:top w:val="none" w:sz="0" w:space="0" w:color="auto"/>
            <w:left w:val="none" w:sz="0" w:space="0" w:color="auto"/>
            <w:bottom w:val="none" w:sz="0" w:space="0" w:color="auto"/>
            <w:right w:val="none" w:sz="0" w:space="0" w:color="auto"/>
          </w:divBdr>
        </w:div>
      </w:divsChild>
    </w:div>
    <w:div w:id="1311785756">
      <w:bodyDiv w:val="1"/>
      <w:marLeft w:val="0"/>
      <w:marRight w:val="0"/>
      <w:marTop w:val="0"/>
      <w:marBottom w:val="0"/>
      <w:divBdr>
        <w:top w:val="none" w:sz="0" w:space="0" w:color="auto"/>
        <w:left w:val="none" w:sz="0" w:space="0" w:color="auto"/>
        <w:bottom w:val="none" w:sz="0" w:space="0" w:color="auto"/>
        <w:right w:val="none" w:sz="0" w:space="0" w:color="auto"/>
      </w:divBdr>
    </w:div>
    <w:div w:id="1324771218">
      <w:bodyDiv w:val="1"/>
      <w:marLeft w:val="0"/>
      <w:marRight w:val="0"/>
      <w:marTop w:val="0"/>
      <w:marBottom w:val="0"/>
      <w:divBdr>
        <w:top w:val="none" w:sz="0" w:space="0" w:color="auto"/>
        <w:left w:val="none" w:sz="0" w:space="0" w:color="auto"/>
        <w:bottom w:val="none" w:sz="0" w:space="0" w:color="auto"/>
        <w:right w:val="none" w:sz="0" w:space="0" w:color="auto"/>
      </w:divBdr>
    </w:div>
    <w:div w:id="1356268446">
      <w:bodyDiv w:val="1"/>
      <w:marLeft w:val="0"/>
      <w:marRight w:val="0"/>
      <w:marTop w:val="0"/>
      <w:marBottom w:val="0"/>
      <w:divBdr>
        <w:top w:val="none" w:sz="0" w:space="0" w:color="auto"/>
        <w:left w:val="none" w:sz="0" w:space="0" w:color="auto"/>
        <w:bottom w:val="none" w:sz="0" w:space="0" w:color="auto"/>
        <w:right w:val="none" w:sz="0" w:space="0" w:color="auto"/>
      </w:divBdr>
    </w:div>
    <w:div w:id="1359427102">
      <w:bodyDiv w:val="1"/>
      <w:marLeft w:val="0"/>
      <w:marRight w:val="0"/>
      <w:marTop w:val="0"/>
      <w:marBottom w:val="0"/>
      <w:divBdr>
        <w:top w:val="none" w:sz="0" w:space="0" w:color="auto"/>
        <w:left w:val="none" w:sz="0" w:space="0" w:color="auto"/>
        <w:bottom w:val="none" w:sz="0" w:space="0" w:color="auto"/>
        <w:right w:val="none" w:sz="0" w:space="0" w:color="auto"/>
      </w:divBdr>
    </w:div>
    <w:div w:id="1402483860">
      <w:bodyDiv w:val="1"/>
      <w:marLeft w:val="0"/>
      <w:marRight w:val="0"/>
      <w:marTop w:val="0"/>
      <w:marBottom w:val="0"/>
      <w:divBdr>
        <w:top w:val="none" w:sz="0" w:space="0" w:color="auto"/>
        <w:left w:val="none" w:sz="0" w:space="0" w:color="auto"/>
        <w:bottom w:val="none" w:sz="0" w:space="0" w:color="auto"/>
        <w:right w:val="none" w:sz="0" w:space="0" w:color="auto"/>
      </w:divBdr>
    </w:div>
    <w:div w:id="1418747804">
      <w:bodyDiv w:val="1"/>
      <w:marLeft w:val="0"/>
      <w:marRight w:val="0"/>
      <w:marTop w:val="0"/>
      <w:marBottom w:val="0"/>
      <w:divBdr>
        <w:top w:val="none" w:sz="0" w:space="0" w:color="auto"/>
        <w:left w:val="none" w:sz="0" w:space="0" w:color="auto"/>
        <w:bottom w:val="none" w:sz="0" w:space="0" w:color="auto"/>
        <w:right w:val="none" w:sz="0" w:space="0" w:color="auto"/>
      </w:divBdr>
    </w:div>
    <w:div w:id="1442649179">
      <w:bodyDiv w:val="1"/>
      <w:marLeft w:val="0"/>
      <w:marRight w:val="0"/>
      <w:marTop w:val="0"/>
      <w:marBottom w:val="0"/>
      <w:divBdr>
        <w:top w:val="none" w:sz="0" w:space="0" w:color="auto"/>
        <w:left w:val="none" w:sz="0" w:space="0" w:color="auto"/>
        <w:bottom w:val="none" w:sz="0" w:space="0" w:color="auto"/>
        <w:right w:val="none" w:sz="0" w:space="0" w:color="auto"/>
      </w:divBdr>
    </w:div>
    <w:div w:id="1444809071">
      <w:bodyDiv w:val="1"/>
      <w:marLeft w:val="0"/>
      <w:marRight w:val="0"/>
      <w:marTop w:val="0"/>
      <w:marBottom w:val="0"/>
      <w:divBdr>
        <w:top w:val="none" w:sz="0" w:space="0" w:color="auto"/>
        <w:left w:val="none" w:sz="0" w:space="0" w:color="auto"/>
        <w:bottom w:val="none" w:sz="0" w:space="0" w:color="auto"/>
        <w:right w:val="none" w:sz="0" w:space="0" w:color="auto"/>
      </w:divBdr>
    </w:div>
    <w:div w:id="1477918703">
      <w:bodyDiv w:val="1"/>
      <w:marLeft w:val="0"/>
      <w:marRight w:val="0"/>
      <w:marTop w:val="0"/>
      <w:marBottom w:val="0"/>
      <w:divBdr>
        <w:top w:val="none" w:sz="0" w:space="0" w:color="auto"/>
        <w:left w:val="none" w:sz="0" w:space="0" w:color="auto"/>
        <w:bottom w:val="none" w:sz="0" w:space="0" w:color="auto"/>
        <w:right w:val="none" w:sz="0" w:space="0" w:color="auto"/>
      </w:divBdr>
    </w:div>
    <w:div w:id="1488597205">
      <w:bodyDiv w:val="1"/>
      <w:marLeft w:val="0"/>
      <w:marRight w:val="0"/>
      <w:marTop w:val="0"/>
      <w:marBottom w:val="0"/>
      <w:divBdr>
        <w:top w:val="none" w:sz="0" w:space="0" w:color="auto"/>
        <w:left w:val="none" w:sz="0" w:space="0" w:color="auto"/>
        <w:bottom w:val="none" w:sz="0" w:space="0" w:color="auto"/>
        <w:right w:val="none" w:sz="0" w:space="0" w:color="auto"/>
      </w:divBdr>
    </w:div>
    <w:div w:id="1498813450">
      <w:bodyDiv w:val="1"/>
      <w:marLeft w:val="0"/>
      <w:marRight w:val="0"/>
      <w:marTop w:val="0"/>
      <w:marBottom w:val="0"/>
      <w:divBdr>
        <w:top w:val="none" w:sz="0" w:space="0" w:color="auto"/>
        <w:left w:val="none" w:sz="0" w:space="0" w:color="auto"/>
        <w:bottom w:val="none" w:sz="0" w:space="0" w:color="auto"/>
        <w:right w:val="none" w:sz="0" w:space="0" w:color="auto"/>
      </w:divBdr>
    </w:div>
    <w:div w:id="1552838163">
      <w:bodyDiv w:val="1"/>
      <w:marLeft w:val="0"/>
      <w:marRight w:val="0"/>
      <w:marTop w:val="0"/>
      <w:marBottom w:val="0"/>
      <w:divBdr>
        <w:top w:val="none" w:sz="0" w:space="0" w:color="auto"/>
        <w:left w:val="none" w:sz="0" w:space="0" w:color="auto"/>
        <w:bottom w:val="none" w:sz="0" w:space="0" w:color="auto"/>
        <w:right w:val="none" w:sz="0" w:space="0" w:color="auto"/>
      </w:divBdr>
    </w:div>
    <w:div w:id="1568955968">
      <w:bodyDiv w:val="1"/>
      <w:marLeft w:val="0"/>
      <w:marRight w:val="0"/>
      <w:marTop w:val="0"/>
      <w:marBottom w:val="0"/>
      <w:divBdr>
        <w:top w:val="none" w:sz="0" w:space="0" w:color="auto"/>
        <w:left w:val="none" w:sz="0" w:space="0" w:color="auto"/>
        <w:bottom w:val="none" w:sz="0" w:space="0" w:color="auto"/>
        <w:right w:val="none" w:sz="0" w:space="0" w:color="auto"/>
      </w:divBdr>
    </w:div>
    <w:div w:id="1592543321">
      <w:bodyDiv w:val="1"/>
      <w:marLeft w:val="0"/>
      <w:marRight w:val="0"/>
      <w:marTop w:val="0"/>
      <w:marBottom w:val="0"/>
      <w:divBdr>
        <w:top w:val="none" w:sz="0" w:space="0" w:color="auto"/>
        <w:left w:val="none" w:sz="0" w:space="0" w:color="auto"/>
        <w:bottom w:val="none" w:sz="0" w:space="0" w:color="auto"/>
        <w:right w:val="none" w:sz="0" w:space="0" w:color="auto"/>
      </w:divBdr>
    </w:div>
    <w:div w:id="1609849621">
      <w:bodyDiv w:val="1"/>
      <w:marLeft w:val="0"/>
      <w:marRight w:val="0"/>
      <w:marTop w:val="0"/>
      <w:marBottom w:val="0"/>
      <w:divBdr>
        <w:top w:val="none" w:sz="0" w:space="0" w:color="auto"/>
        <w:left w:val="none" w:sz="0" w:space="0" w:color="auto"/>
        <w:bottom w:val="none" w:sz="0" w:space="0" w:color="auto"/>
        <w:right w:val="none" w:sz="0" w:space="0" w:color="auto"/>
      </w:divBdr>
    </w:div>
    <w:div w:id="1628782690">
      <w:bodyDiv w:val="1"/>
      <w:marLeft w:val="0"/>
      <w:marRight w:val="0"/>
      <w:marTop w:val="0"/>
      <w:marBottom w:val="0"/>
      <w:divBdr>
        <w:top w:val="none" w:sz="0" w:space="0" w:color="auto"/>
        <w:left w:val="none" w:sz="0" w:space="0" w:color="auto"/>
        <w:bottom w:val="none" w:sz="0" w:space="0" w:color="auto"/>
        <w:right w:val="none" w:sz="0" w:space="0" w:color="auto"/>
      </w:divBdr>
    </w:div>
    <w:div w:id="1637176114">
      <w:bodyDiv w:val="1"/>
      <w:marLeft w:val="0"/>
      <w:marRight w:val="0"/>
      <w:marTop w:val="0"/>
      <w:marBottom w:val="0"/>
      <w:divBdr>
        <w:top w:val="none" w:sz="0" w:space="0" w:color="auto"/>
        <w:left w:val="none" w:sz="0" w:space="0" w:color="auto"/>
        <w:bottom w:val="none" w:sz="0" w:space="0" w:color="auto"/>
        <w:right w:val="none" w:sz="0" w:space="0" w:color="auto"/>
      </w:divBdr>
    </w:div>
    <w:div w:id="1652834384">
      <w:bodyDiv w:val="1"/>
      <w:marLeft w:val="0"/>
      <w:marRight w:val="0"/>
      <w:marTop w:val="0"/>
      <w:marBottom w:val="0"/>
      <w:divBdr>
        <w:top w:val="none" w:sz="0" w:space="0" w:color="auto"/>
        <w:left w:val="none" w:sz="0" w:space="0" w:color="auto"/>
        <w:bottom w:val="none" w:sz="0" w:space="0" w:color="auto"/>
        <w:right w:val="none" w:sz="0" w:space="0" w:color="auto"/>
      </w:divBdr>
    </w:div>
    <w:div w:id="1666788176">
      <w:bodyDiv w:val="1"/>
      <w:marLeft w:val="0"/>
      <w:marRight w:val="0"/>
      <w:marTop w:val="0"/>
      <w:marBottom w:val="0"/>
      <w:divBdr>
        <w:top w:val="none" w:sz="0" w:space="0" w:color="auto"/>
        <w:left w:val="none" w:sz="0" w:space="0" w:color="auto"/>
        <w:bottom w:val="none" w:sz="0" w:space="0" w:color="auto"/>
        <w:right w:val="none" w:sz="0" w:space="0" w:color="auto"/>
      </w:divBdr>
    </w:div>
    <w:div w:id="1687443451">
      <w:bodyDiv w:val="1"/>
      <w:marLeft w:val="0"/>
      <w:marRight w:val="0"/>
      <w:marTop w:val="0"/>
      <w:marBottom w:val="0"/>
      <w:divBdr>
        <w:top w:val="none" w:sz="0" w:space="0" w:color="auto"/>
        <w:left w:val="none" w:sz="0" w:space="0" w:color="auto"/>
        <w:bottom w:val="none" w:sz="0" w:space="0" w:color="auto"/>
        <w:right w:val="none" w:sz="0" w:space="0" w:color="auto"/>
      </w:divBdr>
    </w:div>
    <w:div w:id="1705986276">
      <w:bodyDiv w:val="1"/>
      <w:marLeft w:val="0"/>
      <w:marRight w:val="0"/>
      <w:marTop w:val="0"/>
      <w:marBottom w:val="0"/>
      <w:divBdr>
        <w:top w:val="none" w:sz="0" w:space="0" w:color="auto"/>
        <w:left w:val="none" w:sz="0" w:space="0" w:color="auto"/>
        <w:bottom w:val="none" w:sz="0" w:space="0" w:color="auto"/>
        <w:right w:val="none" w:sz="0" w:space="0" w:color="auto"/>
      </w:divBdr>
    </w:div>
    <w:div w:id="1707830383">
      <w:bodyDiv w:val="1"/>
      <w:marLeft w:val="0"/>
      <w:marRight w:val="0"/>
      <w:marTop w:val="0"/>
      <w:marBottom w:val="0"/>
      <w:divBdr>
        <w:top w:val="none" w:sz="0" w:space="0" w:color="auto"/>
        <w:left w:val="none" w:sz="0" w:space="0" w:color="auto"/>
        <w:bottom w:val="none" w:sz="0" w:space="0" w:color="auto"/>
        <w:right w:val="none" w:sz="0" w:space="0" w:color="auto"/>
      </w:divBdr>
    </w:div>
    <w:div w:id="1718165647">
      <w:bodyDiv w:val="1"/>
      <w:marLeft w:val="0"/>
      <w:marRight w:val="0"/>
      <w:marTop w:val="0"/>
      <w:marBottom w:val="0"/>
      <w:divBdr>
        <w:top w:val="none" w:sz="0" w:space="0" w:color="auto"/>
        <w:left w:val="none" w:sz="0" w:space="0" w:color="auto"/>
        <w:bottom w:val="none" w:sz="0" w:space="0" w:color="auto"/>
        <w:right w:val="none" w:sz="0" w:space="0" w:color="auto"/>
      </w:divBdr>
    </w:div>
    <w:div w:id="1746143588">
      <w:bodyDiv w:val="1"/>
      <w:marLeft w:val="0"/>
      <w:marRight w:val="0"/>
      <w:marTop w:val="0"/>
      <w:marBottom w:val="0"/>
      <w:divBdr>
        <w:top w:val="none" w:sz="0" w:space="0" w:color="auto"/>
        <w:left w:val="none" w:sz="0" w:space="0" w:color="auto"/>
        <w:bottom w:val="none" w:sz="0" w:space="0" w:color="auto"/>
        <w:right w:val="none" w:sz="0" w:space="0" w:color="auto"/>
      </w:divBdr>
    </w:div>
    <w:div w:id="1746756903">
      <w:bodyDiv w:val="1"/>
      <w:marLeft w:val="0"/>
      <w:marRight w:val="0"/>
      <w:marTop w:val="0"/>
      <w:marBottom w:val="0"/>
      <w:divBdr>
        <w:top w:val="none" w:sz="0" w:space="0" w:color="auto"/>
        <w:left w:val="none" w:sz="0" w:space="0" w:color="auto"/>
        <w:bottom w:val="none" w:sz="0" w:space="0" w:color="auto"/>
        <w:right w:val="none" w:sz="0" w:space="0" w:color="auto"/>
      </w:divBdr>
      <w:divsChild>
        <w:div w:id="649822163">
          <w:marLeft w:val="547"/>
          <w:marRight w:val="0"/>
          <w:marTop w:val="0"/>
          <w:marBottom w:val="0"/>
          <w:divBdr>
            <w:top w:val="none" w:sz="0" w:space="0" w:color="auto"/>
            <w:left w:val="none" w:sz="0" w:space="0" w:color="auto"/>
            <w:bottom w:val="none" w:sz="0" w:space="0" w:color="auto"/>
            <w:right w:val="none" w:sz="0" w:space="0" w:color="auto"/>
          </w:divBdr>
        </w:div>
      </w:divsChild>
    </w:div>
    <w:div w:id="1788310813">
      <w:bodyDiv w:val="1"/>
      <w:marLeft w:val="0"/>
      <w:marRight w:val="0"/>
      <w:marTop w:val="0"/>
      <w:marBottom w:val="0"/>
      <w:divBdr>
        <w:top w:val="none" w:sz="0" w:space="0" w:color="auto"/>
        <w:left w:val="none" w:sz="0" w:space="0" w:color="auto"/>
        <w:bottom w:val="none" w:sz="0" w:space="0" w:color="auto"/>
        <w:right w:val="none" w:sz="0" w:space="0" w:color="auto"/>
      </w:divBdr>
    </w:div>
    <w:div w:id="1820882188">
      <w:bodyDiv w:val="1"/>
      <w:marLeft w:val="0"/>
      <w:marRight w:val="0"/>
      <w:marTop w:val="0"/>
      <w:marBottom w:val="0"/>
      <w:divBdr>
        <w:top w:val="none" w:sz="0" w:space="0" w:color="auto"/>
        <w:left w:val="none" w:sz="0" w:space="0" w:color="auto"/>
        <w:bottom w:val="none" w:sz="0" w:space="0" w:color="auto"/>
        <w:right w:val="none" w:sz="0" w:space="0" w:color="auto"/>
      </w:divBdr>
    </w:div>
    <w:div w:id="1828158714">
      <w:bodyDiv w:val="1"/>
      <w:marLeft w:val="0"/>
      <w:marRight w:val="0"/>
      <w:marTop w:val="0"/>
      <w:marBottom w:val="0"/>
      <w:divBdr>
        <w:top w:val="none" w:sz="0" w:space="0" w:color="auto"/>
        <w:left w:val="none" w:sz="0" w:space="0" w:color="auto"/>
        <w:bottom w:val="none" w:sz="0" w:space="0" w:color="auto"/>
        <w:right w:val="none" w:sz="0" w:space="0" w:color="auto"/>
      </w:divBdr>
    </w:div>
    <w:div w:id="1846747576">
      <w:bodyDiv w:val="1"/>
      <w:marLeft w:val="0"/>
      <w:marRight w:val="0"/>
      <w:marTop w:val="0"/>
      <w:marBottom w:val="0"/>
      <w:divBdr>
        <w:top w:val="none" w:sz="0" w:space="0" w:color="auto"/>
        <w:left w:val="none" w:sz="0" w:space="0" w:color="auto"/>
        <w:bottom w:val="none" w:sz="0" w:space="0" w:color="auto"/>
        <w:right w:val="none" w:sz="0" w:space="0" w:color="auto"/>
      </w:divBdr>
    </w:div>
    <w:div w:id="1878203407">
      <w:bodyDiv w:val="1"/>
      <w:marLeft w:val="0"/>
      <w:marRight w:val="0"/>
      <w:marTop w:val="0"/>
      <w:marBottom w:val="0"/>
      <w:divBdr>
        <w:top w:val="none" w:sz="0" w:space="0" w:color="auto"/>
        <w:left w:val="none" w:sz="0" w:space="0" w:color="auto"/>
        <w:bottom w:val="none" w:sz="0" w:space="0" w:color="auto"/>
        <w:right w:val="none" w:sz="0" w:space="0" w:color="auto"/>
      </w:divBdr>
    </w:div>
    <w:div w:id="1906717537">
      <w:bodyDiv w:val="1"/>
      <w:marLeft w:val="0"/>
      <w:marRight w:val="0"/>
      <w:marTop w:val="0"/>
      <w:marBottom w:val="0"/>
      <w:divBdr>
        <w:top w:val="none" w:sz="0" w:space="0" w:color="auto"/>
        <w:left w:val="none" w:sz="0" w:space="0" w:color="auto"/>
        <w:bottom w:val="none" w:sz="0" w:space="0" w:color="auto"/>
        <w:right w:val="none" w:sz="0" w:space="0" w:color="auto"/>
      </w:divBdr>
    </w:div>
    <w:div w:id="1944729678">
      <w:bodyDiv w:val="1"/>
      <w:marLeft w:val="0"/>
      <w:marRight w:val="0"/>
      <w:marTop w:val="0"/>
      <w:marBottom w:val="0"/>
      <w:divBdr>
        <w:top w:val="none" w:sz="0" w:space="0" w:color="auto"/>
        <w:left w:val="none" w:sz="0" w:space="0" w:color="auto"/>
        <w:bottom w:val="none" w:sz="0" w:space="0" w:color="auto"/>
        <w:right w:val="none" w:sz="0" w:space="0" w:color="auto"/>
      </w:divBdr>
    </w:div>
    <w:div w:id="1946422442">
      <w:bodyDiv w:val="1"/>
      <w:marLeft w:val="0"/>
      <w:marRight w:val="0"/>
      <w:marTop w:val="0"/>
      <w:marBottom w:val="0"/>
      <w:divBdr>
        <w:top w:val="none" w:sz="0" w:space="0" w:color="auto"/>
        <w:left w:val="none" w:sz="0" w:space="0" w:color="auto"/>
        <w:bottom w:val="none" w:sz="0" w:space="0" w:color="auto"/>
        <w:right w:val="none" w:sz="0" w:space="0" w:color="auto"/>
      </w:divBdr>
    </w:div>
    <w:div w:id="1979454656">
      <w:bodyDiv w:val="1"/>
      <w:marLeft w:val="0"/>
      <w:marRight w:val="0"/>
      <w:marTop w:val="0"/>
      <w:marBottom w:val="0"/>
      <w:divBdr>
        <w:top w:val="none" w:sz="0" w:space="0" w:color="auto"/>
        <w:left w:val="none" w:sz="0" w:space="0" w:color="auto"/>
        <w:bottom w:val="none" w:sz="0" w:space="0" w:color="auto"/>
        <w:right w:val="none" w:sz="0" w:space="0" w:color="auto"/>
      </w:divBdr>
      <w:divsChild>
        <w:div w:id="81075735">
          <w:marLeft w:val="605"/>
          <w:marRight w:val="0"/>
          <w:marTop w:val="130"/>
          <w:marBottom w:val="0"/>
          <w:divBdr>
            <w:top w:val="none" w:sz="0" w:space="0" w:color="auto"/>
            <w:left w:val="none" w:sz="0" w:space="0" w:color="auto"/>
            <w:bottom w:val="none" w:sz="0" w:space="0" w:color="auto"/>
            <w:right w:val="none" w:sz="0" w:space="0" w:color="auto"/>
          </w:divBdr>
        </w:div>
      </w:divsChild>
    </w:div>
    <w:div w:id="1982880451">
      <w:bodyDiv w:val="1"/>
      <w:marLeft w:val="0"/>
      <w:marRight w:val="0"/>
      <w:marTop w:val="0"/>
      <w:marBottom w:val="0"/>
      <w:divBdr>
        <w:top w:val="none" w:sz="0" w:space="0" w:color="auto"/>
        <w:left w:val="none" w:sz="0" w:space="0" w:color="auto"/>
        <w:bottom w:val="none" w:sz="0" w:space="0" w:color="auto"/>
        <w:right w:val="none" w:sz="0" w:space="0" w:color="auto"/>
      </w:divBdr>
    </w:div>
    <w:div w:id="1996909991">
      <w:bodyDiv w:val="1"/>
      <w:marLeft w:val="0"/>
      <w:marRight w:val="0"/>
      <w:marTop w:val="0"/>
      <w:marBottom w:val="0"/>
      <w:divBdr>
        <w:top w:val="none" w:sz="0" w:space="0" w:color="auto"/>
        <w:left w:val="none" w:sz="0" w:space="0" w:color="auto"/>
        <w:bottom w:val="none" w:sz="0" w:space="0" w:color="auto"/>
        <w:right w:val="none" w:sz="0" w:space="0" w:color="auto"/>
      </w:divBdr>
    </w:div>
    <w:div w:id="2005467636">
      <w:bodyDiv w:val="1"/>
      <w:marLeft w:val="0"/>
      <w:marRight w:val="0"/>
      <w:marTop w:val="0"/>
      <w:marBottom w:val="0"/>
      <w:divBdr>
        <w:top w:val="none" w:sz="0" w:space="0" w:color="auto"/>
        <w:left w:val="none" w:sz="0" w:space="0" w:color="auto"/>
        <w:bottom w:val="none" w:sz="0" w:space="0" w:color="auto"/>
        <w:right w:val="none" w:sz="0" w:space="0" w:color="auto"/>
      </w:divBdr>
    </w:div>
    <w:div w:id="2028629425">
      <w:bodyDiv w:val="1"/>
      <w:marLeft w:val="0"/>
      <w:marRight w:val="0"/>
      <w:marTop w:val="0"/>
      <w:marBottom w:val="0"/>
      <w:divBdr>
        <w:top w:val="none" w:sz="0" w:space="0" w:color="auto"/>
        <w:left w:val="none" w:sz="0" w:space="0" w:color="auto"/>
        <w:bottom w:val="none" w:sz="0" w:space="0" w:color="auto"/>
        <w:right w:val="none" w:sz="0" w:space="0" w:color="auto"/>
      </w:divBdr>
    </w:div>
    <w:div w:id="2087651573">
      <w:bodyDiv w:val="1"/>
      <w:marLeft w:val="0"/>
      <w:marRight w:val="0"/>
      <w:marTop w:val="0"/>
      <w:marBottom w:val="0"/>
      <w:divBdr>
        <w:top w:val="none" w:sz="0" w:space="0" w:color="auto"/>
        <w:left w:val="none" w:sz="0" w:space="0" w:color="auto"/>
        <w:bottom w:val="none" w:sz="0" w:space="0" w:color="auto"/>
        <w:right w:val="none" w:sz="0" w:space="0" w:color="auto"/>
      </w:divBdr>
    </w:div>
    <w:div w:id="2096049750">
      <w:bodyDiv w:val="1"/>
      <w:marLeft w:val="0"/>
      <w:marRight w:val="0"/>
      <w:marTop w:val="0"/>
      <w:marBottom w:val="0"/>
      <w:divBdr>
        <w:top w:val="none" w:sz="0" w:space="0" w:color="auto"/>
        <w:left w:val="none" w:sz="0" w:space="0" w:color="auto"/>
        <w:bottom w:val="none" w:sz="0" w:space="0" w:color="auto"/>
        <w:right w:val="none" w:sz="0" w:space="0" w:color="auto"/>
      </w:divBdr>
    </w:div>
    <w:div w:id="2105177427">
      <w:bodyDiv w:val="1"/>
      <w:marLeft w:val="0"/>
      <w:marRight w:val="0"/>
      <w:marTop w:val="0"/>
      <w:marBottom w:val="0"/>
      <w:divBdr>
        <w:top w:val="none" w:sz="0" w:space="0" w:color="auto"/>
        <w:left w:val="none" w:sz="0" w:space="0" w:color="auto"/>
        <w:bottom w:val="none" w:sz="0" w:space="0" w:color="auto"/>
        <w:right w:val="none" w:sz="0" w:space="0" w:color="auto"/>
      </w:divBdr>
    </w:div>
    <w:div w:id="2106346024">
      <w:bodyDiv w:val="1"/>
      <w:marLeft w:val="0"/>
      <w:marRight w:val="0"/>
      <w:marTop w:val="0"/>
      <w:marBottom w:val="0"/>
      <w:divBdr>
        <w:top w:val="none" w:sz="0" w:space="0" w:color="auto"/>
        <w:left w:val="none" w:sz="0" w:space="0" w:color="auto"/>
        <w:bottom w:val="none" w:sz="0" w:space="0" w:color="auto"/>
        <w:right w:val="none" w:sz="0" w:space="0" w:color="auto"/>
      </w:divBdr>
    </w:div>
    <w:div w:id="210935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47" Type="http://schemas.openxmlformats.org/officeDocument/2006/relationships/hyperlink" Target="http://www.ercot.com/content/wcm/lists/89551/Technical_Requirements_draft_FINAL.docx" TargetMode="External"/><Relationship Id="rId50" Type="http://schemas.openxmlformats.org/officeDocument/2006/relationships/hyperlink" Target="http://www.ercot.com/mktrules/guides/noperating/current" TargetMode="External"/><Relationship Id="rId55" Type="http://schemas.openxmlformats.org/officeDocument/2006/relationships/hyperlink" Target="http://www.ercot.com/content/wcm/key_documents_lists/108818/17.__WMS_2017_4CP__Retail_DR_Analysis_Raish.v2.pptx" TargetMode="External"/><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header" Target="header4.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hyperlink" Target="http://www.astrape.com/?ddownload=271" TargetMode="External"/><Relationship Id="rId53" Type="http://schemas.openxmlformats.org/officeDocument/2006/relationships/hyperlink" Target="http://www.ercot.com/content/wcm/key_documents_lists/91842/Emergency_Response_Service_Procurement_Methodology.zip" TargetMode="External"/><Relationship Id="rId58" Type="http://schemas.openxmlformats.org/officeDocument/2006/relationships/hyperlink" Target="https://www.pjm.com/~/media/committees-groups/committees/mic/20180425-special/20180425-pjm-2018-cost-of-new-entry-study.ashx" TargetMode="External"/><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48" Type="http://schemas.openxmlformats.org/officeDocument/2006/relationships/hyperlink" Target="http://www.ercot.com/content/wcm/libraries/212201/September_1__2020_Nodal_Protocols.pdf" TargetMode="External"/><Relationship Id="rId56" Type="http://schemas.openxmlformats.org/officeDocument/2006/relationships/hyperlink" Target="http://www.ercot.com/content/wcm/lists/114801/ERCOT_Study_Process_and_Methodology_Manual_for_EORM-MERM_11-3-2017_InitialDraft.docx" TargetMode="Externa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hyperlink" Target="http://www.ercot.com/content/wcm/lists/196030/2020_LTLF_Report.pdf" TargetMode="External"/><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46" Type="http://schemas.openxmlformats.org/officeDocument/2006/relationships/hyperlink" Target="http://mis.ercot.com/misapp/GetReports.do?reportTypeId=11465&amp;reportTitle=ERS%20Procurement%20Results&amp;showHTMLView=&amp;mimicKey/" TargetMode="External"/><Relationship Id="rId59" Type="http://schemas.openxmlformats.org/officeDocument/2006/relationships/hyperlink" Target="http://www.puc.texas.gov/agency/rulesnlaws/subrules/electric/25.505/25.505.pdf" TargetMode="External"/><Relationship Id="rId67"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footer" Target="footer2.xml"/><Relationship Id="rId54" Type="http://schemas.openxmlformats.org/officeDocument/2006/relationships/hyperlink" Target="http://www.ercot.com/content/wcm/key_documents_lists/27290/Demand_Response_Presentations.zip" TargetMode="Externa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ercot.com/content/wcm/key_documents_lists/90055/ERCOT_DC_Tie_Operations_Document.docx" TargetMode="External"/><Relationship Id="rId57" Type="http://schemas.openxmlformats.org/officeDocument/2006/relationships/hyperlink" Target="http://lmpmarketdesign.com/papers/Back_Cast_of_Interim_Solution_B_Improve_Real_Time_Scarcity_Pricing_Whitepaper.pdf"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Astrape.com/servm/" TargetMode="External"/><Relationship Id="rId52" Type="http://schemas.openxmlformats.org/officeDocument/2006/relationships/hyperlink" Target="http://www.ercot.com/content/wcm/key_documents_lists/89286/Methodology_for_Setting_Maximum_Shadow_Prices_for_Network_and_Power_Balance_Constraints.zip" TargetMode="External"/><Relationship Id="rId60" Type="http://schemas.openxmlformats.org/officeDocument/2006/relationships/hyperlink" Target="http://files.brattle.com/files/7932_cost_of_new_entry_estimates_for_combustion-turbine_and_combined-cycle_plants_in_pjm_spees_et_al_aug_24_11.pdf" TargetMode="External"/><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chool%20report%20with%203D%20models.dotx" TargetMode="External"/></Relationships>
</file>

<file path=word/theme/theme1.xml><?xml version="1.0" encoding="utf-8"?>
<a:theme xmlns:a="http://schemas.openxmlformats.org/drawingml/2006/main" name="Office Theme">
  <a:themeElements>
    <a:clrScheme name="Custom 1">
      <a:dk1>
        <a:srgbClr val="302F35"/>
      </a:dk1>
      <a:lt1>
        <a:srgbClr val="FFFFFF"/>
      </a:lt1>
      <a:dk2>
        <a:srgbClr val="FFFFFF"/>
      </a:dk2>
      <a:lt2>
        <a:srgbClr val="00467F"/>
      </a:lt2>
      <a:accent1>
        <a:srgbClr val="6A7277"/>
      </a:accent1>
      <a:accent2>
        <a:srgbClr val="CCCDC3"/>
      </a:accent2>
      <a:accent3>
        <a:srgbClr val="002B54"/>
      </a:accent3>
      <a:accent4>
        <a:srgbClr val="EF4623"/>
      </a:accent4>
      <a:accent5>
        <a:srgbClr val="7FB9C2"/>
      </a:accent5>
      <a:accent6>
        <a:srgbClr val="00467F"/>
      </a:accent6>
      <a:hlink>
        <a:srgbClr val="7FB9C2"/>
      </a:hlink>
      <a:folHlink>
        <a:srgbClr val="00467F"/>
      </a:folHlink>
    </a:clrScheme>
    <a:fontScheme name="Dino PPT">
      <a:majorFont>
        <a:latin typeface="Gill Sans MT"/>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ECEC6-ED68-4AA1-B229-2872F7F7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report with 3D models.dotx</Template>
  <TotalTime>0</TotalTime>
  <Pages>92</Pages>
  <Words>23822</Words>
  <Characters>135788</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2020-12-01T19:17:00Z</dcterms:created>
  <dcterms:modified xsi:type="dcterms:W3CDTF">2020-12-01T19:44:00Z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marmil@microsoft.com</vt:lpwstr>
  </property>
  <property fmtid="{D5CDD505-2E9C-101B-9397-08002B2CF9AE}" pid="5" name="MSIP_Label_f42aa342-8706-4288-bd11-ebb85995028c_SetDate">
    <vt:lpwstr>2018-03-23T17:47:51.2561528Z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