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EC438B">
            <w:pPr>
              <w:pStyle w:val="Header"/>
            </w:pPr>
            <w:bookmarkStart w:id="0" w:name="_GoBack" w:colFirst="2" w:colLast="2"/>
            <w:r>
              <w:t>N</w:t>
            </w:r>
            <w:r w:rsidR="00EC438B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6167B2" w:rsidP="00C749A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C749A1" w:rsidRPr="00C749A1">
                <w:rPr>
                  <w:rStyle w:val="Hyperlink"/>
                </w:rPr>
                <w:t>217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EC438B">
            <w:pPr>
              <w:pStyle w:val="Header"/>
            </w:pPr>
            <w:r>
              <w:t>N</w:t>
            </w:r>
            <w:r w:rsidR="00EC438B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C749A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C749A1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749A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C749A1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EC438B">
              <w:t xml:space="preserve">Nodal Operating Guide Revision Request (NOGRR)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C749A1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C749A1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C749A1">
              <w:t>1039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167B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6167B2">
      <w:rPr>
        <w:rFonts w:ascii="Arial" w:hAnsi="Arial"/>
        <w:sz w:val="18"/>
      </w:rPr>
      <w:t>217NOGRR-02 Impact Analysis 081820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7B2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49A1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03C80-5943-4C3F-8146-CB075C2B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2020-08-19T00:23:00Z</dcterms:created>
  <dcterms:modified xsi:type="dcterms:W3CDTF">2020-11-27T20:23:00Z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