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A73E" w14:textId="77777777" w:rsidR="00E253E0" w:rsidRPr="000F0DBD" w:rsidRDefault="00E253E0" w:rsidP="000F0DBD">
      <w:pPr>
        <w:spacing w:after="0" w:line="240" w:lineRule="auto"/>
        <w:rPr>
          <w:b/>
          <w:color w:val="0070C0"/>
          <w:sz w:val="28"/>
          <w:szCs w:val="28"/>
        </w:rPr>
      </w:pPr>
      <w:r w:rsidRPr="000F0DBD">
        <w:rPr>
          <w:b/>
          <w:color w:val="0070C0"/>
          <w:sz w:val="28"/>
          <w:szCs w:val="28"/>
        </w:rPr>
        <w:t xml:space="preserve">CRR Credit Frequently Asked Questions (FAQ) </w:t>
      </w:r>
    </w:p>
    <w:p w14:paraId="48ACEA09" w14:textId="77777777" w:rsidR="00E253E0" w:rsidRDefault="00E253E0" w:rsidP="000F0DBD">
      <w:pPr>
        <w:spacing w:after="0" w:line="240" w:lineRule="auto"/>
        <w:rPr>
          <w:b/>
          <w:color w:val="0070C0"/>
          <w:sz w:val="28"/>
          <w:szCs w:val="28"/>
        </w:rPr>
      </w:pPr>
      <w:r w:rsidRPr="000F0DBD">
        <w:rPr>
          <w:b/>
          <w:color w:val="0070C0"/>
          <w:sz w:val="28"/>
          <w:szCs w:val="28"/>
        </w:rPr>
        <w:t>Table of Contents</w:t>
      </w:r>
    </w:p>
    <w:p w14:paraId="2C9B467E" w14:textId="77777777" w:rsidR="000F0DBD" w:rsidRPr="000F0DBD" w:rsidRDefault="000F0DBD" w:rsidP="000F0DBD">
      <w:pPr>
        <w:spacing w:after="0" w:line="240" w:lineRule="auto"/>
        <w:rPr>
          <w:b/>
          <w:color w:val="0070C0"/>
          <w:sz w:val="28"/>
          <w:szCs w:val="28"/>
        </w:rPr>
      </w:pPr>
    </w:p>
    <w:p w14:paraId="773589DB" w14:textId="77777777" w:rsidR="00D037E7" w:rsidRPr="00755D2B" w:rsidRDefault="00752003" w:rsidP="00D037E7">
      <w:pPr>
        <w:pStyle w:val="ListParagraph"/>
        <w:numPr>
          <w:ilvl w:val="0"/>
          <w:numId w:val="1"/>
        </w:numPr>
        <w:spacing w:after="0" w:line="240" w:lineRule="auto"/>
        <w:rPr>
          <w:rStyle w:val="Hyperlink"/>
          <w:rFonts w:cs="Arial"/>
          <w:b/>
          <w:color w:val="0070C0"/>
        </w:rPr>
      </w:pPr>
      <w:hyperlink w:anchor="Whatisthecreditprescreening" w:history="1">
        <w:r w:rsidR="00E253E0" w:rsidRPr="002B4F79">
          <w:rPr>
            <w:rStyle w:val="Hyperlink"/>
            <w:rFonts w:cs="Arial"/>
            <w:b/>
          </w:rPr>
          <w:t>What is the credit pre-screening?</w:t>
        </w:r>
      </w:hyperlink>
    </w:p>
    <w:p w14:paraId="5521D431" w14:textId="77777777" w:rsidR="00D037E7" w:rsidRPr="00755D2B" w:rsidRDefault="00D037E7" w:rsidP="00755D2B">
      <w:pPr>
        <w:pStyle w:val="ListParagraph"/>
        <w:spacing w:after="0" w:line="240" w:lineRule="auto"/>
        <w:ind w:left="360"/>
        <w:rPr>
          <w:rFonts w:cs="Arial"/>
          <w:b/>
          <w:color w:val="0070C0"/>
          <w:u w:val="single"/>
        </w:rPr>
      </w:pPr>
    </w:p>
    <w:p w14:paraId="11540F6E" w14:textId="4B4A5D1C" w:rsidR="00D037E7" w:rsidRPr="00755D2B" w:rsidRDefault="00752003" w:rsidP="00D037E7">
      <w:pPr>
        <w:pStyle w:val="ListParagraph"/>
        <w:numPr>
          <w:ilvl w:val="0"/>
          <w:numId w:val="1"/>
        </w:numPr>
        <w:spacing w:after="0" w:line="240" w:lineRule="auto"/>
        <w:rPr>
          <w:rStyle w:val="Hyperlink"/>
          <w:rFonts w:cs="Arial"/>
          <w:b/>
        </w:rPr>
      </w:pPr>
      <w:hyperlink w:anchor="DiffbtwnCPallocatedcreditandCRRAHselfimp" w:history="1">
        <w:r w:rsidR="00D037E7" w:rsidRPr="00755D2B">
          <w:rPr>
            <w:rStyle w:val="Hyperlink"/>
            <w:rFonts w:cs="Arial"/>
            <w:b/>
          </w:rPr>
          <w:t>What is the difference between</w:t>
        </w:r>
        <w:r w:rsidR="00D037E7" w:rsidRPr="00746683">
          <w:rPr>
            <w:rStyle w:val="Hyperlink"/>
            <w:rFonts w:cs="Arial"/>
            <w:b/>
          </w:rPr>
          <w:t xml:space="preserve"> the</w:t>
        </w:r>
        <w:r w:rsidR="00D037E7" w:rsidRPr="00755D2B">
          <w:rPr>
            <w:rStyle w:val="Hyperlink"/>
            <w:rFonts w:cs="Arial"/>
            <w:b/>
          </w:rPr>
          <w:t xml:space="preserve"> CP allocated credit </w:t>
        </w:r>
        <w:r w:rsidR="00746683" w:rsidRPr="00746683">
          <w:rPr>
            <w:rStyle w:val="Hyperlink"/>
            <w:rFonts w:cs="Arial"/>
            <w:b/>
          </w:rPr>
          <w:t xml:space="preserve">limit </w:t>
        </w:r>
        <w:r w:rsidR="00D037E7" w:rsidRPr="00755D2B">
          <w:rPr>
            <w:rStyle w:val="Hyperlink"/>
            <w:rFonts w:cs="Arial"/>
            <w:b/>
          </w:rPr>
          <w:t xml:space="preserve">and </w:t>
        </w:r>
        <w:r w:rsidR="00D037E7" w:rsidRPr="00746683">
          <w:rPr>
            <w:rStyle w:val="Hyperlink"/>
            <w:rFonts w:cs="Arial"/>
            <w:b/>
          </w:rPr>
          <w:t xml:space="preserve">a </w:t>
        </w:r>
        <w:r w:rsidR="00D037E7" w:rsidRPr="00755D2B">
          <w:rPr>
            <w:rStyle w:val="Hyperlink"/>
            <w:rFonts w:cs="Arial"/>
            <w:b/>
          </w:rPr>
          <w:t>CRRAH self-imposed credit limit?</w:t>
        </w:r>
      </w:hyperlink>
    </w:p>
    <w:p w14:paraId="0D9AE27F" w14:textId="77777777" w:rsidR="00E253E0" w:rsidRPr="000F0DBD" w:rsidRDefault="00E253E0" w:rsidP="000F0DBD">
      <w:pPr>
        <w:pStyle w:val="ListParagraph"/>
        <w:spacing w:after="0" w:line="240" w:lineRule="auto"/>
        <w:ind w:left="360"/>
        <w:rPr>
          <w:rStyle w:val="Hyperlink"/>
          <w:rFonts w:cs="Arial"/>
          <w:b/>
          <w:color w:val="0070C0"/>
        </w:rPr>
      </w:pPr>
    </w:p>
    <w:p w14:paraId="09EFD431" w14:textId="77777777" w:rsidR="00E253E0" w:rsidRPr="00C70F1C" w:rsidRDefault="00752003" w:rsidP="000F0DBD">
      <w:pPr>
        <w:pStyle w:val="ListParagraph"/>
        <w:numPr>
          <w:ilvl w:val="0"/>
          <w:numId w:val="1"/>
        </w:numPr>
        <w:spacing w:after="0" w:line="240" w:lineRule="auto"/>
        <w:rPr>
          <w:rStyle w:val="Hyperlink"/>
          <w:rFonts w:cs="Arial"/>
          <w:b/>
          <w:color w:val="0070C0"/>
        </w:rPr>
      </w:pPr>
      <w:hyperlink w:anchor="Howistheprescreenexposurecalculated" w:history="1">
        <w:r w:rsidR="00E253E0" w:rsidRPr="002B4F79">
          <w:rPr>
            <w:rStyle w:val="Hyperlink"/>
            <w:rFonts w:cs="Arial"/>
            <w:b/>
          </w:rPr>
          <w:t>How is the pre-screen exposure calculated?</w:t>
        </w:r>
      </w:hyperlink>
    </w:p>
    <w:p w14:paraId="50AC1C2A" w14:textId="77777777" w:rsidR="00C70F1C" w:rsidRPr="00C70F1C" w:rsidRDefault="00C70F1C" w:rsidP="00C70F1C">
      <w:pPr>
        <w:pStyle w:val="ListParagraph"/>
        <w:rPr>
          <w:rStyle w:val="Hyperlink"/>
          <w:rFonts w:cs="Arial"/>
          <w:b/>
          <w:color w:val="0070C0"/>
        </w:rPr>
      </w:pPr>
    </w:p>
    <w:p w14:paraId="75C15238" w14:textId="77777777" w:rsidR="00C70F1C" w:rsidRDefault="00752003" w:rsidP="00C70F1C">
      <w:pPr>
        <w:pStyle w:val="ListParagraph"/>
        <w:numPr>
          <w:ilvl w:val="1"/>
          <w:numId w:val="1"/>
        </w:numPr>
        <w:spacing w:after="0" w:line="240" w:lineRule="auto"/>
        <w:rPr>
          <w:rStyle w:val="Hyperlink"/>
          <w:rFonts w:cs="Arial"/>
          <w:b/>
          <w:color w:val="0070C0"/>
        </w:rPr>
      </w:pPr>
      <w:hyperlink w:anchor="PTPObligationBidsExposure" w:history="1">
        <w:r w:rsidR="00C70F1C" w:rsidRPr="00C70F1C">
          <w:rPr>
            <w:rStyle w:val="Hyperlink"/>
            <w:rFonts w:cs="Arial"/>
            <w:b/>
          </w:rPr>
          <w:t>PTP Obligation Bids Exposure</w:t>
        </w:r>
      </w:hyperlink>
    </w:p>
    <w:p w14:paraId="147C1BD1" w14:textId="77777777" w:rsidR="00C70F1C" w:rsidRDefault="00752003" w:rsidP="00C70F1C">
      <w:pPr>
        <w:pStyle w:val="ListParagraph"/>
        <w:numPr>
          <w:ilvl w:val="2"/>
          <w:numId w:val="1"/>
        </w:numPr>
        <w:spacing w:after="0" w:line="240" w:lineRule="auto"/>
        <w:rPr>
          <w:rStyle w:val="Hyperlink"/>
          <w:rFonts w:cs="Arial"/>
          <w:b/>
          <w:color w:val="0070C0"/>
        </w:rPr>
      </w:pPr>
      <w:hyperlink w:anchor="Example1ExposCalcPTPOblmultimonthbids" w:history="1">
        <w:r w:rsidR="00C70F1C" w:rsidRPr="00A609D5">
          <w:rPr>
            <w:rStyle w:val="Hyperlink"/>
            <w:rFonts w:cs="Arial"/>
            <w:b/>
          </w:rPr>
          <w:t>Example 1: Exposure calculation for pre-auction screening for PTP Obligation bids for PeakWD in a Long-Term Auction Sequence with multi-month bids</w:t>
        </w:r>
      </w:hyperlink>
    </w:p>
    <w:p w14:paraId="7843E2EF" w14:textId="17F55B2F" w:rsidR="00C70F1C" w:rsidRDefault="00752003" w:rsidP="00C70F1C">
      <w:pPr>
        <w:pStyle w:val="ListParagraph"/>
        <w:numPr>
          <w:ilvl w:val="2"/>
          <w:numId w:val="1"/>
        </w:numPr>
        <w:spacing w:after="0" w:line="240" w:lineRule="auto"/>
        <w:rPr>
          <w:rStyle w:val="Hyperlink"/>
          <w:rFonts w:cs="Arial"/>
          <w:b/>
          <w:color w:val="0070C0"/>
        </w:rPr>
      </w:pPr>
      <w:hyperlink w:anchor="Example2ExposCalcPTPObl24hour" w:history="1">
        <w:r w:rsidR="00C70F1C" w:rsidRPr="00A609D5">
          <w:rPr>
            <w:rStyle w:val="Hyperlink"/>
            <w:rFonts w:cs="Arial"/>
            <w:b/>
          </w:rPr>
          <w:t xml:space="preserve">Example 2: </w:t>
        </w:r>
        <w:r w:rsidR="00A609D5" w:rsidRPr="00A609D5">
          <w:rPr>
            <w:rStyle w:val="Hyperlink"/>
            <w:rFonts w:cs="Arial"/>
            <w:b/>
          </w:rPr>
          <w:t xml:space="preserve">Exposure calculation for pre-auction screening for PTP Obligation bids with 24-hour </w:t>
        </w:r>
        <w:r w:rsidR="00DC7C09">
          <w:rPr>
            <w:rStyle w:val="Hyperlink"/>
            <w:rFonts w:cs="Arial"/>
            <w:b/>
          </w:rPr>
          <w:t>Time of Use (</w:t>
        </w:r>
        <w:r w:rsidR="00A609D5" w:rsidRPr="00A609D5">
          <w:rPr>
            <w:rStyle w:val="Hyperlink"/>
            <w:rFonts w:cs="Arial"/>
            <w:b/>
          </w:rPr>
          <w:t>TOU</w:t>
        </w:r>
        <w:r w:rsidR="00DC7C09">
          <w:rPr>
            <w:rStyle w:val="Hyperlink"/>
            <w:rFonts w:cs="Arial"/>
            <w:b/>
          </w:rPr>
          <w:t>)</w:t>
        </w:r>
        <w:r w:rsidR="00A609D5" w:rsidRPr="00A609D5">
          <w:rPr>
            <w:rStyle w:val="Hyperlink"/>
            <w:rFonts w:cs="Arial"/>
            <w:b/>
          </w:rPr>
          <w:t xml:space="preserve"> in a Monthly Auction</w:t>
        </w:r>
      </w:hyperlink>
    </w:p>
    <w:p w14:paraId="5F65EC00" w14:textId="77777777" w:rsidR="00A609D5" w:rsidRDefault="00752003" w:rsidP="00A609D5">
      <w:pPr>
        <w:pStyle w:val="ListParagraph"/>
        <w:numPr>
          <w:ilvl w:val="1"/>
          <w:numId w:val="1"/>
        </w:numPr>
        <w:spacing w:after="0" w:line="240" w:lineRule="auto"/>
        <w:rPr>
          <w:rStyle w:val="Hyperlink"/>
          <w:rFonts w:cs="Arial"/>
          <w:b/>
          <w:color w:val="0070C0"/>
        </w:rPr>
      </w:pPr>
      <w:hyperlink w:anchor="PTPOptionBidsExposure" w:history="1">
        <w:r w:rsidR="00A609D5" w:rsidRPr="00A609D5">
          <w:rPr>
            <w:rStyle w:val="Hyperlink"/>
            <w:rFonts w:cs="Arial"/>
            <w:b/>
          </w:rPr>
          <w:t>PTP Option Bids Exposure</w:t>
        </w:r>
      </w:hyperlink>
    </w:p>
    <w:p w14:paraId="641B9B88" w14:textId="77777777" w:rsidR="00A609D5" w:rsidRDefault="00752003" w:rsidP="00A609D5">
      <w:pPr>
        <w:pStyle w:val="ListParagraph"/>
        <w:numPr>
          <w:ilvl w:val="2"/>
          <w:numId w:val="1"/>
        </w:numPr>
        <w:spacing w:after="0" w:line="240" w:lineRule="auto"/>
        <w:rPr>
          <w:rStyle w:val="Hyperlink"/>
          <w:rFonts w:cs="Arial"/>
          <w:b/>
        </w:rPr>
      </w:pPr>
      <w:hyperlink w:anchor="Example1ExposCalcPTPOptmultimonth" w:history="1">
        <w:r w:rsidR="00FF6928" w:rsidRPr="00FF6928">
          <w:rPr>
            <w:rStyle w:val="Hyperlink"/>
            <w:rFonts w:cs="Arial"/>
            <w:b/>
          </w:rPr>
          <w:t xml:space="preserve">Example 1: Exposure calculation for pre-auction screening for multi-month </w:t>
        </w:r>
        <w:r w:rsidR="00632690">
          <w:rPr>
            <w:rStyle w:val="Hyperlink"/>
            <w:rFonts w:cs="Arial"/>
            <w:b/>
          </w:rPr>
          <w:t>PTP Option b</w:t>
        </w:r>
        <w:r w:rsidR="00FF6928" w:rsidRPr="00FF6928">
          <w:rPr>
            <w:rStyle w:val="Hyperlink"/>
            <w:rFonts w:cs="Arial"/>
            <w:b/>
          </w:rPr>
          <w:t>ids in a Long-Term Auction Sequence</w:t>
        </w:r>
      </w:hyperlink>
    </w:p>
    <w:p w14:paraId="122AA0F4" w14:textId="77777777" w:rsidR="00FF6928" w:rsidRDefault="00752003" w:rsidP="00A609D5">
      <w:pPr>
        <w:pStyle w:val="ListParagraph"/>
        <w:numPr>
          <w:ilvl w:val="2"/>
          <w:numId w:val="1"/>
        </w:numPr>
        <w:spacing w:after="0" w:line="240" w:lineRule="auto"/>
        <w:rPr>
          <w:rStyle w:val="Hyperlink"/>
          <w:rFonts w:cs="Arial"/>
          <w:b/>
        </w:rPr>
      </w:pPr>
      <w:hyperlink w:anchor="Example2ExposCalcPTPOpt24hour" w:history="1">
        <w:r w:rsidR="00632690" w:rsidRPr="00632690">
          <w:rPr>
            <w:rStyle w:val="Hyperlink"/>
            <w:rFonts w:cs="Arial"/>
            <w:b/>
          </w:rPr>
          <w:t>Example 2: Exposure calculation for pre-auction screening for 24-hour PTP Option bids in a Monthly Auction</w:t>
        </w:r>
      </w:hyperlink>
    </w:p>
    <w:p w14:paraId="086D5D60" w14:textId="77777777" w:rsidR="00632690" w:rsidRDefault="00752003" w:rsidP="00632690">
      <w:pPr>
        <w:pStyle w:val="ListParagraph"/>
        <w:numPr>
          <w:ilvl w:val="1"/>
          <w:numId w:val="1"/>
        </w:numPr>
        <w:spacing w:after="0" w:line="240" w:lineRule="auto"/>
        <w:rPr>
          <w:rStyle w:val="Hyperlink"/>
          <w:rFonts w:cs="Arial"/>
          <w:b/>
        </w:rPr>
      </w:pPr>
      <w:hyperlink w:anchor="PTPObligationOffersExposure" w:history="1">
        <w:r w:rsidR="00632690" w:rsidRPr="00632690">
          <w:rPr>
            <w:rStyle w:val="Hyperlink"/>
            <w:rFonts w:cs="Arial"/>
            <w:b/>
          </w:rPr>
          <w:t>PTP Obligation Offers Exposure</w:t>
        </w:r>
      </w:hyperlink>
    </w:p>
    <w:p w14:paraId="66A3F035" w14:textId="77777777" w:rsidR="00632690" w:rsidRPr="00A54EEC" w:rsidRDefault="00752003" w:rsidP="00632690">
      <w:pPr>
        <w:pStyle w:val="ListParagraph"/>
        <w:numPr>
          <w:ilvl w:val="2"/>
          <w:numId w:val="1"/>
        </w:numPr>
        <w:spacing w:after="0" w:line="240" w:lineRule="auto"/>
        <w:rPr>
          <w:rStyle w:val="Hyperlink"/>
          <w:rFonts w:cs="Arial"/>
          <w:b/>
        </w:rPr>
      </w:pPr>
      <w:hyperlink w:anchor="Example1ExposCalcPTPOblOffersmultimonth" w:history="1">
        <w:r w:rsidR="00632690" w:rsidRPr="00A54EEC">
          <w:rPr>
            <w:rStyle w:val="Hyperlink"/>
            <w:rFonts w:cs="Arial"/>
            <w:b/>
          </w:rPr>
          <w:t xml:space="preserve">Example 1: </w:t>
        </w:r>
        <w:r w:rsidR="00A54EEC" w:rsidRPr="00A54EEC">
          <w:rPr>
            <w:rStyle w:val="Hyperlink"/>
            <w:rFonts w:cs="Arial"/>
            <w:b/>
          </w:rPr>
          <w:t>Exposure calculation for pre-auction screening for multi-month PTP Obligation offers in a Long-Term Auction Sequence</w:t>
        </w:r>
      </w:hyperlink>
    </w:p>
    <w:p w14:paraId="3A431445" w14:textId="77777777" w:rsidR="00632690" w:rsidRPr="00E26A29" w:rsidRDefault="00752003" w:rsidP="00632690">
      <w:pPr>
        <w:pStyle w:val="ListParagraph"/>
        <w:numPr>
          <w:ilvl w:val="2"/>
          <w:numId w:val="1"/>
        </w:numPr>
        <w:spacing w:after="0" w:line="240" w:lineRule="auto"/>
        <w:rPr>
          <w:rStyle w:val="Hyperlink"/>
          <w:rFonts w:cs="Arial"/>
          <w:b/>
        </w:rPr>
      </w:pPr>
      <w:hyperlink w:anchor="Example2ExposCalcPTPObloffersMonthlyAuct" w:history="1">
        <w:r w:rsidR="00E26A29" w:rsidRPr="00E26A29">
          <w:rPr>
            <w:rStyle w:val="Hyperlink"/>
            <w:rFonts w:cs="Arial"/>
            <w:b/>
          </w:rPr>
          <w:t>Example 2: Exposure calculation for pre-auction screening for PTP Obligation offers in a Monthly Auction</w:t>
        </w:r>
      </w:hyperlink>
    </w:p>
    <w:p w14:paraId="3A6D6DF0" w14:textId="77777777" w:rsidR="00E253E0" w:rsidRPr="000F0DBD" w:rsidRDefault="00E253E0" w:rsidP="00C70F1C">
      <w:pPr>
        <w:pStyle w:val="ListParagraph"/>
        <w:spacing w:after="0" w:line="240" w:lineRule="auto"/>
        <w:ind w:left="360"/>
        <w:rPr>
          <w:rStyle w:val="Hyperlink"/>
          <w:rFonts w:cs="Arial"/>
          <w:b/>
          <w:color w:val="0070C0"/>
        </w:rPr>
      </w:pPr>
    </w:p>
    <w:p w14:paraId="131F65FC" w14:textId="5C8D62F5" w:rsidR="00B64EBC" w:rsidRPr="00755D2B" w:rsidRDefault="00752003" w:rsidP="000F0DBD">
      <w:pPr>
        <w:pStyle w:val="ListParagraph"/>
        <w:numPr>
          <w:ilvl w:val="0"/>
          <w:numId w:val="1"/>
        </w:numPr>
        <w:spacing w:after="0" w:line="240" w:lineRule="auto"/>
        <w:rPr>
          <w:rStyle w:val="Hyperlink"/>
          <w:rFonts w:cs="Arial"/>
          <w:b/>
          <w:color w:val="0070C0"/>
        </w:rPr>
      </w:pPr>
      <w:hyperlink w:anchor="Missingcreditcoeffformypath" w:history="1">
        <w:r w:rsidR="00B64EBC" w:rsidRPr="00A04118">
          <w:rPr>
            <w:rStyle w:val="Hyperlink"/>
            <w:rFonts w:cs="Arial"/>
            <w:b/>
          </w:rPr>
          <w:t>What do I use for ACI99 and/or ACP when my path is not listed in</w:t>
        </w:r>
        <w:r w:rsidR="00DC5115" w:rsidRPr="00A04118">
          <w:rPr>
            <w:rStyle w:val="Hyperlink"/>
            <w:rFonts w:cs="Arial"/>
            <w:b/>
          </w:rPr>
          <w:t xml:space="preserve"> the posted Path Specific Adder/Credit Coefficient </w:t>
        </w:r>
        <w:r w:rsidR="00B64EBC" w:rsidRPr="00A04118">
          <w:rPr>
            <w:rStyle w:val="Hyperlink"/>
            <w:rFonts w:cs="Arial"/>
            <w:b/>
          </w:rPr>
          <w:t>report?</w:t>
        </w:r>
      </w:hyperlink>
    </w:p>
    <w:p w14:paraId="371A2C58" w14:textId="77777777" w:rsidR="002F78B7" w:rsidRPr="00755D2B" w:rsidRDefault="002F78B7" w:rsidP="00755D2B">
      <w:pPr>
        <w:pStyle w:val="ListParagraph"/>
        <w:spacing w:after="0" w:line="240" w:lineRule="auto"/>
        <w:ind w:left="360"/>
        <w:rPr>
          <w:rStyle w:val="Hyperlink"/>
          <w:rFonts w:cs="Arial"/>
          <w:b/>
          <w:color w:val="0070C0"/>
        </w:rPr>
      </w:pPr>
    </w:p>
    <w:p w14:paraId="70AAC17C" w14:textId="7758EA7C" w:rsidR="00973D16" w:rsidRPr="00B64EBC" w:rsidRDefault="00752003" w:rsidP="000F0DBD">
      <w:pPr>
        <w:pStyle w:val="ListParagraph"/>
        <w:numPr>
          <w:ilvl w:val="0"/>
          <w:numId w:val="1"/>
        </w:numPr>
        <w:spacing w:after="0" w:line="240" w:lineRule="auto"/>
        <w:rPr>
          <w:rStyle w:val="Hyperlink"/>
          <w:rFonts w:cs="Arial"/>
          <w:b/>
          <w:color w:val="0070C0"/>
        </w:rPr>
      </w:pPr>
      <w:hyperlink w:anchor="WhyareSeq6AdderReportsblank" w:history="1">
        <w:r w:rsidR="00973D16" w:rsidRPr="0090156C">
          <w:rPr>
            <w:rStyle w:val="Hyperlink"/>
            <w:rFonts w:cs="Arial"/>
            <w:b/>
          </w:rPr>
          <w:t>Why are the Seq6 Path Specific Adder/Credit Coefficient reports posted with no records?</w:t>
        </w:r>
      </w:hyperlink>
    </w:p>
    <w:p w14:paraId="36982733" w14:textId="77777777" w:rsidR="00B64EBC" w:rsidRPr="00B64EBC" w:rsidRDefault="00B64EBC" w:rsidP="00B64EBC">
      <w:pPr>
        <w:pStyle w:val="ListParagraph"/>
        <w:spacing w:after="0" w:line="240" w:lineRule="auto"/>
        <w:ind w:left="360"/>
        <w:rPr>
          <w:rStyle w:val="Hyperlink"/>
          <w:rFonts w:cs="Arial"/>
          <w:b/>
          <w:color w:val="0070C0"/>
        </w:rPr>
      </w:pPr>
    </w:p>
    <w:p w14:paraId="0624A147" w14:textId="77777777" w:rsidR="00E253E0" w:rsidRPr="003A0B0F" w:rsidRDefault="003A0B0F" w:rsidP="000F0DBD">
      <w:pPr>
        <w:pStyle w:val="ListParagraph"/>
        <w:numPr>
          <w:ilvl w:val="0"/>
          <w:numId w:val="1"/>
        </w:numPr>
        <w:spacing w:after="0" w:line="240" w:lineRule="auto"/>
        <w:rPr>
          <w:rStyle w:val="Hyperlink"/>
          <w:rFonts w:cs="Arial"/>
          <w:b/>
        </w:rPr>
      </w:pPr>
      <w:r>
        <w:rPr>
          <w:rStyle w:val="Hyperlink"/>
          <w:rFonts w:cs="Arial"/>
          <w:b/>
        </w:rPr>
        <w:fldChar w:fldCharType="begin"/>
      </w:r>
      <w:r>
        <w:rPr>
          <w:rStyle w:val="Hyperlink"/>
          <w:rFonts w:cs="Arial"/>
          <w:b/>
        </w:rPr>
        <w:instrText xml:space="preserve"> HYPERLINK  \l "Howdoesprescreencalcdifferfromcreditcons" </w:instrText>
      </w:r>
      <w:r>
        <w:rPr>
          <w:rStyle w:val="Hyperlink"/>
          <w:rFonts w:cs="Arial"/>
          <w:b/>
        </w:rPr>
        <w:fldChar w:fldCharType="separate"/>
      </w:r>
      <w:r w:rsidR="00E253E0" w:rsidRPr="003A0B0F">
        <w:rPr>
          <w:rStyle w:val="Hyperlink"/>
          <w:rFonts w:cs="Arial"/>
          <w:b/>
        </w:rPr>
        <w:t>How does the pre-screen calculation differ from the way credit is consumed during the auction optimization?</w:t>
      </w:r>
    </w:p>
    <w:p w14:paraId="464BDACA" w14:textId="77777777" w:rsidR="00E253E0" w:rsidRPr="000F0DBD" w:rsidRDefault="003A0B0F" w:rsidP="000F0DBD">
      <w:pPr>
        <w:pStyle w:val="ListParagraph"/>
        <w:spacing w:after="0" w:line="240" w:lineRule="auto"/>
        <w:ind w:left="360"/>
        <w:rPr>
          <w:rStyle w:val="Hyperlink"/>
          <w:rFonts w:cs="Arial"/>
          <w:b/>
          <w:color w:val="0070C0"/>
        </w:rPr>
      </w:pPr>
      <w:r>
        <w:rPr>
          <w:rStyle w:val="Hyperlink"/>
          <w:rFonts w:cs="Arial"/>
          <w:b/>
        </w:rPr>
        <w:fldChar w:fldCharType="end"/>
      </w:r>
    </w:p>
    <w:p w14:paraId="6715417C" w14:textId="77777777" w:rsidR="00E253E0" w:rsidRPr="001B6DCB" w:rsidRDefault="00752003" w:rsidP="000F0DBD">
      <w:pPr>
        <w:pStyle w:val="ListParagraph"/>
        <w:numPr>
          <w:ilvl w:val="0"/>
          <w:numId w:val="1"/>
        </w:numPr>
        <w:spacing w:after="0" w:line="240" w:lineRule="auto"/>
        <w:rPr>
          <w:rStyle w:val="Hyperlink"/>
          <w:rFonts w:cs="Arial"/>
          <w:b/>
          <w:color w:val="0070C0"/>
        </w:rPr>
      </w:pPr>
      <w:hyperlink w:anchor="WhatifCPdoesnotlockcreditandotherscenari" w:history="1">
        <w:r w:rsidR="00E253E0" w:rsidRPr="002B4F79">
          <w:rPr>
            <w:rStyle w:val="Hyperlink"/>
            <w:rFonts w:cs="Arial"/>
            <w:b/>
          </w:rPr>
          <w:t>What happens if my CP does not lock credit? And other scenario</w:t>
        </w:r>
        <w:r w:rsidR="002B4F79" w:rsidRPr="002B4F79">
          <w:rPr>
            <w:rStyle w:val="Hyperlink"/>
            <w:rFonts w:cs="Arial"/>
            <w:b/>
          </w:rPr>
          <w:t>s</w:t>
        </w:r>
      </w:hyperlink>
    </w:p>
    <w:p w14:paraId="357E248A" w14:textId="77777777" w:rsidR="001B6DCB" w:rsidRPr="001B6DCB" w:rsidRDefault="001B6DCB" w:rsidP="001B6DCB">
      <w:pPr>
        <w:pStyle w:val="ListParagraph"/>
        <w:rPr>
          <w:rStyle w:val="Hyperlink"/>
          <w:rFonts w:cs="Arial"/>
          <w:b/>
          <w:color w:val="0070C0"/>
        </w:rPr>
      </w:pPr>
    </w:p>
    <w:p w14:paraId="434C8A97" w14:textId="77777777" w:rsidR="001B6DCB" w:rsidRPr="001B6DCB" w:rsidRDefault="00752003" w:rsidP="001B6DCB">
      <w:pPr>
        <w:pStyle w:val="ListParagraph"/>
        <w:numPr>
          <w:ilvl w:val="0"/>
          <w:numId w:val="1"/>
        </w:numPr>
        <w:spacing w:after="0" w:line="240" w:lineRule="auto"/>
        <w:rPr>
          <w:rStyle w:val="Hyperlink"/>
          <w:rFonts w:cs="Arial"/>
          <w:b/>
          <w:color w:val="0070C0"/>
        </w:rPr>
      </w:pPr>
      <w:hyperlink w:anchor="Whatisdiffbtwnbudgetconstandbindingbudge" w:history="1">
        <w:r w:rsidR="001B6DCB" w:rsidRPr="001B6DCB">
          <w:rPr>
            <w:rStyle w:val="Hyperlink"/>
            <w:rFonts w:cs="Arial"/>
            <w:b/>
          </w:rPr>
          <w:t>What is the difference between a budget record, or budget constraint, and a binding budget constraint?</w:t>
        </w:r>
      </w:hyperlink>
    </w:p>
    <w:p w14:paraId="6A6D8F21" w14:textId="77777777" w:rsidR="00F67529" w:rsidRPr="00F67529" w:rsidRDefault="00F67529" w:rsidP="00F67529">
      <w:pPr>
        <w:pStyle w:val="ListParagraph"/>
        <w:rPr>
          <w:rStyle w:val="Hyperlink"/>
          <w:rFonts w:cs="Arial"/>
          <w:b/>
          <w:color w:val="0070C0"/>
        </w:rPr>
      </w:pPr>
    </w:p>
    <w:p w14:paraId="0818E1BF" w14:textId="77777777" w:rsidR="003F16AC" w:rsidRPr="00B64EBC" w:rsidRDefault="00752003" w:rsidP="00B64EBC">
      <w:pPr>
        <w:pStyle w:val="ListParagraph"/>
        <w:numPr>
          <w:ilvl w:val="0"/>
          <w:numId w:val="1"/>
        </w:numPr>
        <w:spacing w:after="0" w:line="240" w:lineRule="auto"/>
        <w:rPr>
          <w:rStyle w:val="Hyperlink"/>
          <w:rFonts w:cs="Arial"/>
          <w:b/>
          <w:color w:val="0070C0"/>
        </w:rPr>
      </w:pPr>
      <w:hyperlink w:anchor="WhywasntIawarded" w:history="1">
        <w:r w:rsidR="00F67529" w:rsidRPr="002F4E5E">
          <w:rPr>
            <w:rStyle w:val="Hyperlink"/>
            <w:rFonts w:cs="Arial"/>
            <w:b/>
          </w:rPr>
          <w:t xml:space="preserve">I submitted bids that were not awarded, even though </w:t>
        </w:r>
        <w:r w:rsidR="00401A66" w:rsidRPr="002F4E5E">
          <w:rPr>
            <w:rStyle w:val="Hyperlink"/>
            <w:rFonts w:cs="Arial"/>
            <w:b/>
          </w:rPr>
          <w:t>my</w:t>
        </w:r>
        <w:r w:rsidR="00F67529" w:rsidRPr="002F4E5E">
          <w:rPr>
            <w:rStyle w:val="Hyperlink"/>
            <w:rFonts w:cs="Arial"/>
            <w:b/>
          </w:rPr>
          <w:t xml:space="preserve"> bid price</w:t>
        </w:r>
        <w:r w:rsidR="00401A66" w:rsidRPr="002F4E5E">
          <w:rPr>
            <w:rStyle w:val="Hyperlink"/>
            <w:rFonts w:cs="Arial"/>
            <w:b/>
          </w:rPr>
          <w:t>s</w:t>
        </w:r>
        <w:r w:rsidR="00F67529" w:rsidRPr="002F4E5E">
          <w:rPr>
            <w:rStyle w:val="Hyperlink"/>
            <w:rFonts w:cs="Arial"/>
            <w:b/>
          </w:rPr>
          <w:t xml:space="preserve"> exceeded the clearing price</w:t>
        </w:r>
        <w:r w:rsidR="00401A66" w:rsidRPr="002F4E5E">
          <w:rPr>
            <w:rStyle w:val="Hyperlink"/>
            <w:rFonts w:cs="Arial"/>
            <w:b/>
          </w:rPr>
          <w:t>s</w:t>
        </w:r>
        <w:r w:rsidR="00F67529" w:rsidRPr="002F4E5E">
          <w:rPr>
            <w:rStyle w:val="Hyperlink"/>
            <w:rFonts w:cs="Arial"/>
            <w:b/>
          </w:rPr>
          <w:t>. My credit limit was greater than my CRR Auction Invoice amount. Why wasn’t I awarded?</w:t>
        </w:r>
      </w:hyperlink>
    </w:p>
    <w:p w14:paraId="3D99206C" w14:textId="77777777" w:rsidR="00E253E0" w:rsidRPr="000F0DBD" w:rsidRDefault="00E253E0" w:rsidP="000F0DBD">
      <w:pPr>
        <w:pStyle w:val="ListParagraph"/>
        <w:spacing w:after="0" w:line="240" w:lineRule="auto"/>
        <w:ind w:left="360"/>
        <w:rPr>
          <w:rStyle w:val="Hyperlink"/>
          <w:rFonts w:cs="Arial"/>
          <w:b/>
          <w:color w:val="0070C0"/>
        </w:rPr>
      </w:pPr>
    </w:p>
    <w:p w14:paraId="0281F41D" w14:textId="0C3E812B" w:rsidR="00FA4319" w:rsidRPr="00755D2B" w:rsidRDefault="00752003" w:rsidP="00FA4319">
      <w:pPr>
        <w:pStyle w:val="ListParagraph"/>
        <w:numPr>
          <w:ilvl w:val="0"/>
          <w:numId w:val="1"/>
        </w:numPr>
        <w:spacing w:after="0" w:line="240" w:lineRule="auto"/>
        <w:rPr>
          <w:rStyle w:val="Hyperlink"/>
          <w:rFonts w:cs="Arial"/>
          <w:b/>
          <w:color w:val="0070C0"/>
        </w:rPr>
      </w:pPr>
      <w:hyperlink w:anchor="HowwillNPRR867impactamountofcreditlocked" w:history="1">
        <w:r w:rsidR="00E253E0" w:rsidRPr="002F4E5E">
          <w:rPr>
            <w:rStyle w:val="Hyperlink"/>
            <w:rFonts w:cs="Arial"/>
            <w:b/>
          </w:rPr>
          <w:t xml:space="preserve">How </w:t>
        </w:r>
        <w:r w:rsidR="002F78B7">
          <w:rPr>
            <w:rStyle w:val="Hyperlink"/>
            <w:rFonts w:cs="Arial"/>
            <w:b/>
          </w:rPr>
          <w:t>does</w:t>
        </w:r>
        <w:r w:rsidR="002F78B7" w:rsidRPr="002F4E5E">
          <w:rPr>
            <w:rStyle w:val="Hyperlink"/>
            <w:rFonts w:cs="Arial"/>
            <w:b/>
          </w:rPr>
          <w:t xml:space="preserve"> </w:t>
        </w:r>
        <w:r w:rsidR="00E253E0" w:rsidRPr="002F4E5E">
          <w:rPr>
            <w:rStyle w:val="Hyperlink"/>
            <w:rFonts w:cs="Arial"/>
            <w:b/>
          </w:rPr>
          <w:t>NPRR867 impact the amount of credit that is locked?</w:t>
        </w:r>
      </w:hyperlink>
    </w:p>
    <w:p w14:paraId="58B1A38B" w14:textId="77777777" w:rsidR="00FA4319" w:rsidRDefault="00FA4319" w:rsidP="00755D2B">
      <w:pPr>
        <w:pStyle w:val="ListParagraph"/>
        <w:ind w:left="360"/>
        <w:rPr>
          <w:rStyle w:val="Hyperlink"/>
          <w:rFonts w:cs="Arial"/>
          <w:b/>
          <w:color w:val="0070C0"/>
        </w:rPr>
      </w:pPr>
    </w:p>
    <w:p w14:paraId="6D9CDD7E" w14:textId="3DCADB25" w:rsidR="00FA4319" w:rsidRPr="00AF63A2" w:rsidRDefault="00752003" w:rsidP="00755D2B">
      <w:pPr>
        <w:pStyle w:val="ListParagraph"/>
        <w:numPr>
          <w:ilvl w:val="0"/>
          <w:numId w:val="1"/>
        </w:numPr>
        <w:rPr>
          <w:rStyle w:val="Hyperlink"/>
          <w:rFonts w:cs="Arial"/>
          <w:b/>
          <w:color w:val="0070C0"/>
        </w:rPr>
      </w:pPr>
      <w:hyperlink w:anchor="WhydoesmyACLforCPchangeduringcreditwindo" w:history="1">
        <w:r w:rsidR="00FA4319" w:rsidRPr="00261A69">
          <w:rPr>
            <w:rStyle w:val="Hyperlink"/>
            <w:rFonts w:cs="Arial"/>
            <w:b/>
          </w:rPr>
          <w:t xml:space="preserve">Why does </w:t>
        </w:r>
        <w:r w:rsidR="00755D2B">
          <w:rPr>
            <w:rStyle w:val="Hyperlink"/>
            <w:rFonts w:cs="Arial"/>
            <w:b/>
          </w:rPr>
          <w:t>the</w:t>
        </w:r>
        <w:r w:rsidR="00755D2B" w:rsidRPr="00261A69">
          <w:rPr>
            <w:rStyle w:val="Hyperlink"/>
            <w:rFonts w:cs="Arial"/>
            <w:b/>
          </w:rPr>
          <w:t xml:space="preserve"> </w:t>
        </w:r>
        <w:r w:rsidR="00FA4319" w:rsidRPr="00261A69">
          <w:rPr>
            <w:rStyle w:val="Hyperlink"/>
            <w:rFonts w:cs="Arial"/>
            <w:b/>
          </w:rPr>
          <w:t xml:space="preserve">Available Credit Limit in the Credit Limit Editor for </w:t>
        </w:r>
        <w:r w:rsidR="00755D2B">
          <w:rPr>
            <w:rStyle w:val="Hyperlink"/>
            <w:rFonts w:cs="Arial"/>
            <w:b/>
          </w:rPr>
          <w:t>my</w:t>
        </w:r>
        <w:r w:rsidR="00755D2B" w:rsidRPr="00261A69">
          <w:rPr>
            <w:rStyle w:val="Hyperlink"/>
            <w:rFonts w:cs="Arial"/>
            <w:b/>
          </w:rPr>
          <w:t xml:space="preserve"> </w:t>
        </w:r>
        <w:r w:rsidR="00FA4319" w:rsidRPr="00261A69">
          <w:rPr>
            <w:rStyle w:val="Hyperlink"/>
            <w:rFonts w:cs="Arial"/>
            <w:b/>
          </w:rPr>
          <w:t>Counter-Party change during the credit window?</w:t>
        </w:r>
      </w:hyperlink>
    </w:p>
    <w:p w14:paraId="799F4166" w14:textId="77777777" w:rsidR="00FA4319" w:rsidRPr="00FA4319" w:rsidRDefault="00FA4319" w:rsidP="00755D2B">
      <w:pPr>
        <w:pStyle w:val="ListParagraph"/>
        <w:spacing w:after="0" w:line="240" w:lineRule="auto"/>
        <w:ind w:left="360"/>
        <w:rPr>
          <w:rStyle w:val="Hyperlink"/>
          <w:rFonts w:cs="Arial"/>
          <w:b/>
          <w:color w:val="0070C0"/>
        </w:rPr>
      </w:pPr>
    </w:p>
    <w:p w14:paraId="0D64943C" w14:textId="77777777" w:rsidR="009D56BE" w:rsidRPr="003F16AC" w:rsidRDefault="009D56BE" w:rsidP="003F16AC">
      <w:pPr>
        <w:spacing w:after="0" w:line="240" w:lineRule="auto"/>
        <w:rPr>
          <w:rStyle w:val="Hyperlink"/>
          <w:rFonts w:cs="Arial"/>
          <w:b/>
          <w:color w:val="0070C0"/>
        </w:rPr>
      </w:pPr>
    </w:p>
    <w:p w14:paraId="66976FBA" w14:textId="77777777" w:rsidR="00E253E0" w:rsidRDefault="00E253E0" w:rsidP="00E253E0">
      <w:pPr>
        <w:pStyle w:val="ListParagraph"/>
        <w:pBdr>
          <w:bottom w:val="single" w:sz="12" w:space="1" w:color="auto"/>
        </w:pBdr>
        <w:ind w:left="0"/>
      </w:pPr>
    </w:p>
    <w:p w14:paraId="5AA619AC" w14:textId="77777777" w:rsidR="00E253E0" w:rsidRDefault="00E253E0" w:rsidP="00E253E0"/>
    <w:p w14:paraId="3133B2ED" w14:textId="77777777" w:rsidR="000F0DBD" w:rsidRPr="00084EAF" w:rsidRDefault="000F0DBD" w:rsidP="000F0DBD">
      <w:pPr>
        <w:pStyle w:val="ListParagraph"/>
        <w:numPr>
          <w:ilvl w:val="0"/>
          <w:numId w:val="2"/>
        </w:numPr>
        <w:rPr>
          <w:rStyle w:val="Hyperlink"/>
          <w:rFonts w:cs="Arial"/>
          <w:b/>
          <w:color w:val="0070C0"/>
        </w:rPr>
      </w:pPr>
      <w:bookmarkStart w:id="0" w:name="Whatisthecreditprescreening"/>
      <w:r w:rsidRPr="00084EAF">
        <w:rPr>
          <w:rStyle w:val="Hyperlink"/>
          <w:rFonts w:cs="Arial"/>
          <w:b/>
          <w:color w:val="0070C0"/>
        </w:rPr>
        <w:t>What is the credit pre-screening?</w:t>
      </w:r>
    </w:p>
    <w:bookmarkEnd w:id="0"/>
    <w:p w14:paraId="276406F7" w14:textId="77777777" w:rsidR="00EE0801" w:rsidRDefault="000F0DBD" w:rsidP="000F0DBD">
      <w:r>
        <w:t xml:space="preserve">The credit pre-screening process calculates </w:t>
      </w:r>
      <w:r w:rsidR="002755A7">
        <w:t>credit exposure</w:t>
      </w:r>
      <w:r>
        <w:t xml:space="preserve"> </w:t>
      </w:r>
      <w:r w:rsidR="002755A7">
        <w:t xml:space="preserve">at the time the auction bid and credit windows close, </w:t>
      </w:r>
      <w:r>
        <w:t>both at the Counter-Party (CP) level, and at the CRR Account Holder (CRRAH) level</w:t>
      </w:r>
      <w:r w:rsidR="002755A7">
        <w:t xml:space="preserve">. If the CP’s locked credit limit is greater than the CP’s credit exposure in the pre-screen calculation, then the CP will not have a budget constraint in the auction optimization. </w:t>
      </w:r>
      <w:r w:rsidR="00EE0801">
        <w:t>Similarly, f</w:t>
      </w:r>
      <w:r w:rsidR="002755A7">
        <w:t xml:space="preserve">or </w:t>
      </w:r>
      <w:r w:rsidR="001C1354">
        <w:t>each CRRAH of a CP</w:t>
      </w:r>
      <w:r w:rsidR="005A7FA2">
        <w:t xml:space="preserve"> who locked credit for an auction, </w:t>
      </w:r>
      <w:r w:rsidR="001C1354">
        <w:t>if the CRRAH’s self-imposed credit limit is greater than that CRRAH’s calculated credit exposure, then the CRRAH will not have a budget constraint in the auction optimization.</w:t>
      </w:r>
      <w:r w:rsidR="005A7FA2">
        <w:t xml:space="preserve"> </w:t>
      </w:r>
    </w:p>
    <w:p w14:paraId="436BF58A" w14:textId="6352C957" w:rsidR="000F0DBD" w:rsidRDefault="005A7FA2" w:rsidP="000F0DBD">
      <w:r>
        <w:t xml:space="preserve">If the CRRAHs under a CP do not submit </w:t>
      </w:r>
      <w:r w:rsidR="00EE0801">
        <w:t>self-imposed credit limits</w:t>
      </w:r>
      <w:r>
        <w:t>, the credit locked by the CP will be used</w:t>
      </w:r>
      <w:r w:rsidR="00EE0801">
        <w:t xml:space="preserve"> as </w:t>
      </w:r>
      <w:r w:rsidR="00F64B90">
        <w:t>the self-imposed credit limit</w:t>
      </w:r>
      <w:r w:rsidR="00EE0801">
        <w:t xml:space="preserve"> for </w:t>
      </w:r>
      <w:r w:rsidR="00F64B90">
        <w:t>each CRRAH</w:t>
      </w:r>
      <w:r w:rsidR="00EE0801">
        <w:t xml:space="preserve"> under the same CP</w:t>
      </w:r>
      <w:r>
        <w:t xml:space="preserve">.  </w:t>
      </w:r>
      <w:r w:rsidR="00C067D1">
        <w:t>To</w:t>
      </w:r>
      <w:r>
        <w:t xml:space="preserve"> receive awards for bids, the CP must lock credit for an auction, but the CRRAH is not required to do so.</w:t>
      </w:r>
    </w:p>
    <w:p w14:paraId="24E019EE" w14:textId="271BA3BD" w:rsidR="00D037E7" w:rsidRDefault="00D037E7" w:rsidP="00D037E7">
      <w:pPr>
        <w:pStyle w:val="ListParagraph"/>
        <w:numPr>
          <w:ilvl w:val="0"/>
          <w:numId w:val="2"/>
        </w:numPr>
        <w:rPr>
          <w:rStyle w:val="Hyperlink"/>
          <w:rFonts w:cs="Arial"/>
          <w:b/>
          <w:color w:val="0070C0"/>
        </w:rPr>
      </w:pPr>
      <w:bookmarkStart w:id="1" w:name="DiffbtwnCPallocatedcreditandCRRAHselfimp"/>
      <w:r w:rsidRPr="00755D2B">
        <w:rPr>
          <w:rStyle w:val="Hyperlink"/>
          <w:rFonts w:cs="Arial"/>
          <w:b/>
          <w:color w:val="0070C0"/>
        </w:rPr>
        <w:t xml:space="preserve">What is the difference between </w:t>
      </w:r>
      <w:r w:rsidR="00746683">
        <w:rPr>
          <w:rStyle w:val="Hyperlink"/>
          <w:rFonts w:cs="Arial"/>
          <w:b/>
          <w:color w:val="0070C0"/>
        </w:rPr>
        <w:t xml:space="preserve">a </w:t>
      </w:r>
      <w:r w:rsidRPr="00755D2B">
        <w:rPr>
          <w:rStyle w:val="Hyperlink"/>
          <w:rFonts w:cs="Arial"/>
          <w:b/>
          <w:color w:val="0070C0"/>
        </w:rPr>
        <w:t>CP allocat</w:t>
      </w:r>
      <w:r w:rsidR="00746683">
        <w:rPr>
          <w:rStyle w:val="Hyperlink"/>
          <w:rFonts w:cs="Arial"/>
          <w:b/>
          <w:color w:val="0070C0"/>
        </w:rPr>
        <w:t>ing</w:t>
      </w:r>
      <w:r w:rsidRPr="00755D2B">
        <w:rPr>
          <w:rStyle w:val="Hyperlink"/>
          <w:rFonts w:cs="Arial"/>
          <w:b/>
          <w:color w:val="0070C0"/>
        </w:rPr>
        <w:t xml:space="preserve"> credit </w:t>
      </w:r>
      <w:r w:rsidR="00746683">
        <w:rPr>
          <w:rStyle w:val="Hyperlink"/>
          <w:rFonts w:cs="Arial"/>
          <w:b/>
          <w:color w:val="0070C0"/>
        </w:rPr>
        <w:t xml:space="preserve">for an auction </w:t>
      </w:r>
      <w:r w:rsidRPr="00755D2B">
        <w:rPr>
          <w:rStyle w:val="Hyperlink"/>
          <w:rFonts w:cs="Arial"/>
          <w:b/>
          <w:color w:val="0070C0"/>
        </w:rPr>
        <w:t xml:space="preserve">and </w:t>
      </w:r>
      <w:r w:rsidR="00746683">
        <w:rPr>
          <w:rStyle w:val="Hyperlink"/>
          <w:rFonts w:cs="Arial"/>
          <w:b/>
          <w:color w:val="0070C0"/>
        </w:rPr>
        <w:t xml:space="preserve">its </w:t>
      </w:r>
      <w:r w:rsidRPr="00755D2B">
        <w:rPr>
          <w:rStyle w:val="Hyperlink"/>
          <w:rFonts w:cs="Arial"/>
          <w:b/>
          <w:color w:val="0070C0"/>
        </w:rPr>
        <w:t>CRRAH self-impos</w:t>
      </w:r>
      <w:r w:rsidR="00746683">
        <w:rPr>
          <w:rStyle w:val="Hyperlink"/>
          <w:rFonts w:cs="Arial"/>
          <w:b/>
          <w:color w:val="0070C0"/>
        </w:rPr>
        <w:t xml:space="preserve">ing a </w:t>
      </w:r>
      <w:r w:rsidRPr="00755D2B">
        <w:rPr>
          <w:rStyle w:val="Hyperlink"/>
          <w:rFonts w:cs="Arial"/>
          <w:b/>
          <w:color w:val="0070C0"/>
        </w:rPr>
        <w:t>credit limit?</w:t>
      </w:r>
    </w:p>
    <w:p w14:paraId="6134CD30" w14:textId="378E6D92" w:rsidR="00746683" w:rsidRPr="00755D2B" w:rsidRDefault="00746683" w:rsidP="00746683">
      <w:pPr>
        <w:rPr>
          <w:rStyle w:val="Hyperlink"/>
          <w:rFonts w:cs="Arial"/>
          <w:bCs/>
          <w:color w:val="auto"/>
          <w:u w:val="none"/>
        </w:rPr>
      </w:pPr>
      <w:r w:rsidRPr="00755D2B">
        <w:rPr>
          <w:rStyle w:val="Hyperlink"/>
          <w:rFonts w:cs="Arial"/>
          <w:bCs/>
          <w:color w:val="auto"/>
          <w:u w:val="none"/>
        </w:rPr>
        <w:t xml:space="preserve">The most important distinction between CP allocated credit and CRRAH self-imposed credit limits, is that </w:t>
      </w:r>
      <w:r w:rsidR="009738D9" w:rsidRPr="00755D2B">
        <w:rPr>
          <w:rStyle w:val="Hyperlink"/>
          <w:rFonts w:cs="Arial"/>
          <w:bCs/>
          <w:color w:val="auto"/>
          <w:u w:val="none"/>
        </w:rPr>
        <w:t xml:space="preserve">the </w:t>
      </w:r>
      <w:r w:rsidRPr="00755D2B">
        <w:rPr>
          <w:rStyle w:val="Hyperlink"/>
          <w:rFonts w:cs="Arial"/>
          <w:bCs/>
          <w:color w:val="auto"/>
          <w:u w:val="none"/>
        </w:rPr>
        <w:t xml:space="preserve">CP </w:t>
      </w:r>
      <w:r w:rsidR="009738D9" w:rsidRPr="00755D2B">
        <w:rPr>
          <w:rStyle w:val="Hyperlink"/>
          <w:rFonts w:cs="Arial"/>
          <w:b/>
          <w:color w:val="auto"/>
          <w:u w:val="none"/>
        </w:rPr>
        <w:t>must</w:t>
      </w:r>
      <w:r w:rsidR="009738D9" w:rsidRPr="00755D2B">
        <w:rPr>
          <w:rStyle w:val="Hyperlink"/>
          <w:rFonts w:cs="Arial"/>
          <w:bCs/>
          <w:color w:val="auto"/>
          <w:u w:val="none"/>
        </w:rPr>
        <w:t xml:space="preserve"> </w:t>
      </w:r>
      <w:r w:rsidRPr="00755D2B">
        <w:rPr>
          <w:rStyle w:val="Hyperlink"/>
          <w:rFonts w:cs="Arial"/>
          <w:bCs/>
          <w:color w:val="auto"/>
          <w:u w:val="none"/>
        </w:rPr>
        <w:t xml:space="preserve">allocate credit </w:t>
      </w:r>
      <w:r w:rsidR="002151F5" w:rsidRPr="00755D2B">
        <w:rPr>
          <w:rStyle w:val="Hyperlink"/>
          <w:rFonts w:cs="Arial"/>
          <w:bCs/>
          <w:color w:val="auto"/>
          <w:u w:val="none"/>
        </w:rPr>
        <w:t>for</w:t>
      </w:r>
      <w:r w:rsidRPr="00755D2B">
        <w:rPr>
          <w:rStyle w:val="Hyperlink"/>
          <w:rFonts w:cs="Arial"/>
          <w:bCs/>
          <w:color w:val="auto"/>
          <w:u w:val="none"/>
        </w:rPr>
        <w:t xml:space="preserve"> their CRRAH(s) to receive any awards for bids. </w:t>
      </w:r>
      <w:r w:rsidR="009738D9" w:rsidRPr="00755D2B">
        <w:rPr>
          <w:rStyle w:val="Hyperlink"/>
          <w:rFonts w:cs="Arial"/>
          <w:bCs/>
          <w:color w:val="auto"/>
          <w:u w:val="none"/>
        </w:rPr>
        <w:t xml:space="preserve">The CP’s allocated credit limit applies to </w:t>
      </w:r>
      <w:r w:rsidR="002151F5" w:rsidRPr="00755D2B">
        <w:rPr>
          <w:rStyle w:val="Hyperlink"/>
          <w:rFonts w:cs="Arial"/>
          <w:bCs/>
          <w:color w:val="auto"/>
          <w:u w:val="none"/>
        </w:rPr>
        <w:t>all</w:t>
      </w:r>
      <w:r w:rsidR="009738D9" w:rsidRPr="00755D2B">
        <w:rPr>
          <w:rStyle w:val="Hyperlink"/>
          <w:rFonts w:cs="Arial"/>
          <w:bCs/>
          <w:color w:val="auto"/>
          <w:u w:val="none"/>
        </w:rPr>
        <w:t xml:space="preserve"> the CRRAHs that the CP represents.</w:t>
      </w:r>
      <w:r w:rsidR="00E53EB0" w:rsidRPr="00755D2B">
        <w:rPr>
          <w:rStyle w:val="Hyperlink"/>
          <w:rFonts w:cs="Arial"/>
          <w:bCs/>
          <w:color w:val="auto"/>
          <w:u w:val="none"/>
        </w:rPr>
        <w:t xml:space="preserve"> If the CP does not allocate credit for an auction, and its CRRAH does not own baseload CRRs for the auction period, the CRRAH’s bid portfolio(s) will be retracted from the auction at the close of the bid and credit submission windows </w:t>
      </w:r>
      <w:r w:rsidR="002547CD" w:rsidRPr="00755D2B">
        <w:rPr>
          <w:rStyle w:val="Hyperlink"/>
          <w:rFonts w:cs="Arial"/>
          <w:bCs/>
          <w:color w:val="auto"/>
          <w:u w:val="none"/>
        </w:rPr>
        <w:t xml:space="preserve">at </w:t>
      </w:r>
      <w:r w:rsidR="00E53EB0" w:rsidRPr="00755D2B">
        <w:rPr>
          <w:rStyle w:val="Hyperlink"/>
          <w:rFonts w:cs="Arial"/>
          <w:bCs/>
          <w:color w:val="auto"/>
          <w:u w:val="none"/>
        </w:rPr>
        <w:t>5:00 PM on the day the auction closes.</w:t>
      </w:r>
    </w:p>
    <w:p w14:paraId="3CC21292" w14:textId="2721A040" w:rsidR="00E53EB0" w:rsidRPr="00755D2B" w:rsidRDefault="00E53EB0" w:rsidP="00755D2B">
      <w:pPr>
        <w:rPr>
          <w:rStyle w:val="Hyperlink"/>
          <w:rFonts w:cs="Arial"/>
          <w:bCs/>
          <w:color w:val="auto"/>
          <w:u w:val="none"/>
        </w:rPr>
      </w:pPr>
      <w:r w:rsidRPr="00755D2B">
        <w:rPr>
          <w:rStyle w:val="Hyperlink"/>
          <w:rFonts w:cs="Arial"/>
          <w:bCs/>
          <w:color w:val="auto"/>
          <w:u w:val="none"/>
        </w:rPr>
        <w:t xml:space="preserve">A CRRAH self-imposed credit limit is not required at all. It is intended to provide a way for a CRRAH to impose a lower credit limit </w:t>
      </w:r>
      <w:r w:rsidR="00A07C70" w:rsidRPr="00755D2B">
        <w:rPr>
          <w:rStyle w:val="Hyperlink"/>
          <w:rFonts w:cs="Arial"/>
          <w:bCs/>
          <w:color w:val="auto"/>
          <w:u w:val="none"/>
        </w:rPr>
        <w:t xml:space="preserve">on itself </w:t>
      </w:r>
      <w:r w:rsidRPr="00755D2B">
        <w:rPr>
          <w:rStyle w:val="Hyperlink"/>
          <w:rFonts w:cs="Arial"/>
          <w:bCs/>
          <w:color w:val="auto"/>
          <w:u w:val="none"/>
        </w:rPr>
        <w:t>than the CP has allocated. If the CRRAH of a CP does not self-impose a credit limit, then the CP’s allocated credit limit will also become the CRRAH’s credit limit by default</w:t>
      </w:r>
      <w:r w:rsidR="0018237F" w:rsidRPr="00755D2B">
        <w:rPr>
          <w:rStyle w:val="Hyperlink"/>
          <w:rFonts w:cs="Arial"/>
          <w:bCs/>
          <w:color w:val="auto"/>
          <w:u w:val="none"/>
        </w:rPr>
        <w:t>, even if the CP represents multiple CRRAHs.</w:t>
      </w:r>
    </w:p>
    <w:p w14:paraId="1FB797BC" w14:textId="77777777" w:rsidR="000F0DBD" w:rsidRDefault="000F0DBD" w:rsidP="000F0DBD">
      <w:pPr>
        <w:pStyle w:val="ListParagraph"/>
        <w:numPr>
          <w:ilvl w:val="0"/>
          <w:numId w:val="2"/>
        </w:numPr>
        <w:rPr>
          <w:rStyle w:val="Hyperlink"/>
          <w:rFonts w:cs="Arial"/>
          <w:b/>
          <w:color w:val="0070C0"/>
        </w:rPr>
      </w:pPr>
      <w:bookmarkStart w:id="2" w:name="Howistheprescreenexposurecalculated"/>
      <w:bookmarkEnd w:id="1"/>
      <w:r w:rsidRPr="00084EAF">
        <w:rPr>
          <w:rStyle w:val="Hyperlink"/>
          <w:rFonts w:cs="Arial"/>
          <w:b/>
          <w:color w:val="0070C0"/>
        </w:rPr>
        <w:t>How is the pre-screen exposure calculated?</w:t>
      </w:r>
    </w:p>
    <w:bookmarkEnd w:id="2"/>
    <w:p w14:paraId="6144D0A6" w14:textId="4DB66E46" w:rsidR="00831697" w:rsidRDefault="006A3E11" w:rsidP="006A3E11">
      <w:pPr>
        <w:pStyle w:val="BodyTextNumbered"/>
        <w:ind w:left="0" w:firstLine="0"/>
        <w:rPr>
          <w:rFonts w:asciiTheme="minorHAnsi" w:eastAsiaTheme="minorHAnsi" w:hAnsiTheme="minorHAnsi" w:cstheme="minorBidi"/>
          <w:iCs w:val="0"/>
          <w:sz w:val="22"/>
          <w:szCs w:val="22"/>
        </w:rPr>
      </w:pPr>
      <w:r w:rsidRPr="006A3E11">
        <w:rPr>
          <w:rFonts w:asciiTheme="minorHAnsi" w:eastAsiaTheme="minorHAnsi" w:hAnsiTheme="minorHAnsi" w:cstheme="minorBidi"/>
          <w:iCs w:val="0"/>
          <w:sz w:val="22"/>
          <w:szCs w:val="22"/>
        </w:rPr>
        <w:t xml:space="preserve">The calculated exposure for the pre-auction screening for each CRR Account Holder is the sum of the credit exposure for PTP Obligation bids, PTP Obligation offers, and PTP Option bids for that CRR Account Holder. The calculated exposure for the pre-auction screening for each Counter-Party is the sum of the credit exposure for PTP Obligation bids, PTP Obligation offers, and PTP Option bids for </w:t>
      </w:r>
      <w:r w:rsidR="00FA4319">
        <w:rPr>
          <w:rFonts w:asciiTheme="minorHAnsi" w:eastAsiaTheme="minorHAnsi" w:hAnsiTheme="minorHAnsi" w:cstheme="minorBidi"/>
          <w:iCs w:val="0"/>
          <w:sz w:val="22"/>
          <w:szCs w:val="22"/>
        </w:rPr>
        <w:t xml:space="preserve">all CRRAHs represented by </w:t>
      </w:r>
      <w:r w:rsidRPr="006A3E11">
        <w:rPr>
          <w:rFonts w:asciiTheme="minorHAnsi" w:eastAsiaTheme="minorHAnsi" w:hAnsiTheme="minorHAnsi" w:cstheme="minorBidi"/>
          <w:iCs w:val="0"/>
          <w:sz w:val="22"/>
          <w:szCs w:val="22"/>
        </w:rPr>
        <w:t xml:space="preserve">that Counter-Party.  PTP Option offers have zero credit exposure. </w:t>
      </w:r>
    </w:p>
    <w:p w14:paraId="280569D7" w14:textId="54DAB50A" w:rsidR="00831697" w:rsidRDefault="006A3E11" w:rsidP="006A3E11">
      <w:pPr>
        <w:pStyle w:val="BodyTextNumbered"/>
        <w:ind w:left="0" w:firstLine="0"/>
        <w:rPr>
          <w:rFonts w:asciiTheme="minorHAnsi" w:eastAsiaTheme="minorHAnsi" w:hAnsiTheme="minorHAnsi" w:cstheme="minorBidi"/>
          <w:iCs w:val="0"/>
          <w:sz w:val="22"/>
          <w:szCs w:val="22"/>
        </w:rPr>
      </w:pPr>
      <w:r w:rsidRPr="006A3E11">
        <w:rPr>
          <w:rFonts w:asciiTheme="minorHAnsi" w:eastAsiaTheme="minorHAnsi" w:hAnsiTheme="minorHAnsi" w:cstheme="minorBidi"/>
          <w:iCs w:val="0"/>
          <w:sz w:val="22"/>
          <w:szCs w:val="22"/>
        </w:rPr>
        <w:t xml:space="preserve">Separately, for PTP Obligation bids, PTP Obligation offers, and PTP Option bids, for each source/sink Settlement Point combination, the credit exposure will use the bid price and MW quantity that produces the maximum credit exposure that could result from the CRR Auction for that source/sink Settlement Point combination. </w:t>
      </w:r>
      <w:r w:rsidR="00831697">
        <w:rPr>
          <w:rFonts w:asciiTheme="minorHAnsi" w:eastAsiaTheme="minorHAnsi" w:hAnsiTheme="minorHAnsi" w:cstheme="minorBidi"/>
          <w:iCs w:val="0"/>
          <w:sz w:val="22"/>
          <w:szCs w:val="22"/>
        </w:rPr>
        <w:t>This method is referred to as ‘bid stacking’</w:t>
      </w:r>
      <w:r w:rsidR="00FA4319">
        <w:rPr>
          <w:rFonts w:asciiTheme="minorHAnsi" w:eastAsiaTheme="minorHAnsi" w:hAnsiTheme="minorHAnsi" w:cstheme="minorBidi"/>
          <w:iCs w:val="0"/>
          <w:sz w:val="22"/>
          <w:szCs w:val="22"/>
        </w:rPr>
        <w:t xml:space="preserve"> Introduced by NPRR357.</w:t>
      </w:r>
    </w:p>
    <w:p w14:paraId="72BA2868" w14:textId="77777777" w:rsidR="006A3E11" w:rsidRDefault="00FC6F7D" w:rsidP="006A3E11">
      <w:pPr>
        <w:pStyle w:val="BodyTextNumbered"/>
        <w:ind w:left="0" w:firstLine="0"/>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Option sells incur no risk, and therefore are not part of the pre-auction screening.</w:t>
      </w:r>
    </w:p>
    <w:p w14:paraId="6AAD0CAC" w14:textId="77777777" w:rsidR="00AB2CE8" w:rsidRDefault="00AB2CE8" w:rsidP="006A3E11">
      <w:pPr>
        <w:pStyle w:val="BodyTextNumbered"/>
        <w:ind w:left="0" w:firstLine="0"/>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lastRenderedPageBreak/>
        <w:t>The following examples demonstrate how the different exposures are calculated.</w:t>
      </w:r>
    </w:p>
    <w:p w14:paraId="0BCC1C19" w14:textId="77777777" w:rsidR="007B501E" w:rsidRPr="007B501E" w:rsidRDefault="007B501E" w:rsidP="00F50E1A">
      <w:pPr>
        <w:tabs>
          <w:tab w:val="num" w:pos="4680"/>
        </w:tabs>
        <w:spacing w:before="240" w:after="240" w:line="240" w:lineRule="auto"/>
        <w:jc w:val="both"/>
        <w:rPr>
          <w:rFonts w:cs="Calibri"/>
          <w:b/>
          <w:color w:val="000000"/>
          <w:sz w:val="24"/>
          <w:szCs w:val="24"/>
          <w:u w:val="single"/>
        </w:rPr>
      </w:pPr>
      <w:bookmarkStart w:id="3" w:name="PTPObligationBidsExposure"/>
      <w:r w:rsidRPr="007B501E">
        <w:rPr>
          <w:rFonts w:cs="Calibri"/>
          <w:b/>
          <w:color w:val="000000"/>
          <w:sz w:val="24"/>
          <w:szCs w:val="24"/>
          <w:u w:val="single"/>
        </w:rPr>
        <w:t>PTP Obligation Bids Exposure</w:t>
      </w:r>
    </w:p>
    <w:bookmarkEnd w:id="3"/>
    <w:p w14:paraId="305E96FE" w14:textId="370F82BE" w:rsidR="00F50E1A" w:rsidRPr="004A7D44" w:rsidRDefault="0002363C" w:rsidP="00F50E1A">
      <w:pPr>
        <w:tabs>
          <w:tab w:val="num" w:pos="4680"/>
        </w:tabs>
        <w:spacing w:before="240" w:after="240" w:line="240" w:lineRule="auto"/>
        <w:jc w:val="both"/>
        <w:rPr>
          <w:rFonts w:cs="Calibri"/>
          <w:color w:val="000000"/>
        </w:rPr>
      </w:pPr>
      <w:r>
        <w:rPr>
          <w:rFonts w:cs="Calibri"/>
          <w:color w:val="000000"/>
        </w:rPr>
        <w:t>To</w:t>
      </w:r>
      <w:r w:rsidR="00AB2CE8">
        <w:rPr>
          <w:rFonts w:cs="Calibri"/>
          <w:color w:val="000000"/>
        </w:rPr>
        <w:t xml:space="preserve"> perform this calculation, you will need to d</w:t>
      </w:r>
      <w:r w:rsidR="00F50E1A">
        <w:rPr>
          <w:rFonts w:cs="Calibri"/>
          <w:color w:val="000000"/>
        </w:rPr>
        <w:t>ownload</w:t>
      </w:r>
      <w:r w:rsidR="00F50E1A" w:rsidRPr="004A7D44">
        <w:rPr>
          <w:rFonts w:cs="Calibri"/>
          <w:color w:val="000000"/>
        </w:rPr>
        <w:t xml:space="preserve"> the “Credit Coefficient” file from the Common-&gt;Market tab in the CRR application Downloads </w:t>
      </w:r>
      <w:r w:rsidR="00F50E1A">
        <w:rPr>
          <w:rFonts w:cs="Calibri"/>
          <w:color w:val="000000"/>
        </w:rPr>
        <w:t>page so that you have the ACI99 and</w:t>
      </w:r>
      <w:r w:rsidR="00F50E1A" w:rsidRPr="004A7D44">
        <w:rPr>
          <w:rFonts w:cs="Calibri"/>
          <w:color w:val="000000"/>
        </w:rPr>
        <w:t xml:space="preserve"> ACP values for the </w:t>
      </w:r>
      <w:r w:rsidR="00F50E1A">
        <w:rPr>
          <w:rFonts w:cs="Calibri"/>
          <w:color w:val="000000"/>
        </w:rPr>
        <w:t>PTP Obligation</w:t>
      </w:r>
      <w:r w:rsidR="00F50E1A" w:rsidRPr="004A7D44">
        <w:rPr>
          <w:rFonts w:cs="Calibri"/>
          <w:color w:val="000000"/>
        </w:rPr>
        <w:t xml:space="preserve"> bids.</w:t>
      </w:r>
    </w:p>
    <w:p w14:paraId="37D352AF" w14:textId="77777777" w:rsidR="00F50E1A" w:rsidRPr="004A7D44" w:rsidRDefault="00F50E1A" w:rsidP="00F50E1A">
      <w:pPr>
        <w:tabs>
          <w:tab w:val="left" w:pos="540"/>
          <w:tab w:val="left" w:pos="1890"/>
          <w:tab w:val="left" w:pos="2430"/>
        </w:tabs>
        <w:rPr>
          <w:rFonts w:cs="Calibri"/>
        </w:rPr>
      </w:pPr>
      <w:r w:rsidRPr="004A7D44">
        <w:rPr>
          <w:rFonts w:cs="Calibri"/>
        </w:rPr>
        <w:t>Calculate the value using the following equation for each bid</w:t>
      </w:r>
    </w:p>
    <w:p w14:paraId="4117D732" w14:textId="77777777" w:rsidR="00F50E1A" w:rsidRPr="004A7D44" w:rsidRDefault="00F50E1A" w:rsidP="00F50E1A">
      <w:pPr>
        <w:pStyle w:val="ListParagraph"/>
        <w:tabs>
          <w:tab w:val="left" w:pos="540"/>
          <w:tab w:val="left" w:pos="1890"/>
          <w:tab w:val="left" w:pos="2430"/>
        </w:tabs>
        <w:ind w:left="0"/>
        <w:jc w:val="center"/>
        <w:rPr>
          <w:rFonts w:cs="Calibri"/>
          <w:color w:val="000000"/>
        </w:rPr>
      </w:pPr>
      <w:r w:rsidRPr="004A7D44">
        <w:rPr>
          <w:rFonts w:cs="Calibri"/>
        </w:rPr>
        <w:t>APOBLB</w:t>
      </w:r>
      <w:r w:rsidRPr="004A7D44">
        <w:rPr>
          <w:rFonts w:cs="Calibri"/>
          <w:vertAlign w:val="subscript"/>
        </w:rPr>
        <w:t>j</w:t>
      </w:r>
      <w:r w:rsidRPr="004A7D44">
        <w:rPr>
          <w:rFonts w:cs="Calibri"/>
        </w:rPr>
        <w:t xml:space="preserve"> = ∑</w:t>
      </w:r>
      <w:r w:rsidRPr="004A7D44">
        <w:rPr>
          <w:rFonts w:cs="Calibri"/>
          <w:vertAlign w:val="subscript"/>
        </w:rPr>
        <w:t xml:space="preserve">k </w:t>
      </w:r>
      <w:r w:rsidRPr="004A7D44">
        <w:rPr>
          <w:rFonts w:cs="Calibri"/>
        </w:rPr>
        <w:t xml:space="preserve">[H </w:t>
      </w:r>
      <w:r w:rsidRPr="004A7D44">
        <w:rPr>
          <w:rFonts w:cs="Calibri"/>
          <w:vertAlign w:val="subscript"/>
        </w:rPr>
        <w:t>j,k</w:t>
      </w:r>
      <w:r w:rsidRPr="004A7D44">
        <w:rPr>
          <w:rFonts w:cs="Calibri"/>
        </w:rPr>
        <w:t>*</w:t>
      </w:r>
      <w:r w:rsidRPr="004A7D44">
        <w:rPr>
          <w:rFonts w:cs="Calibri"/>
          <w:color w:val="000000"/>
        </w:rPr>
        <w:t>max(P</w:t>
      </w:r>
      <w:r w:rsidRPr="004A7D44">
        <w:rPr>
          <w:rFonts w:cs="Calibri"/>
          <w:i/>
          <w:color w:val="000000"/>
          <w:vertAlign w:val="subscript"/>
        </w:rPr>
        <w:t>j</w:t>
      </w:r>
      <w:r w:rsidRPr="004A7D44">
        <w:rPr>
          <w:rFonts w:cs="Calibri"/>
          <w:color w:val="000000"/>
        </w:rPr>
        <w:t xml:space="preserve">,0) - H </w:t>
      </w:r>
      <w:r w:rsidRPr="004A7D44">
        <w:rPr>
          <w:rFonts w:cs="Calibri"/>
          <w:color w:val="000000"/>
          <w:vertAlign w:val="subscript"/>
        </w:rPr>
        <w:t>j,k</w:t>
      </w:r>
      <w:r w:rsidRPr="004A7D44">
        <w:rPr>
          <w:rFonts w:cs="Calibri"/>
          <w:color w:val="000000"/>
        </w:rPr>
        <w:t>*</w:t>
      </w:r>
      <w:r w:rsidRPr="004A7D44">
        <w:rPr>
          <w:rFonts w:cs="Calibri"/>
          <w:color w:val="000000"/>
          <w:lang w:val="x-none"/>
        </w:rPr>
        <w:t>Min(</w:t>
      </w:r>
      <w:r w:rsidRPr="004A7D44">
        <w:rPr>
          <w:rFonts w:cs="Calibri"/>
          <w:color w:val="000000"/>
        </w:rPr>
        <w:t>0,</w:t>
      </w:r>
      <w:r w:rsidRPr="004A7D44">
        <w:rPr>
          <w:rFonts w:cs="Calibri"/>
          <w:color w:val="000000"/>
          <w:lang w:val="x-none"/>
        </w:rPr>
        <w:t xml:space="preserve">A </w:t>
      </w:r>
      <w:r w:rsidRPr="004A7D44">
        <w:rPr>
          <w:rFonts w:cs="Calibri"/>
          <w:color w:val="000000"/>
          <w:vertAlign w:val="subscript"/>
          <w:lang w:val="x-none"/>
        </w:rPr>
        <w:t xml:space="preserve">ci99, </w:t>
      </w:r>
      <w:r w:rsidRPr="004A7D44">
        <w:rPr>
          <w:rFonts w:cs="Calibri"/>
          <w:color w:val="000000"/>
          <w:vertAlign w:val="subscript"/>
        </w:rPr>
        <w:t>j</w:t>
      </w:r>
      <w:r w:rsidRPr="004A7D44">
        <w:rPr>
          <w:rFonts w:cs="Calibri"/>
          <w:color w:val="000000"/>
          <w:lang w:val="x-none"/>
        </w:rPr>
        <w:t xml:space="preserve">, ACP </w:t>
      </w:r>
      <w:r w:rsidRPr="004A7D44">
        <w:rPr>
          <w:rFonts w:cs="Calibri"/>
          <w:color w:val="000000"/>
          <w:vertAlign w:val="subscript"/>
          <w:lang w:val="x-none"/>
        </w:rPr>
        <w:t xml:space="preserve">j, </w:t>
      </w:r>
      <w:r w:rsidRPr="004A7D44">
        <w:rPr>
          <w:rFonts w:cs="Calibri"/>
          <w:color w:val="000000"/>
          <w:vertAlign w:val="subscript"/>
        </w:rPr>
        <w:t>k</w:t>
      </w:r>
      <w:r w:rsidRPr="004A7D44">
        <w:rPr>
          <w:rFonts w:cs="Calibri"/>
          <w:color w:val="000000"/>
          <w:vertAlign w:val="subscript"/>
          <w:lang w:val="x-none"/>
        </w:rPr>
        <w:t xml:space="preserve"> </w:t>
      </w:r>
      <w:r w:rsidRPr="004A7D44">
        <w:rPr>
          <w:rFonts w:cs="Calibri"/>
          <w:color w:val="000000"/>
          <w:lang w:val="x-none"/>
        </w:rPr>
        <w:t>)</w:t>
      </w:r>
      <w:r w:rsidRPr="004A7D44">
        <w:rPr>
          <w:rFonts w:cs="Calibri"/>
          <w:color w:val="000000"/>
        </w:rPr>
        <w:t>]</w:t>
      </w:r>
    </w:p>
    <w:p w14:paraId="4AA767EA" w14:textId="77777777" w:rsidR="00F50E1A" w:rsidRPr="004A7D44" w:rsidRDefault="00F50E1A" w:rsidP="00F50E1A">
      <w:pPr>
        <w:rPr>
          <w:rFonts w:cs="Calibri"/>
        </w:rPr>
      </w:pPr>
      <w:r w:rsidRPr="004A7D44">
        <w:rPr>
          <w:rFonts w:cs="Calibri"/>
        </w:rPr>
        <w:t>The above variables are defined as follows:</w:t>
      </w:r>
    </w:p>
    <w:tbl>
      <w:tblPr>
        <w:tblW w:w="82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225"/>
        <w:gridCol w:w="5879"/>
      </w:tblGrid>
      <w:tr w:rsidR="00F50E1A" w:rsidRPr="004A7D44" w14:paraId="15F216E8" w14:textId="77777777" w:rsidTr="00486C50">
        <w:trPr>
          <w:trHeight w:val="729"/>
        </w:trPr>
        <w:tc>
          <w:tcPr>
            <w:tcW w:w="1133" w:type="dxa"/>
            <w:shd w:val="clear" w:color="auto" w:fill="auto"/>
            <w:vAlign w:val="center"/>
          </w:tcPr>
          <w:p w14:paraId="134A522E"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Variable</w:t>
            </w:r>
          </w:p>
        </w:tc>
        <w:tc>
          <w:tcPr>
            <w:tcW w:w="1225" w:type="dxa"/>
            <w:shd w:val="clear" w:color="auto" w:fill="auto"/>
            <w:vAlign w:val="center"/>
          </w:tcPr>
          <w:p w14:paraId="253F5DD8"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Unit</w:t>
            </w:r>
          </w:p>
        </w:tc>
        <w:tc>
          <w:tcPr>
            <w:tcW w:w="5879" w:type="dxa"/>
            <w:shd w:val="clear" w:color="auto" w:fill="auto"/>
            <w:vAlign w:val="center"/>
          </w:tcPr>
          <w:p w14:paraId="0AFFE49D"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Description</w:t>
            </w:r>
          </w:p>
        </w:tc>
      </w:tr>
      <w:tr w:rsidR="00F50E1A" w:rsidRPr="004A7D44" w14:paraId="2F0715FA" w14:textId="77777777" w:rsidTr="00486C50">
        <w:trPr>
          <w:trHeight w:val="548"/>
        </w:trPr>
        <w:tc>
          <w:tcPr>
            <w:tcW w:w="1133" w:type="dxa"/>
            <w:shd w:val="clear" w:color="auto" w:fill="auto"/>
          </w:tcPr>
          <w:p w14:paraId="03657AC8" w14:textId="77777777" w:rsidR="00F50E1A" w:rsidRPr="004A7D44" w:rsidRDefault="00F50E1A" w:rsidP="00486C50">
            <w:pPr>
              <w:rPr>
                <w:rFonts w:cs="Calibri"/>
              </w:rPr>
            </w:pPr>
            <w:r w:rsidRPr="004A7D44">
              <w:rPr>
                <w:rFonts w:cs="Calibri"/>
              </w:rPr>
              <w:t xml:space="preserve">APOBLB </w:t>
            </w:r>
            <w:r w:rsidRPr="004A7D44">
              <w:rPr>
                <w:rFonts w:cs="Calibri"/>
                <w:vertAlign w:val="subscript"/>
              </w:rPr>
              <w:t>j</w:t>
            </w:r>
          </w:p>
        </w:tc>
        <w:tc>
          <w:tcPr>
            <w:tcW w:w="1225" w:type="dxa"/>
            <w:shd w:val="clear" w:color="auto" w:fill="auto"/>
          </w:tcPr>
          <w:p w14:paraId="6723FC7B" w14:textId="77777777" w:rsidR="00F50E1A" w:rsidRPr="004A7D44" w:rsidRDefault="00F50E1A" w:rsidP="00486C50">
            <w:pPr>
              <w:rPr>
                <w:rFonts w:cs="Calibri"/>
              </w:rPr>
            </w:pPr>
            <w:r w:rsidRPr="004A7D44">
              <w:rPr>
                <w:rFonts w:cs="Calibri"/>
              </w:rPr>
              <w:t>$/MW</w:t>
            </w:r>
          </w:p>
        </w:tc>
        <w:tc>
          <w:tcPr>
            <w:tcW w:w="5879" w:type="dxa"/>
            <w:shd w:val="clear" w:color="auto" w:fill="auto"/>
          </w:tcPr>
          <w:p w14:paraId="6A99F2DE" w14:textId="77777777" w:rsidR="00F50E1A" w:rsidRPr="004A7D44" w:rsidRDefault="00F50E1A" w:rsidP="00F50E1A">
            <w:pPr>
              <w:rPr>
                <w:rFonts w:cs="Calibri"/>
              </w:rPr>
            </w:pPr>
            <w:r w:rsidRPr="004A7D44">
              <w:rPr>
                <w:rFonts w:cs="Calibri"/>
              </w:rPr>
              <w:t xml:space="preserve">Adjusted bid price for PTP Obligation buy bid </w:t>
            </w:r>
            <w:r w:rsidRPr="004A7D44">
              <w:rPr>
                <w:rFonts w:cs="Calibri"/>
                <w:i/>
              </w:rPr>
              <w:t>j</w:t>
            </w:r>
            <w:r w:rsidRPr="004A7D44">
              <w:rPr>
                <w:rFonts w:cs="Calibri"/>
              </w:rPr>
              <w:t xml:space="preserve"> in dollars per MW considering Path-specific DAM-based Adder</w:t>
            </w:r>
            <w:r>
              <w:rPr>
                <w:rFonts w:cs="Calibri"/>
              </w:rPr>
              <w:t xml:space="preserve"> and</w:t>
            </w:r>
            <w:r w:rsidRPr="004A7D44">
              <w:rPr>
                <w:rFonts w:cs="Calibri"/>
              </w:rPr>
              <w:t xml:space="preserve"> Hi</w:t>
            </w:r>
            <w:r>
              <w:rPr>
                <w:rFonts w:cs="Calibri"/>
              </w:rPr>
              <w:t>storical Auction Clearing Price</w:t>
            </w:r>
          </w:p>
        </w:tc>
      </w:tr>
      <w:tr w:rsidR="00F50E1A" w:rsidRPr="004A7D44" w14:paraId="7AF7A7F5" w14:textId="77777777" w:rsidTr="00486C50">
        <w:trPr>
          <w:trHeight w:val="620"/>
        </w:trPr>
        <w:tc>
          <w:tcPr>
            <w:tcW w:w="1133" w:type="dxa"/>
            <w:shd w:val="clear" w:color="auto" w:fill="auto"/>
          </w:tcPr>
          <w:p w14:paraId="3DE2DDCE" w14:textId="77777777" w:rsidR="00F50E1A" w:rsidRPr="004A7D44" w:rsidRDefault="00F50E1A" w:rsidP="00486C50">
            <w:pPr>
              <w:pStyle w:val="TableBody"/>
              <w:spacing w:before="120"/>
              <w:rPr>
                <w:rFonts w:ascii="Calibri" w:hAnsi="Calibri" w:cs="Calibri"/>
                <w:color w:val="000000"/>
              </w:rPr>
            </w:pPr>
            <w:r w:rsidRPr="004A7D44">
              <w:rPr>
                <w:rFonts w:ascii="Calibri" w:hAnsi="Calibri" w:cs="Calibri"/>
                <w:color w:val="000000"/>
              </w:rPr>
              <w:t>P</w:t>
            </w:r>
            <w:r w:rsidRPr="004A7D44">
              <w:rPr>
                <w:rFonts w:ascii="Calibri" w:hAnsi="Calibri" w:cs="Calibri"/>
                <w:i w:val="0"/>
                <w:color w:val="000000"/>
                <w:vertAlign w:val="subscript"/>
              </w:rPr>
              <w:t>j</w:t>
            </w:r>
          </w:p>
        </w:tc>
        <w:tc>
          <w:tcPr>
            <w:tcW w:w="1225" w:type="dxa"/>
            <w:shd w:val="clear" w:color="auto" w:fill="auto"/>
          </w:tcPr>
          <w:p w14:paraId="4363F456" w14:textId="77777777" w:rsidR="00F50E1A" w:rsidRPr="004A7D44" w:rsidRDefault="00F50E1A" w:rsidP="00486C50">
            <w:pPr>
              <w:pStyle w:val="TableBody"/>
              <w:spacing w:before="120" w:after="0"/>
              <w:rPr>
                <w:rFonts w:ascii="Calibri" w:hAnsi="Calibri" w:cs="Calibri"/>
                <w:color w:val="000000"/>
              </w:rPr>
            </w:pPr>
            <w:r w:rsidRPr="004A7D44">
              <w:rPr>
                <w:rFonts w:ascii="Calibri" w:hAnsi="Calibri" w:cs="Calibri"/>
                <w:color w:val="000000"/>
              </w:rPr>
              <w:t>$/MW per</w:t>
            </w:r>
          </w:p>
          <w:p w14:paraId="6CA17289" w14:textId="77777777" w:rsidR="00F50E1A" w:rsidRPr="004A7D44" w:rsidRDefault="00F50E1A" w:rsidP="00486C50">
            <w:pPr>
              <w:pStyle w:val="TableBody"/>
              <w:rPr>
                <w:rFonts w:ascii="Calibri" w:hAnsi="Calibri" w:cs="Calibri"/>
                <w:color w:val="000000"/>
              </w:rPr>
            </w:pPr>
            <w:r w:rsidRPr="004A7D44">
              <w:rPr>
                <w:rFonts w:ascii="Calibri" w:hAnsi="Calibri" w:cs="Calibri"/>
                <w:color w:val="000000"/>
              </w:rPr>
              <w:t>hour</w:t>
            </w:r>
          </w:p>
        </w:tc>
        <w:tc>
          <w:tcPr>
            <w:tcW w:w="5879" w:type="dxa"/>
            <w:shd w:val="clear" w:color="auto" w:fill="auto"/>
          </w:tcPr>
          <w:p w14:paraId="08B3F62C" w14:textId="77777777" w:rsidR="00F50E1A" w:rsidRPr="004A7D44" w:rsidRDefault="00F50E1A" w:rsidP="00486C50">
            <w:pPr>
              <w:pStyle w:val="TableBody"/>
              <w:spacing w:before="120"/>
              <w:rPr>
                <w:rFonts w:ascii="Calibri" w:hAnsi="Calibri" w:cs="Calibri"/>
                <w:color w:val="000000"/>
              </w:rPr>
            </w:pPr>
            <w:r w:rsidRPr="004A7D44">
              <w:rPr>
                <w:rFonts w:ascii="Calibri" w:hAnsi="Calibri" w:cs="Calibri"/>
                <w:color w:val="000000"/>
              </w:rPr>
              <w:t xml:space="preserve">Bid price for PTP Obligation buy bid </w:t>
            </w:r>
            <w:r w:rsidRPr="004A7D44">
              <w:rPr>
                <w:rFonts w:ascii="Calibri" w:hAnsi="Calibri" w:cs="Calibri"/>
                <w:i w:val="0"/>
                <w:color w:val="000000"/>
              </w:rPr>
              <w:t>j</w:t>
            </w:r>
            <w:r w:rsidRPr="004A7D44">
              <w:rPr>
                <w:rFonts w:ascii="Calibri" w:hAnsi="Calibri" w:cs="Calibri"/>
                <w:color w:val="000000"/>
              </w:rPr>
              <w:t>.</w:t>
            </w:r>
          </w:p>
        </w:tc>
      </w:tr>
      <w:tr w:rsidR="00F50E1A" w:rsidRPr="004A7D44" w14:paraId="7B70226F" w14:textId="77777777" w:rsidTr="00486C50">
        <w:trPr>
          <w:trHeight w:val="800"/>
        </w:trPr>
        <w:tc>
          <w:tcPr>
            <w:tcW w:w="1133" w:type="dxa"/>
            <w:shd w:val="clear" w:color="auto" w:fill="auto"/>
          </w:tcPr>
          <w:p w14:paraId="09F36821" w14:textId="77777777" w:rsidR="00F50E1A" w:rsidRPr="004A7D44" w:rsidRDefault="00F50E1A" w:rsidP="00486C50">
            <w:pPr>
              <w:rPr>
                <w:rFonts w:cs="Calibri"/>
              </w:rPr>
            </w:pPr>
            <w:r w:rsidRPr="004A7D44">
              <w:rPr>
                <w:rFonts w:cs="Calibri"/>
              </w:rPr>
              <w:t>H</w:t>
            </w:r>
            <w:r w:rsidRPr="004A7D44">
              <w:rPr>
                <w:rFonts w:cs="Calibri"/>
                <w:i/>
                <w:vertAlign w:val="subscript"/>
              </w:rPr>
              <w:t xml:space="preserve"> </w:t>
            </w:r>
            <w:r w:rsidRPr="004A7D44">
              <w:rPr>
                <w:rFonts w:cs="Calibri"/>
                <w:vertAlign w:val="subscript"/>
              </w:rPr>
              <w:t>j, k</w:t>
            </w:r>
          </w:p>
        </w:tc>
        <w:tc>
          <w:tcPr>
            <w:tcW w:w="1225" w:type="dxa"/>
            <w:shd w:val="clear" w:color="auto" w:fill="auto"/>
          </w:tcPr>
          <w:p w14:paraId="59EE72DC" w14:textId="77777777" w:rsidR="00F50E1A" w:rsidRPr="004A7D44" w:rsidRDefault="00F50E1A" w:rsidP="00486C50">
            <w:pPr>
              <w:rPr>
                <w:rFonts w:cs="Calibri"/>
              </w:rPr>
            </w:pPr>
            <w:r w:rsidRPr="004A7D44">
              <w:rPr>
                <w:rFonts w:cs="Calibri"/>
              </w:rPr>
              <w:t>Hour</w:t>
            </w:r>
          </w:p>
        </w:tc>
        <w:tc>
          <w:tcPr>
            <w:tcW w:w="5879" w:type="dxa"/>
            <w:shd w:val="clear" w:color="auto" w:fill="auto"/>
          </w:tcPr>
          <w:p w14:paraId="2BB93698" w14:textId="77777777" w:rsidR="00F50E1A" w:rsidRPr="004A7D44" w:rsidRDefault="00F50E1A" w:rsidP="00486C50">
            <w:pPr>
              <w:rPr>
                <w:rFonts w:cs="Calibri"/>
              </w:rPr>
            </w:pPr>
            <w:r w:rsidRPr="004A7D44">
              <w:rPr>
                <w:rFonts w:cs="Calibri"/>
              </w:rPr>
              <w:t xml:space="preserve">Total Number of Hours – The total number of operating hours in the month of </w:t>
            </w:r>
            <w:r w:rsidRPr="004A7D44">
              <w:rPr>
                <w:rFonts w:cs="Calibri"/>
                <w:i/>
              </w:rPr>
              <w:t xml:space="preserve">k </w:t>
            </w:r>
            <w:r w:rsidRPr="004A7D44">
              <w:rPr>
                <w:rFonts w:cs="Calibri"/>
              </w:rPr>
              <w:t xml:space="preserve">in the TOU of PTP Obligation buy bid </w:t>
            </w:r>
            <w:r w:rsidRPr="004A7D44">
              <w:rPr>
                <w:rFonts w:cs="Calibri"/>
                <w:i/>
              </w:rPr>
              <w:t>j</w:t>
            </w:r>
          </w:p>
        </w:tc>
      </w:tr>
      <w:tr w:rsidR="00F50E1A" w:rsidRPr="004A7D44" w14:paraId="7DB573FC" w14:textId="77777777" w:rsidTr="00486C50">
        <w:trPr>
          <w:trHeight w:val="818"/>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17E5E587" w14:textId="77777777" w:rsidR="00F50E1A" w:rsidRPr="004A7D44" w:rsidRDefault="00F50E1A" w:rsidP="00486C50">
            <w:pPr>
              <w:rPr>
                <w:rFonts w:cs="Calibri"/>
              </w:rPr>
            </w:pPr>
            <w:r w:rsidRPr="004A7D44">
              <w:rPr>
                <w:rFonts w:cs="Calibri"/>
              </w:rPr>
              <w:t xml:space="preserve">A </w:t>
            </w:r>
            <w:r w:rsidRPr="004A7D44">
              <w:rPr>
                <w:rFonts w:cs="Calibri"/>
                <w:vertAlign w:val="subscript"/>
              </w:rPr>
              <w:t>ci 99, j</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9A3206A" w14:textId="77777777" w:rsidR="00F50E1A" w:rsidRPr="004A7D44" w:rsidRDefault="00F50E1A" w:rsidP="00486C50">
            <w:pPr>
              <w:rPr>
                <w:rFonts w:cs="Calibri"/>
              </w:rPr>
            </w:pPr>
            <w:r w:rsidRPr="004A7D44">
              <w:rPr>
                <w:rFonts w:cs="Calibri"/>
              </w:rPr>
              <w:t>$/MW per hour</w:t>
            </w:r>
          </w:p>
        </w:tc>
        <w:tc>
          <w:tcPr>
            <w:tcW w:w="5879" w:type="dxa"/>
            <w:tcBorders>
              <w:top w:val="single" w:sz="4" w:space="0" w:color="auto"/>
              <w:left w:val="single" w:sz="4" w:space="0" w:color="auto"/>
              <w:bottom w:val="single" w:sz="4" w:space="0" w:color="auto"/>
              <w:right w:val="single" w:sz="4" w:space="0" w:color="auto"/>
            </w:tcBorders>
            <w:shd w:val="clear" w:color="auto" w:fill="auto"/>
          </w:tcPr>
          <w:p w14:paraId="321F8170" w14:textId="77777777" w:rsidR="00F50E1A" w:rsidRPr="004A7D44" w:rsidRDefault="00F50E1A" w:rsidP="00486C50">
            <w:pPr>
              <w:rPr>
                <w:rFonts w:cs="Calibri"/>
              </w:rPr>
            </w:pPr>
            <w:r w:rsidRPr="004A7D44">
              <w:rPr>
                <w:rFonts w:cs="Calibri"/>
              </w:rPr>
              <w:t xml:space="preserve">Path-Specific DAM-Based Adder – The path-specific DAM-based adder with the source, sink and TOU of bid </w:t>
            </w:r>
            <w:r w:rsidRPr="004A7D44">
              <w:rPr>
                <w:rFonts w:cs="Calibri"/>
                <w:i/>
              </w:rPr>
              <w:t>j</w:t>
            </w:r>
          </w:p>
        </w:tc>
      </w:tr>
      <w:tr w:rsidR="00F50E1A" w:rsidRPr="004A7D44" w14:paraId="276F2E3D" w14:textId="77777777" w:rsidTr="00486C50">
        <w:trPr>
          <w:trHeight w:val="1052"/>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352F83A2" w14:textId="77777777" w:rsidR="00F50E1A" w:rsidRPr="004A7D44" w:rsidRDefault="00F50E1A" w:rsidP="00486C50">
            <w:pPr>
              <w:rPr>
                <w:rFonts w:cs="Calibri"/>
              </w:rPr>
            </w:pPr>
            <w:r w:rsidRPr="004A7D44">
              <w:rPr>
                <w:rFonts w:cs="Calibri"/>
              </w:rPr>
              <w:t>ACP</w:t>
            </w:r>
            <w:r w:rsidRPr="004A7D44">
              <w:rPr>
                <w:rFonts w:cs="Calibri"/>
                <w:vertAlign w:val="subscript"/>
              </w:rPr>
              <w:t>j, k</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AD9A5B4" w14:textId="77777777" w:rsidR="00F50E1A" w:rsidRPr="004A7D44" w:rsidRDefault="00F50E1A" w:rsidP="00486C50">
            <w:pPr>
              <w:rPr>
                <w:rFonts w:cs="Calibri"/>
              </w:rPr>
            </w:pPr>
            <w:r w:rsidRPr="004A7D44">
              <w:rPr>
                <w:rFonts w:cs="Calibri"/>
              </w:rPr>
              <w:t>$/MW per hour</w:t>
            </w:r>
          </w:p>
        </w:tc>
        <w:tc>
          <w:tcPr>
            <w:tcW w:w="5879" w:type="dxa"/>
            <w:tcBorders>
              <w:top w:val="single" w:sz="4" w:space="0" w:color="auto"/>
              <w:left w:val="single" w:sz="4" w:space="0" w:color="auto"/>
              <w:bottom w:val="single" w:sz="4" w:space="0" w:color="auto"/>
              <w:right w:val="single" w:sz="4" w:space="0" w:color="auto"/>
            </w:tcBorders>
            <w:shd w:val="clear" w:color="auto" w:fill="auto"/>
          </w:tcPr>
          <w:p w14:paraId="0AB6F204" w14:textId="77777777" w:rsidR="00F50E1A" w:rsidRPr="004A7D44" w:rsidRDefault="00F50E1A" w:rsidP="00486C50">
            <w:pPr>
              <w:rPr>
                <w:rFonts w:cs="Calibri"/>
              </w:rPr>
            </w:pPr>
            <w:r w:rsidRPr="004A7D44">
              <w:rPr>
                <w:rFonts w:cs="Calibri"/>
              </w:rPr>
              <w:t xml:space="preserve">Historical Auction Clearing Price – The auction clearing price with the source, sink and TOU of bid </w:t>
            </w:r>
            <w:r w:rsidRPr="004A7D44">
              <w:rPr>
                <w:rFonts w:cs="Calibri"/>
                <w:i/>
              </w:rPr>
              <w:t>j</w:t>
            </w:r>
            <w:r w:rsidRPr="004A7D44">
              <w:rPr>
                <w:rFonts w:cs="Calibri"/>
              </w:rPr>
              <w:t xml:space="preserve"> for the month of </w:t>
            </w:r>
            <w:r w:rsidRPr="004A7D44">
              <w:rPr>
                <w:rFonts w:cs="Calibri"/>
                <w:i/>
              </w:rPr>
              <w:t>k</w:t>
            </w:r>
            <w:r w:rsidRPr="004A7D44">
              <w:rPr>
                <w:rFonts w:cs="Calibri"/>
              </w:rPr>
              <w:t xml:space="preserve">. The ACP is omitted if its value is not available. If TOU of bid </w:t>
            </w:r>
            <w:r w:rsidRPr="004A7D44">
              <w:rPr>
                <w:rFonts w:cs="Calibri"/>
                <w:i/>
              </w:rPr>
              <w:t>j</w:t>
            </w:r>
            <w:r w:rsidRPr="004A7D44">
              <w:rPr>
                <w:rFonts w:cs="Calibri"/>
              </w:rPr>
              <w:t xml:space="preserve"> is 24-hour, use ACPs for the source, sink and TOUs for PeakWD, PeakWE and Off-peak for the month of </w:t>
            </w:r>
            <w:r w:rsidRPr="004A7D44">
              <w:rPr>
                <w:rFonts w:cs="Calibri"/>
                <w:i/>
              </w:rPr>
              <w:t>k</w:t>
            </w:r>
            <w:r w:rsidRPr="004A7D44">
              <w:rPr>
                <w:rFonts w:cs="Calibri"/>
              </w:rPr>
              <w:t>.</w:t>
            </w:r>
          </w:p>
        </w:tc>
      </w:tr>
    </w:tbl>
    <w:p w14:paraId="6F4DA922" w14:textId="77777777" w:rsidR="00F50E1A" w:rsidRPr="004A7D44" w:rsidRDefault="00F50E1A" w:rsidP="00F50E1A">
      <w:pPr>
        <w:tabs>
          <w:tab w:val="left" w:pos="540"/>
          <w:tab w:val="left" w:pos="1890"/>
          <w:tab w:val="left" w:pos="2430"/>
        </w:tabs>
        <w:rPr>
          <w:rFonts w:cs="Calibri"/>
        </w:rPr>
      </w:pPr>
    </w:p>
    <w:p w14:paraId="115E686D" w14:textId="77777777" w:rsidR="00F50E1A" w:rsidRPr="004A7D44" w:rsidRDefault="00F50E1A" w:rsidP="00F50E1A">
      <w:pPr>
        <w:tabs>
          <w:tab w:val="left" w:pos="540"/>
          <w:tab w:val="left" w:pos="1890"/>
          <w:tab w:val="left" w:pos="2430"/>
        </w:tabs>
        <w:rPr>
          <w:rFonts w:cs="Calibri"/>
        </w:rPr>
      </w:pPr>
      <w:r w:rsidRPr="004A7D44">
        <w:rPr>
          <w:rFonts w:cs="Calibri"/>
        </w:rPr>
        <w:t>Sort the CRR Account Holder’s or Counter-Party’s obligation bids which have the same source, sink, TOU and effective period in descending order of adjusted bid prices (APOBLB). Create a multiple segment bid curve in such a way that each segment has MW quantity and bid price as:</w:t>
      </w:r>
    </w:p>
    <w:p w14:paraId="6DD8E6CD" w14:textId="77777777" w:rsidR="00F50E1A" w:rsidRPr="00F50E1A" w:rsidRDefault="00752003" w:rsidP="00F50E1A">
      <w:pPr>
        <w:jc w:val="center"/>
        <w:rPr>
          <w:rFonts w:cs="Calibri"/>
        </w:rPr>
      </w:pPr>
      <m:oMathPara>
        <m:oMath>
          <m:d>
            <m:dPr>
              <m:ctrlPr>
                <w:rPr>
                  <w:rFonts w:ascii="Cambria Math" w:hAnsi="Cambria Math" w:cs="Calibri"/>
                </w:rPr>
              </m:ctrlPr>
            </m:dPr>
            <m:e>
              <m:sSub>
                <m:sSubPr>
                  <m:ctrlPr>
                    <w:rPr>
                      <w:rFonts w:ascii="Cambria Math" w:eastAsia="Calibri" w:hAnsi="Cambria Math" w:cs="Calibri"/>
                    </w:rPr>
                  </m:ctrlPr>
                </m:sSubPr>
                <m:e>
                  <m:r>
                    <w:rPr>
                      <w:rFonts w:ascii="Cambria Math" w:hAnsi="Cambria Math" w:cs="Calibri"/>
                    </w:rPr>
                    <m:t>QOBLB</m:t>
                  </m:r>
                </m:e>
                <m:sub>
                  <m:r>
                    <w:rPr>
                      <w:rFonts w:ascii="Cambria Math" w:hAnsi="Cambria Math" w:cs="Calibri"/>
                    </w:rPr>
                    <m:t>i</m:t>
                  </m:r>
                </m:sub>
              </m:sSub>
              <m:r>
                <w:rPr>
                  <w:rFonts w:ascii="Cambria Math" w:hAnsi="Cambria Math" w:cs="Calibri"/>
                </w:rPr>
                <m:t>,</m:t>
              </m:r>
              <m:sSub>
                <m:sSubPr>
                  <m:ctrlPr>
                    <w:rPr>
                      <w:rFonts w:ascii="Cambria Math" w:eastAsia="Calibri" w:hAnsi="Cambria Math" w:cs="Calibri"/>
                    </w:rPr>
                  </m:ctrlPr>
                </m:sSubPr>
                <m:e>
                  <m:r>
                    <w:rPr>
                      <w:rFonts w:ascii="Cambria Math" w:hAnsi="Cambria Math" w:cs="Calibri"/>
                    </w:rPr>
                    <m:t>APOBLB</m:t>
                  </m:r>
                </m:e>
                <m:sub>
                  <m:r>
                    <w:rPr>
                      <w:rFonts w:ascii="Cambria Math" w:hAnsi="Cambria Math" w:cs="Calibri"/>
                    </w:rPr>
                    <m:t>i</m:t>
                  </m:r>
                </m:sub>
              </m:sSub>
            </m:e>
          </m:d>
          <m:r>
            <w:rPr>
              <w:rFonts w:ascii="Cambria Math" w:hAnsi="Cambria Math" w:cs="Calibri"/>
            </w:rPr>
            <m:t>=</m:t>
          </m:r>
          <m:nary>
            <m:naryPr>
              <m:chr m:val="∑"/>
              <m:limLoc m:val="undOvr"/>
              <m:ctrlPr>
                <w:rPr>
                  <w:rFonts w:ascii="Cambria Math" w:eastAsia="Calibri" w:hAnsi="Cambria Math" w:cs="Calibri"/>
                </w:rPr>
              </m:ctrlPr>
            </m:naryPr>
            <m:sub>
              <m:r>
                <w:rPr>
                  <w:rFonts w:ascii="Cambria Math" w:hAnsi="Cambria Math" w:cs="Calibri"/>
                </w:rPr>
                <m:t>r=1</m:t>
              </m:r>
            </m:sub>
            <m:sup>
              <m:r>
                <w:rPr>
                  <w:rFonts w:ascii="Cambria Math" w:hAnsi="Cambria Math" w:cs="Calibri"/>
                </w:rPr>
                <m:t>i</m:t>
              </m:r>
            </m:sup>
            <m:e>
              <m:sSub>
                <m:sSubPr>
                  <m:ctrlPr>
                    <w:rPr>
                      <w:rFonts w:ascii="Cambria Math" w:eastAsia="Calibri" w:hAnsi="Cambria Math" w:cs="Calibri"/>
                    </w:rPr>
                  </m:ctrlPr>
                </m:sSubPr>
                <m:e>
                  <m:r>
                    <w:rPr>
                      <w:rFonts w:ascii="Cambria Math" w:hAnsi="Cambria Math" w:cs="Calibri"/>
                    </w:rPr>
                    <m:t>MW</m:t>
                  </m:r>
                </m:e>
                <m:sub>
                  <m:r>
                    <w:rPr>
                      <w:rFonts w:ascii="Cambria Math" w:hAnsi="Cambria Math" w:cs="Calibri"/>
                    </w:rPr>
                    <m:t>r</m:t>
                  </m:r>
                </m:sub>
              </m:sSub>
            </m:e>
          </m:nary>
          <m:r>
            <w:rPr>
              <w:rFonts w:ascii="Cambria Math" w:hAnsi="Cambria Math" w:cs="Calibri"/>
            </w:rPr>
            <m:t>,</m:t>
          </m:r>
          <m:sSub>
            <m:sSubPr>
              <m:ctrlPr>
                <w:rPr>
                  <w:rFonts w:ascii="Cambria Math" w:eastAsia="Calibri" w:hAnsi="Cambria Math" w:cs="Calibri"/>
                </w:rPr>
              </m:ctrlPr>
            </m:sSubPr>
            <m:e>
              <m:r>
                <w:rPr>
                  <w:rFonts w:ascii="Cambria Math" w:hAnsi="Cambria Math" w:cs="Calibri"/>
                </w:rPr>
                <m:t>APOBLB</m:t>
              </m:r>
            </m:e>
            <m:sub>
              <m:r>
                <w:rPr>
                  <w:rFonts w:ascii="Cambria Math" w:hAnsi="Cambria Math" w:cs="Calibri"/>
                </w:rPr>
                <m:t>i</m:t>
              </m:r>
            </m:sub>
          </m:sSub>
        </m:oMath>
      </m:oMathPara>
    </w:p>
    <w:p w14:paraId="351B3212" w14:textId="77777777" w:rsidR="00F50E1A" w:rsidRPr="004A7D44" w:rsidRDefault="00F50E1A" w:rsidP="00F50E1A">
      <w:pPr>
        <w:rPr>
          <w:rFonts w:cs="Calibri"/>
        </w:rPr>
      </w:pPr>
      <w:r w:rsidRPr="004A7D44">
        <w:rPr>
          <w:rFonts w:cs="Calibri"/>
        </w:rPr>
        <w:t>where i = segment number, QOBLB</w:t>
      </w:r>
      <w:r w:rsidRPr="004A7D44">
        <w:rPr>
          <w:rFonts w:cs="Calibri"/>
          <w:vertAlign w:val="subscript"/>
        </w:rPr>
        <w:t>i</w:t>
      </w:r>
      <w:r w:rsidRPr="004A7D44">
        <w:rPr>
          <w:rFonts w:cs="Calibri"/>
        </w:rPr>
        <w:t xml:space="preserve"> ≥ QOBLB</w:t>
      </w:r>
      <w:r w:rsidRPr="004A7D44">
        <w:rPr>
          <w:rFonts w:cs="Calibri"/>
          <w:vertAlign w:val="subscript"/>
        </w:rPr>
        <w:t>i-1</w:t>
      </w:r>
      <w:r w:rsidRPr="004A7D44">
        <w:rPr>
          <w:rFonts w:cs="Calibri"/>
        </w:rPr>
        <w:t>, APOBLB</w:t>
      </w:r>
      <w:r w:rsidRPr="004A7D44">
        <w:rPr>
          <w:rFonts w:cs="Calibri"/>
          <w:vertAlign w:val="subscript"/>
        </w:rPr>
        <w:t>i</w:t>
      </w:r>
      <w:r w:rsidRPr="004A7D44">
        <w:rPr>
          <w:rFonts w:cs="Calibri"/>
        </w:rPr>
        <w:t xml:space="preserve"> ≤ APOBLB</w:t>
      </w:r>
      <w:r w:rsidRPr="004A7D44">
        <w:rPr>
          <w:rFonts w:cs="Calibri"/>
          <w:vertAlign w:val="subscript"/>
        </w:rPr>
        <w:t>i-1</w:t>
      </w:r>
      <w:r w:rsidRPr="004A7D44">
        <w:rPr>
          <w:rFonts w:cs="Calibri"/>
        </w:rPr>
        <w:t>, MW</w:t>
      </w:r>
      <w:r w:rsidRPr="004A7D44">
        <w:rPr>
          <w:rFonts w:cs="Calibri"/>
          <w:vertAlign w:val="subscript"/>
        </w:rPr>
        <w:t>r</w:t>
      </w:r>
      <w:r w:rsidRPr="004A7D44">
        <w:rPr>
          <w:rFonts w:cs="Calibri"/>
        </w:rPr>
        <w:t xml:space="preserve"> is the bid MW of the bid at the rank r while r ≤ i.</w:t>
      </w:r>
    </w:p>
    <w:p w14:paraId="6F5CB015" w14:textId="77777777" w:rsidR="00F50E1A" w:rsidRPr="004A7D44" w:rsidRDefault="00F50E1A" w:rsidP="00F50E1A">
      <w:pPr>
        <w:rPr>
          <w:rFonts w:cs="Calibri"/>
        </w:rPr>
      </w:pPr>
      <w:r w:rsidRPr="004A7D44">
        <w:rPr>
          <w:rFonts w:cs="Calibri"/>
        </w:rPr>
        <w:t>Use A</w:t>
      </w:r>
      <w:r w:rsidRPr="004A7D44">
        <w:rPr>
          <w:rFonts w:cs="Calibri"/>
          <w:vertAlign w:val="subscript"/>
        </w:rPr>
        <w:t>ci99</w:t>
      </w:r>
      <w:r w:rsidRPr="004A7D44">
        <w:rPr>
          <w:rFonts w:cs="Calibri"/>
        </w:rPr>
        <w:t xml:space="preserve"> and ACP to calculate credit exposure for PTP Obligation bids for a CRR Account Holder or Counter-Party (</w:t>
      </w:r>
      <w:r w:rsidRPr="004A7D44">
        <w:rPr>
          <w:rFonts w:cs="Calibri"/>
          <w:color w:val="000000"/>
        </w:rPr>
        <w:t>CEOBLBID)</w:t>
      </w:r>
      <w:r w:rsidRPr="004A7D44">
        <w:rPr>
          <w:rFonts w:cs="Calibri"/>
          <w:b/>
          <w:color w:val="000000"/>
        </w:rPr>
        <w:t xml:space="preserve"> </w:t>
      </w:r>
      <w:r w:rsidRPr="004A7D44">
        <w:rPr>
          <w:rFonts w:cs="Calibri"/>
        </w:rPr>
        <w:t>in the pre-auction screening process as:</w:t>
      </w:r>
    </w:p>
    <w:p w14:paraId="51DC03C6" w14:textId="77777777" w:rsidR="00F50E1A" w:rsidRPr="004A7D44" w:rsidRDefault="00F50E1A" w:rsidP="00F50E1A">
      <w:pPr>
        <w:pStyle w:val="BodyTextNumbered"/>
        <w:tabs>
          <w:tab w:val="left" w:pos="2520"/>
        </w:tabs>
        <w:spacing w:after="0"/>
        <w:ind w:left="2887" w:hanging="1987"/>
        <w:rPr>
          <w:rFonts w:ascii="Calibri" w:hAnsi="Calibri" w:cs="Calibri"/>
          <w:color w:val="000000"/>
          <w:sz w:val="22"/>
          <w:szCs w:val="22"/>
        </w:rPr>
      </w:pPr>
      <w:r w:rsidRPr="004A7D44">
        <w:rPr>
          <w:rFonts w:ascii="Calibri" w:hAnsi="Calibri" w:cs="Calibri"/>
          <w:color w:val="000000"/>
          <w:sz w:val="22"/>
          <w:szCs w:val="22"/>
        </w:rPr>
        <w:lastRenderedPageBreak/>
        <w:t xml:space="preserve">          CEOBLBID</w:t>
      </w:r>
      <w:r w:rsidRPr="004A7D44">
        <w:rPr>
          <w:rFonts w:ascii="Calibri" w:hAnsi="Calibri" w:cs="Calibri"/>
          <w:i/>
          <w:color w:val="000000"/>
          <w:sz w:val="22"/>
          <w:szCs w:val="22"/>
          <w:vertAlign w:val="subscript"/>
        </w:rPr>
        <w:t>b</w:t>
      </w:r>
      <w:r w:rsidRPr="004A7D44">
        <w:rPr>
          <w:rFonts w:ascii="Calibri" w:hAnsi="Calibri" w:cs="Calibri"/>
          <w:color w:val="000000"/>
          <w:sz w:val="22"/>
          <w:szCs w:val="22"/>
        </w:rPr>
        <w:t xml:space="preserve"> = max [QOBLB </w:t>
      </w:r>
      <w:r w:rsidRPr="004A7D44">
        <w:rPr>
          <w:rFonts w:ascii="Calibri" w:hAnsi="Calibri" w:cs="Calibri"/>
          <w:i/>
          <w:color w:val="000000"/>
          <w:sz w:val="22"/>
          <w:szCs w:val="22"/>
          <w:vertAlign w:val="subscript"/>
        </w:rPr>
        <w:t>b,I,k</w:t>
      </w:r>
      <w:r w:rsidRPr="004A7D44">
        <w:rPr>
          <w:rFonts w:ascii="Calibri" w:hAnsi="Calibri" w:cs="Calibri"/>
          <w:color w:val="000000"/>
          <w:sz w:val="22"/>
          <w:szCs w:val="22"/>
        </w:rPr>
        <w:t xml:space="preserve"> * APOBLB </w:t>
      </w:r>
      <w:r w:rsidRPr="004A7D44">
        <w:rPr>
          <w:rFonts w:ascii="Calibri" w:hAnsi="Calibri" w:cs="Calibri"/>
          <w:i/>
          <w:color w:val="000000"/>
          <w:sz w:val="22"/>
          <w:szCs w:val="22"/>
          <w:vertAlign w:val="subscript"/>
        </w:rPr>
        <w:t>b,I,k</w:t>
      </w:r>
      <w:r w:rsidRPr="004A7D44">
        <w:rPr>
          <w:rFonts w:ascii="Calibri" w:hAnsi="Calibri" w:cs="Calibri"/>
          <w:color w:val="000000"/>
          <w:sz w:val="22"/>
          <w:szCs w:val="22"/>
        </w:rPr>
        <w:t>, QOBLB</w:t>
      </w:r>
      <w:r w:rsidRPr="004A7D44">
        <w:rPr>
          <w:rFonts w:ascii="Calibri" w:hAnsi="Calibri" w:cs="Calibri"/>
          <w:color w:val="000000"/>
          <w:sz w:val="22"/>
          <w:szCs w:val="22"/>
          <w:vertAlign w:val="subscript"/>
        </w:rPr>
        <w:t xml:space="preserve"> b,i+1,k</w:t>
      </w:r>
      <w:r w:rsidRPr="004A7D44">
        <w:rPr>
          <w:rFonts w:ascii="Calibri" w:hAnsi="Calibri" w:cs="Calibri"/>
          <w:color w:val="000000"/>
          <w:sz w:val="22"/>
          <w:szCs w:val="22"/>
        </w:rPr>
        <w:t xml:space="preserve"> * APOBLB </w:t>
      </w:r>
      <w:r w:rsidRPr="004A7D44">
        <w:rPr>
          <w:rFonts w:ascii="Calibri" w:hAnsi="Calibri" w:cs="Calibri"/>
          <w:i/>
          <w:color w:val="000000"/>
          <w:sz w:val="22"/>
          <w:szCs w:val="22"/>
          <w:vertAlign w:val="subscript"/>
        </w:rPr>
        <w:t>b,i+1,k</w:t>
      </w:r>
      <w:r w:rsidRPr="004A7D44">
        <w:rPr>
          <w:rFonts w:ascii="Calibri" w:hAnsi="Calibri" w:cs="Calibri"/>
          <w:color w:val="000000"/>
          <w:sz w:val="22"/>
          <w:szCs w:val="22"/>
        </w:rPr>
        <w:t xml:space="preserve">,                                                          </w:t>
      </w:r>
    </w:p>
    <w:p w14:paraId="00899D5F" w14:textId="77777777" w:rsidR="00F50E1A" w:rsidRPr="004A7D44" w:rsidRDefault="00F50E1A" w:rsidP="00F50E1A">
      <w:pPr>
        <w:pStyle w:val="BodyTextNumbered"/>
        <w:tabs>
          <w:tab w:val="left" w:pos="2520"/>
        </w:tabs>
        <w:spacing w:after="0"/>
        <w:ind w:left="2887" w:hanging="1987"/>
        <w:rPr>
          <w:rFonts w:ascii="Calibri" w:hAnsi="Calibri" w:cs="Calibri"/>
          <w:color w:val="000000"/>
          <w:sz w:val="22"/>
          <w:szCs w:val="22"/>
        </w:rPr>
      </w:pPr>
      <w:r w:rsidRPr="004A7D44">
        <w:rPr>
          <w:rFonts w:ascii="Calibri" w:hAnsi="Calibri" w:cs="Calibri"/>
          <w:color w:val="000000"/>
          <w:sz w:val="22"/>
          <w:szCs w:val="22"/>
        </w:rPr>
        <w:t xml:space="preserve">                                             …, QOBLB</w:t>
      </w:r>
      <w:r w:rsidRPr="004A7D44">
        <w:rPr>
          <w:rFonts w:ascii="Calibri" w:hAnsi="Calibri" w:cs="Calibri"/>
          <w:color w:val="000000"/>
          <w:sz w:val="22"/>
          <w:szCs w:val="22"/>
          <w:vertAlign w:val="subscript"/>
        </w:rPr>
        <w:t xml:space="preserve"> b,i=R,k </w:t>
      </w:r>
      <w:r w:rsidRPr="004A7D44">
        <w:rPr>
          <w:rFonts w:ascii="Calibri" w:hAnsi="Calibri" w:cs="Calibri"/>
          <w:color w:val="000000"/>
          <w:sz w:val="22"/>
          <w:szCs w:val="22"/>
        </w:rPr>
        <w:t xml:space="preserve">* APOBLB </w:t>
      </w:r>
      <w:r w:rsidRPr="004A7D44">
        <w:rPr>
          <w:rFonts w:ascii="Calibri" w:hAnsi="Calibri" w:cs="Calibri"/>
          <w:i/>
          <w:color w:val="000000"/>
          <w:sz w:val="22"/>
          <w:szCs w:val="22"/>
          <w:vertAlign w:val="subscript"/>
        </w:rPr>
        <w:t>b,i=R,k</w:t>
      </w:r>
      <w:r w:rsidRPr="004A7D44">
        <w:rPr>
          <w:rFonts w:ascii="Calibri" w:hAnsi="Calibri" w:cs="Calibri"/>
          <w:color w:val="000000"/>
          <w:sz w:val="22"/>
          <w:szCs w:val="22"/>
        </w:rPr>
        <w:t>]</w:t>
      </w:r>
    </w:p>
    <w:p w14:paraId="3A670234" w14:textId="77777777" w:rsidR="00F50E1A" w:rsidRPr="004A7D44" w:rsidRDefault="00F50E1A" w:rsidP="00F50E1A">
      <w:pPr>
        <w:rPr>
          <w:rFonts w:cs="Calibri"/>
        </w:rPr>
      </w:pPr>
    </w:p>
    <w:p w14:paraId="1CCC63AE" w14:textId="77777777" w:rsidR="00F50E1A" w:rsidRPr="004A7D44" w:rsidRDefault="00F50E1A" w:rsidP="00F50E1A">
      <w:pPr>
        <w:rPr>
          <w:rFonts w:cs="Calibri"/>
        </w:rPr>
      </w:pPr>
      <w:r w:rsidRPr="004A7D44">
        <w:rPr>
          <w:rFonts w:cs="Calibri"/>
        </w:rPr>
        <w:t>The above variables are defined as follows:</w:t>
      </w:r>
    </w:p>
    <w:tbl>
      <w:tblPr>
        <w:tblW w:w="78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990"/>
        <w:gridCol w:w="5490"/>
      </w:tblGrid>
      <w:tr w:rsidR="00F50E1A" w:rsidRPr="004A7D44" w14:paraId="483E57BE" w14:textId="77777777" w:rsidTr="00486C50">
        <w:trPr>
          <w:trHeight w:val="729"/>
        </w:trPr>
        <w:tc>
          <w:tcPr>
            <w:tcW w:w="1368" w:type="dxa"/>
            <w:shd w:val="clear" w:color="auto" w:fill="auto"/>
            <w:vAlign w:val="center"/>
          </w:tcPr>
          <w:p w14:paraId="6818C088"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Variable</w:t>
            </w:r>
          </w:p>
        </w:tc>
        <w:tc>
          <w:tcPr>
            <w:tcW w:w="990" w:type="dxa"/>
            <w:shd w:val="clear" w:color="auto" w:fill="auto"/>
            <w:vAlign w:val="center"/>
          </w:tcPr>
          <w:p w14:paraId="189F15B3"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Unit</w:t>
            </w:r>
          </w:p>
        </w:tc>
        <w:tc>
          <w:tcPr>
            <w:tcW w:w="5490" w:type="dxa"/>
            <w:shd w:val="clear" w:color="auto" w:fill="auto"/>
            <w:vAlign w:val="center"/>
          </w:tcPr>
          <w:p w14:paraId="2A1023E8"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Description</w:t>
            </w:r>
          </w:p>
        </w:tc>
      </w:tr>
      <w:tr w:rsidR="00F50E1A" w:rsidRPr="004A7D44" w14:paraId="32D4B7EC" w14:textId="77777777" w:rsidTr="00486C50">
        <w:trPr>
          <w:trHeight w:val="965"/>
        </w:trPr>
        <w:tc>
          <w:tcPr>
            <w:tcW w:w="1368" w:type="dxa"/>
            <w:shd w:val="clear" w:color="auto" w:fill="auto"/>
          </w:tcPr>
          <w:p w14:paraId="1AB8F369" w14:textId="77777777" w:rsidR="00F50E1A" w:rsidRPr="004A7D44" w:rsidRDefault="00F50E1A" w:rsidP="00486C50">
            <w:pPr>
              <w:rPr>
                <w:rFonts w:cs="Calibri"/>
              </w:rPr>
            </w:pPr>
            <w:r w:rsidRPr="004A7D44">
              <w:rPr>
                <w:rFonts w:cs="Calibri"/>
              </w:rPr>
              <w:t>CEOBLBID</w:t>
            </w:r>
            <w:r w:rsidRPr="004A7D44">
              <w:rPr>
                <w:rFonts w:cs="Calibri"/>
                <w:vertAlign w:val="subscript"/>
              </w:rPr>
              <w:t>b</w:t>
            </w:r>
          </w:p>
        </w:tc>
        <w:tc>
          <w:tcPr>
            <w:tcW w:w="990" w:type="dxa"/>
            <w:shd w:val="clear" w:color="auto" w:fill="auto"/>
          </w:tcPr>
          <w:p w14:paraId="445EBF63" w14:textId="77777777" w:rsidR="00F50E1A" w:rsidRPr="004A7D44" w:rsidRDefault="00F50E1A" w:rsidP="00486C50">
            <w:pPr>
              <w:rPr>
                <w:rFonts w:cs="Calibri"/>
              </w:rPr>
            </w:pPr>
            <w:r w:rsidRPr="004A7D44">
              <w:rPr>
                <w:rFonts w:cs="Calibri"/>
              </w:rPr>
              <w:t>$</w:t>
            </w:r>
          </w:p>
        </w:tc>
        <w:tc>
          <w:tcPr>
            <w:tcW w:w="5490" w:type="dxa"/>
            <w:shd w:val="clear" w:color="auto" w:fill="auto"/>
          </w:tcPr>
          <w:p w14:paraId="01E1144E" w14:textId="77777777" w:rsidR="00F50E1A" w:rsidRPr="004A7D44" w:rsidRDefault="00F50E1A" w:rsidP="00486C50">
            <w:pPr>
              <w:rPr>
                <w:rFonts w:cs="Calibri"/>
              </w:rPr>
            </w:pPr>
            <w:r w:rsidRPr="004A7D44">
              <w:rPr>
                <w:rFonts w:cs="Calibri"/>
              </w:rPr>
              <w:t xml:space="preserve">Credit Exposure for PTP Obligation bids having the same source, sink, TOU and effective period for a CRR Account Holder or Counter-Party </w:t>
            </w:r>
            <w:r w:rsidRPr="004A7D44">
              <w:rPr>
                <w:rFonts w:cs="Calibri"/>
                <w:i/>
              </w:rPr>
              <w:t>b</w:t>
            </w:r>
            <w:r w:rsidRPr="004A7D44">
              <w:rPr>
                <w:rFonts w:cs="Calibri"/>
              </w:rPr>
              <w:t>.</w:t>
            </w:r>
          </w:p>
        </w:tc>
      </w:tr>
      <w:tr w:rsidR="00F50E1A" w:rsidRPr="004A7D44" w14:paraId="60FBDC47" w14:textId="77777777" w:rsidTr="00486C50">
        <w:trPr>
          <w:trHeight w:val="1133"/>
        </w:trPr>
        <w:tc>
          <w:tcPr>
            <w:tcW w:w="1368" w:type="dxa"/>
            <w:shd w:val="clear" w:color="auto" w:fill="auto"/>
          </w:tcPr>
          <w:p w14:paraId="25A0AC6F" w14:textId="77777777" w:rsidR="00F50E1A" w:rsidRPr="004A7D44" w:rsidRDefault="00F50E1A" w:rsidP="00486C50">
            <w:pPr>
              <w:pStyle w:val="TableBody"/>
              <w:spacing w:before="120"/>
              <w:rPr>
                <w:rFonts w:ascii="Calibri" w:hAnsi="Calibri" w:cs="Calibri"/>
                <w:color w:val="000000"/>
              </w:rPr>
            </w:pPr>
            <w:r w:rsidRPr="004A7D44">
              <w:rPr>
                <w:rFonts w:ascii="Calibri" w:hAnsi="Calibri" w:cs="Calibri"/>
                <w:color w:val="000000"/>
              </w:rPr>
              <w:t xml:space="preserve">APOBLB </w:t>
            </w:r>
            <w:r w:rsidRPr="004A7D44">
              <w:rPr>
                <w:rFonts w:ascii="Calibri" w:hAnsi="Calibri" w:cs="Calibri"/>
                <w:i w:val="0"/>
                <w:color w:val="000000"/>
                <w:vertAlign w:val="subscript"/>
              </w:rPr>
              <w:t>b,i,k</w:t>
            </w:r>
          </w:p>
        </w:tc>
        <w:tc>
          <w:tcPr>
            <w:tcW w:w="990" w:type="dxa"/>
            <w:shd w:val="clear" w:color="auto" w:fill="auto"/>
          </w:tcPr>
          <w:p w14:paraId="2003E4AF" w14:textId="77777777" w:rsidR="00F50E1A" w:rsidRPr="004A7D44" w:rsidRDefault="00F50E1A" w:rsidP="00486C50">
            <w:pPr>
              <w:pStyle w:val="TableBody"/>
              <w:spacing w:before="120" w:after="0"/>
              <w:rPr>
                <w:rFonts w:ascii="Calibri" w:hAnsi="Calibri" w:cs="Calibri"/>
                <w:color w:val="000000"/>
              </w:rPr>
            </w:pPr>
            <w:r w:rsidRPr="004A7D44">
              <w:rPr>
                <w:rFonts w:ascii="Calibri" w:hAnsi="Calibri" w:cs="Calibri"/>
                <w:color w:val="000000"/>
              </w:rPr>
              <w:t>$/MW</w:t>
            </w:r>
          </w:p>
        </w:tc>
        <w:tc>
          <w:tcPr>
            <w:tcW w:w="5490" w:type="dxa"/>
            <w:shd w:val="clear" w:color="auto" w:fill="auto"/>
          </w:tcPr>
          <w:p w14:paraId="5068D68E" w14:textId="77777777" w:rsidR="00F50E1A" w:rsidRPr="004A7D44" w:rsidRDefault="00F50E1A" w:rsidP="00486C50">
            <w:pPr>
              <w:pStyle w:val="TableBody"/>
              <w:spacing w:before="120"/>
              <w:rPr>
                <w:rFonts w:ascii="Calibri" w:hAnsi="Calibri" w:cs="Calibri"/>
                <w:color w:val="000000"/>
              </w:rPr>
            </w:pPr>
            <w:r w:rsidRPr="004A7D44">
              <w:rPr>
                <w:rFonts w:ascii="Calibri" w:hAnsi="Calibri" w:cs="Calibri"/>
                <w:color w:val="000000"/>
              </w:rPr>
              <w:t xml:space="preserve">Bid price segment </w:t>
            </w:r>
            <w:r w:rsidRPr="004A7D44">
              <w:rPr>
                <w:rFonts w:ascii="Calibri" w:hAnsi="Calibri" w:cs="Calibri"/>
                <w:i w:val="0"/>
                <w:color w:val="000000"/>
              </w:rPr>
              <w:t>i</w:t>
            </w:r>
            <w:r w:rsidRPr="004A7D44">
              <w:rPr>
                <w:rFonts w:ascii="Calibri" w:hAnsi="Calibri" w:cs="Calibri"/>
                <w:color w:val="000000"/>
              </w:rPr>
              <w:t xml:space="preserve"> for PTP Obligation buy bid aggregated </w:t>
            </w:r>
            <w:r w:rsidRPr="004A7D44">
              <w:rPr>
                <w:rFonts w:ascii="Calibri" w:hAnsi="Calibri" w:cs="Calibri"/>
              </w:rPr>
              <w:t xml:space="preserve">per effective period, source, sink and TOU </w:t>
            </w:r>
            <w:r w:rsidRPr="004A7D44">
              <w:rPr>
                <w:rFonts w:ascii="Calibri" w:hAnsi="Calibri" w:cs="Calibri"/>
                <w:i w:val="0"/>
              </w:rPr>
              <w:t>k</w:t>
            </w:r>
            <w:r w:rsidRPr="004A7D44">
              <w:rPr>
                <w:rFonts w:ascii="Calibri" w:hAnsi="Calibri" w:cs="Calibri"/>
              </w:rPr>
              <w:t xml:space="preserve"> </w:t>
            </w:r>
            <w:r w:rsidRPr="004A7D44">
              <w:rPr>
                <w:rFonts w:ascii="Calibri" w:hAnsi="Calibri" w:cs="Calibri"/>
                <w:color w:val="000000"/>
              </w:rPr>
              <w:t xml:space="preserve">submitted by Account Holder or Counter-Party </w:t>
            </w:r>
            <w:r w:rsidRPr="004A7D44">
              <w:rPr>
                <w:rFonts w:ascii="Calibri" w:hAnsi="Calibri" w:cs="Calibri"/>
                <w:i w:val="0"/>
                <w:color w:val="000000"/>
              </w:rPr>
              <w:t>b</w:t>
            </w:r>
          </w:p>
        </w:tc>
      </w:tr>
      <w:tr w:rsidR="00F50E1A" w:rsidRPr="004A7D44" w14:paraId="6A973C30" w14:textId="77777777" w:rsidTr="00486C50">
        <w:trPr>
          <w:trHeight w:val="1133"/>
        </w:trPr>
        <w:tc>
          <w:tcPr>
            <w:tcW w:w="1368" w:type="dxa"/>
            <w:shd w:val="clear" w:color="auto" w:fill="auto"/>
          </w:tcPr>
          <w:p w14:paraId="393E6FB4" w14:textId="77777777" w:rsidR="00F50E1A" w:rsidRPr="004A7D44" w:rsidRDefault="00F50E1A" w:rsidP="00486C50">
            <w:pPr>
              <w:pStyle w:val="TableBody"/>
              <w:spacing w:before="120"/>
              <w:ind w:left="720" w:hanging="720"/>
              <w:rPr>
                <w:rFonts w:ascii="Calibri" w:hAnsi="Calibri" w:cs="Calibri"/>
                <w:color w:val="000000"/>
                <w:lang w:val="it-IT"/>
              </w:rPr>
            </w:pPr>
            <w:r w:rsidRPr="004A7D44">
              <w:rPr>
                <w:rFonts w:ascii="Calibri" w:hAnsi="Calibri" w:cs="Calibri"/>
                <w:color w:val="000000"/>
                <w:lang w:val="it-IT"/>
              </w:rPr>
              <w:t>QOBLB</w:t>
            </w:r>
            <w:r w:rsidRPr="004A7D44">
              <w:rPr>
                <w:rFonts w:ascii="Calibri" w:hAnsi="Calibri" w:cs="Calibri"/>
                <w:color w:val="000000"/>
                <w:vertAlign w:val="subscript"/>
                <w:lang w:val="it-IT"/>
              </w:rPr>
              <w:t xml:space="preserve"> </w:t>
            </w:r>
            <w:r w:rsidRPr="004A7D44">
              <w:rPr>
                <w:rFonts w:ascii="Calibri" w:hAnsi="Calibri" w:cs="Calibri"/>
                <w:i w:val="0"/>
                <w:color w:val="000000"/>
                <w:vertAlign w:val="subscript"/>
                <w:lang w:val="it-IT"/>
              </w:rPr>
              <w:t>b,i,k</w:t>
            </w:r>
          </w:p>
        </w:tc>
        <w:tc>
          <w:tcPr>
            <w:tcW w:w="990" w:type="dxa"/>
            <w:shd w:val="clear" w:color="auto" w:fill="auto"/>
          </w:tcPr>
          <w:p w14:paraId="2B50130D" w14:textId="77777777" w:rsidR="00F50E1A" w:rsidRPr="004A7D44" w:rsidRDefault="00F50E1A" w:rsidP="00486C50">
            <w:pPr>
              <w:pStyle w:val="TableBody"/>
              <w:spacing w:before="120"/>
              <w:rPr>
                <w:rFonts w:ascii="Calibri" w:hAnsi="Calibri" w:cs="Calibri"/>
                <w:color w:val="000000"/>
              </w:rPr>
            </w:pPr>
            <w:r w:rsidRPr="004A7D44">
              <w:rPr>
                <w:rFonts w:ascii="Calibri" w:hAnsi="Calibri" w:cs="Calibri"/>
                <w:color w:val="000000"/>
              </w:rPr>
              <w:t>MWh</w:t>
            </w:r>
          </w:p>
        </w:tc>
        <w:tc>
          <w:tcPr>
            <w:tcW w:w="5490" w:type="dxa"/>
            <w:shd w:val="clear" w:color="auto" w:fill="auto"/>
          </w:tcPr>
          <w:p w14:paraId="39F79837" w14:textId="77777777" w:rsidR="00F50E1A" w:rsidRPr="004A7D44" w:rsidRDefault="00F50E1A" w:rsidP="00486C50">
            <w:pPr>
              <w:pStyle w:val="TableBody"/>
              <w:spacing w:before="120"/>
              <w:rPr>
                <w:rFonts w:ascii="Calibri" w:hAnsi="Calibri" w:cs="Calibri"/>
                <w:i w:val="0"/>
                <w:color w:val="000000"/>
              </w:rPr>
            </w:pPr>
            <w:r w:rsidRPr="004A7D44">
              <w:rPr>
                <w:rFonts w:ascii="Calibri" w:hAnsi="Calibri" w:cs="Calibri"/>
                <w:color w:val="000000"/>
              </w:rPr>
              <w:t xml:space="preserve">Bid MW segment </w:t>
            </w:r>
            <w:r w:rsidRPr="004A7D44">
              <w:rPr>
                <w:rFonts w:ascii="Calibri" w:hAnsi="Calibri" w:cs="Calibri"/>
                <w:i w:val="0"/>
                <w:color w:val="000000"/>
              </w:rPr>
              <w:t>i</w:t>
            </w:r>
            <w:r w:rsidRPr="004A7D44">
              <w:rPr>
                <w:rFonts w:ascii="Calibri" w:hAnsi="Calibri" w:cs="Calibri"/>
                <w:color w:val="000000"/>
              </w:rPr>
              <w:t xml:space="preserve"> for PTP Obligation buy bid aggregated </w:t>
            </w:r>
            <w:r w:rsidRPr="004A7D44">
              <w:rPr>
                <w:rFonts w:ascii="Calibri" w:hAnsi="Calibri" w:cs="Calibri"/>
              </w:rPr>
              <w:t xml:space="preserve">per effective period, source, sink and TOU </w:t>
            </w:r>
            <w:r w:rsidRPr="004A7D44">
              <w:rPr>
                <w:rFonts w:ascii="Calibri" w:hAnsi="Calibri" w:cs="Calibri"/>
                <w:i w:val="0"/>
              </w:rPr>
              <w:t>k</w:t>
            </w:r>
            <w:r w:rsidRPr="004A7D44">
              <w:rPr>
                <w:rFonts w:ascii="Calibri" w:hAnsi="Calibri" w:cs="Calibri"/>
              </w:rPr>
              <w:t xml:space="preserve"> </w:t>
            </w:r>
            <w:r w:rsidRPr="004A7D44">
              <w:rPr>
                <w:rFonts w:ascii="Calibri" w:hAnsi="Calibri" w:cs="Calibri"/>
                <w:color w:val="000000"/>
              </w:rPr>
              <w:t xml:space="preserve">submitted by Account Holder or Counter-Party </w:t>
            </w:r>
            <w:r w:rsidRPr="004A7D44">
              <w:rPr>
                <w:rFonts w:ascii="Calibri" w:hAnsi="Calibri" w:cs="Calibri"/>
                <w:i w:val="0"/>
                <w:color w:val="000000"/>
              </w:rPr>
              <w:t>b</w:t>
            </w:r>
          </w:p>
        </w:tc>
      </w:tr>
      <w:tr w:rsidR="00F50E1A" w:rsidRPr="004A7D44" w14:paraId="519D8C77" w14:textId="77777777" w:rsidTr="00486C50">
        <w:trPr>
          <w:trHeight w:val="464"/>
        </w:trPr>
        <w:tc>
          <w:tcPr>
            <w:tcW w:w="1368" w:type="dxa"/>
            <w:shd w:val="clear" w:color="auto" w:fill="auto"/>
          </w:tcPr>
          <w:p w14:paraId="46ECDED8" w14:textId="77777777" w:rsidR="00F50E1A" w:rsidRPr="004A7D44" w:rsidRDefault="00F50E1A" w:rsidP="00486C50">
            <w:pPr>
              <w:pStyle w:val="TableBody"/>
              <w:spacing w:after="0"/>
              <w:ind w:left="720" w:hanging="720"/>
              <w:rPr>
                <w:rFonts w:ascii="Calibri" w:hAnsi="Calibri" w:cs="Calibri"/>
                <w:i w:val="0"/>
                <w:color w:val="000000"/>
              </w:rPr>
            </w:pPr>
            <w:r w:rsidRPr="004A7D44">
              <w:rPr>
                <w:rFonts w:ascii="Calibri" w:hAnsi="Calibri" w:cs="Calibri"/>
                <w:i w:val="0"/>
                <w:color w:val="000000"/>
              </w:rPr>
              <w:t>R</w:t>
            </w:r>
          </w:p>
        </w:tc>
        <w:tc>
          <w:tcPr>
            <w:tcW w:w="990" w:type="dxa"/>
            <w:shd w:val="clear" w:color="auto" w:fill="auto"/>
          </w:tcPr>
          <w:p w14:paraId="082DE368" w14:textId="77777777" w:rsidR="00F50E1A" w:rsidRPr="004A7D44" w:rsidRDefault="00F50E1A" w:rsidP="00486C50">
            <w:pPr>
              <w:pStyle w:val="TableBody"/>
              <w:spacing w:after="0"/>
              <w:rPr>
                <w:rFonts w:ascii="Calibri" w:hAnsi="Calibri" w:cs="Calibri"/>
                <w:color w:val="000000"/>
              </w:rPr>
            </w:pPr>
            <w:r w:rsidRPr="004A7D44">
              <w:rPr>
                <w:rFonts w:ascii="Calibri" w:hAnsi="Calibri" w:cs="Calibri"/>
                <w:color w:val="000000"/>
              </w:rPr>
              <w:t>none</w:t>
            </w:r>
          </w:p>
        </w:tc>
        <w:tc>
          <w:tcPr>
            <w:tcW w:w="5490" w:type="dxa"/>
            <w:shd w:val="clear" w:color="auto" w:fill="auto"/>
          </w:tcPr>
          <w:p w14:paraId="6379C593" w14:textId="77777777" w:rsidR="00F50E1A" w:rsidRPr="004A7D44" w:rsidRDefault="00F50E1A" w:rsidP="00486C50">
            <w:pPr>
              <w:pStyle w:val="TableBody"/>
              <w:spacing w:after="0"/>
              <w:rPr>
                <w:rFonts w:ascii="Calibri" w:hAnsi="Calibri" w:cs="Calibri"/>
                <w:color w:val="000000"/>
              </w:rPr>
            </w:pPr>
            <w:r w:rsidRPr="004A7D44">
              <w:rPr>
                <w:rFonts w:ascii="Calibri" w:hAnsi="Calibri" w:cs="Calibri"/>
                <w:color w:val="000000"/>
              </w:rPr>
              <w:t>Total number of segments for PTP Obligation bids aggregated per effective period, source, sink and TOU submitted by an Account Holder or Counter-Party.</w:t>
            </w:r>
          </w:p>
        </w:tc>
      </w:tr>
    </w:tbl>
    <w:p w14:paraId="242298EF" w14:textId="77777777" w:rsidR="00F50E1A" w:rsidRPr="004A7D44" w:rsidRDefault="00F50E1A" w:rsidP="00F50E1A">
      <w:pPr>
        <w:rPr>
          <w:rFonts w:cs="Calibri"/>
          <w:b/>
        </w:rPr>
      </w:pPr>
    </w:p>
    <w:p w14:paraId="5E51CB49" w14:textId="77777777" w:rsidR="007B501E" w:rsidRPr="007B501E" w:rsidRDefault="007B501E" w:rsidP="00F50E1A">
      <w:pPr>
        <w:rPr>
          <w:rFonts w:cs="Calibri"/>
          <w:b/>
          <w:sz w:val="24"/>
          <w:szCs w:val="24"/>
        </w:rPr>
      </w:pPr>
      <w:bookmarkStart w:id="4" w:name="Example1ExposCalcPTPOblmultimonthbids"/>
      <w:r w:rsidRPr="007B501E">
        <w:rPr>
          <w:rFonts w:cs="Calibri"/>
          <w:b/>
          <w:sz w:val="24"/>
          <w:szCs w:val="24"/>
        </w:rPr>
        <w:t>Example 1: Exposure calculation for pre-auction screening for PTP Obligation bids for PeakWD in a Long-Term Auction Sequence with multi-month bids</w:t>
      </w:r>
    </w:p>
    <w:bookmarkEnd w:id="4"/>
    <w:p w14:paraId="02F08DC9" w14:textId="77777777" w:rsidR="00F50E1A" w:rsidRPr="004A7D44" w:rsidRDefault="007B501E" w:rsidP="00F50E1A">
      <w:pPr>
        <w:rPr>
          <w:rFonts w:cs="Calibri"/>
        </w:rPr>
      </w:pPr>
      <w:r>
        <w:rPr>
          <w:rFonts w:cs="Calibri"/>
        </w:rPr>
        <w:t>The following table contains d</w:t>
      </w:r>
      <w:r w:rsidR="00F50E1A" w:rsidRPr="004A7D44">
        <w:rPr>
          <w:rFonts w:cs="Calibri"/>
        </w:rPr>
        <w:t>ata from the downloaded Credit Coefficient file for the auction and the corresponding hours in each TOU:</w:t>
      </w:r>
    </w:p>
    <w:p w14:paraId="617BF876" w14:textId="77777777" w:rsidR="00F50E1A" w:rsidRDefault="008B6322" w:rsidP="00F50E1A">
      <w:r>
        <w:rPr>
          <w:noProof/>
        </w:rPr>
        <w:lastRenderedPageBreak/>
        <w:drawing>
          <wp:inline distT="0" distB="0" distL="0" distR="0" wp14:anchorId="5B948CDA" wp14:editId="6CEC6082">
            <wp:extent cx="5572125" cy="3848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72125" cy="3848100"/>
                    </a:xfrm>
                    <a:prstGeom prst="rect">
                      <a:avLst/>
                    </a:prstGeom>
                  </pic:spPr>
                </pic:pic>
              </a:graphicData>
            </a:graphic>
          </wp:inline>
        </w:drawing>
      </w:r>
    </w:p>
    <w:p w14:paraId="6BF7B9A8" w14:textId="77777777" w:rsidR="00F50E1A" w:rsidRPr="008E40D5" w:rsidRDefault="007B501E" w:rsidP="00F50E1A">
      <w:r>
        <w:t xml:space="preserve">Below are </w:t>
      </w:r>
      <w:r w:rsidR="001B6409">
        <w:t xml:space="preserve">PTP Obligation </w:t>
      </w:r>
      <w:r w:rsidR="00F50E1A" w:rsidRPr="008E40D5">
        <w:t>bids grouped by source, sink, TOU, and effective dates</w:t>
      </w:r>
      <w:r>
        <w:t>. N</w:t>
      </w:r>
      <w:r w:rsidR="00881986">
        <w:t xml:space="preserve">ote that </w:t>
      </w:r>
      <w:r w:rsidR="00F50E1A" w:rsidRPr="008E40D5">
        <w:t>bid</w:t>
      </w:r>
      <w:r w:rsidR="00881986">
        <w:t>s</w:t>
      </w:r>
      <w:r w:rsidR="00F50E1A" w:rsidRPr="008E40D5">
        <w:t xml:space="preserve"> </w:t>
      </w:r>
      <w:r w:rsidR="00881986">
        <w:t xml:space="preserve">for the same source, sink, TOU and </w:t>
      </w:r>
      <w:r w:rsidR="00F50E1A" w:rsidRPr="008E40D5">
        <w:t xml:space="preserve">start date </w:t>
      </w:r>
      <w:r w:rsidR="00881986">
        <w:t>are</w:t>
      </w:r>
      <w:r w:rsidR="00F50E1A" w:rsidRPr="008E40D5">
        <w:t xml:space="preserve"> groupe</w:t>
      </w:r>
      <w:r>
        <w:t>d separately based on end dates.</w:t>
      </w:r>
    </w:p>
    <w:p w14:paraId="199A5D5E" w14:textId="77777777" w:rsidR="00F50E1A" w:rsidRPr="002E156B" w:rsidRDefault="00C70F1C" w:rsidP="00F50E1A">
      <w:r>
        <w:rPr>
          <w:noProof/>
        </w:rPr>
        <w:drawing>
          <wp:inline distT="0" distB="0" distL="0" distR="0" wp14:anchorId="433F48D9" wp14:editId="6DDA7CC7">
            <wp:extent cx="5943600" cy="2657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657475"/>
                    </a:xfrm>
                    <a:prstGeom prst="rect">
                      <a:avLst/>
                    </a:prstGeom>
                  </pic:spPr>
                </pic:pic>
              </a:graphicData>
            </a:graphic>
          </wp:inline>
        </w:drawing>
      </w:r>
    </w:p>
    <w:p w14:paraId="51FC9206" w14:textId="77777777" w:rsidR="00F50E1A" w:rsidRDefault="00F50E1A" w:rsidP="00F50E1A">
      <w:pPr>
        <w:ind w:firstLine="720"/>
      </w:pPr>
    </w:p>
    <w:p w14:paraId="617AD6D4" w14:textId="77777777" w:rsidR="00F50E1A" w:rsidRPr="006D0A51" w:rsidRDefault="00881986" w:rsidP="00F50E1A">
      <w:pPr>
        <w:ind w:firstLine="720"/>
      </w:pPr>
      <w:r>
        <w:t xml:space="preserve">APOBLB </w:t>
      </w:r>
      <w:r w:rsidR="00F50E1A" w:rsidRPr="006D0A51">
        <w:t>for Bid 4 in Group 3   =</w:t>
      </w:r>
    </w:p>
    <w:p w14:paraId="40907D60" w14:textId="3CF48BB3" w:rsidR="00F50E1A" w:rsidRPr="006D0A51" w:rsidRDefault="00F50E1A" w:rsidP="00F50E1A">
      <w:pPr>
        <w:ind w:left="720"/>
        <w:jc w:val="both"/>
      </w:pPr>
      <m:oMathPara>
        <m:oMath>
          <m:r>
            <w:rPr>
              <w:rFonts w:ascii="Cambria Math" w:hAnsi="Cambria Math"/>
            </w:rPr>
            <w:lastRenderedPageBreak/>
            <m:t>{</m:t>
          </m:r>
          <m:r>
            <w:rPr>
              <w:rFonts w:ascii="Cambria Math" w:hAnsi="Cambria Math"/>
              <w:highlight w:val="cyan"/>
            </w:rPr>
            <m:t>(Total Hours *(</m:t>
          </m:r>
          <m:func>
            <m:funcPr>
              <m:ctrlPr>
                <w:rPr>
                  <w:rFonts w:ascii="Cambria Math" w:hAnsi="Cambria Math"/>
                  <w:highlight w:val="cyan"/>
                </w:rPr>
              </m:ctrlPr>
            </m:funcPr>
            <m:fName>
              <m:r>
                <w:rPr>
                  <w:rFonts w:ascii="Cambria Math" w:hAnsi="Cambria Math"/>
                  <w:highlight w:val="cyan"/>
                </w:rPr>
                <m:t>max</m:t>
              </m:r>
            </m:fName>
            <m:e>
              <m:d>
                <m:dPr>
                  <m:ctrlPr>
                    <w:rPr>
                      <w:rFonts w:ascii="Cambria Math" w:hAnsi="Cambria Math"/>
                      <w:highlight w:val="cyan"/>
                    </w:rPr>
                  </m:ctrlPr>
                </m:dPr>
                <m:e>
                  <m:r>
                    <w:rPr>
                      <w:rFonts w:ascii="Cambria Math" w:hAnsi="Cambria Math"/>
                      <w:highlight w:val="cyan"/>
                    </w:rPr>
                    <m:t>0,Bid Price</m:t>
                  </m:r>
                </m:e>
              </m:d>
            </m:e>
          </m:func>
          <m:r>
            <w:rPr>
              <w:rFonts w:ascii="Cambria Math" w:hAnsi="Cambria Math"/>
              <w:highlight w:val="cyan"/>
            </w:rPr>
            <m:t xml:space="preserve">}  </m:t>
          </m:r>
          <m:r>
            <m:rPr>
              <m:sty m:val="bi"/>
            </m:rPr>
            <w:rPr>
              <w:rFonts w:ascii="Cambria Math" w:hAnsi="Cambria Math"/>
              <w:highlight w:val="cyan"/>
            </w:rPr>
            <m:t>–</m:t>
          </m:r>
          <m:r>
            <w:rPr>
              <w:rFonts w:ascii="Cambria Math" w:hAnsi="Cambria Math"/>
            </w:rPr>
            <m:t xml:space="preserve"> </m:t>
          </m:r>
          <m:r>
            <w:rPr>
              <w:rFonts w:ascii="Cambria Math" w:hAnsi="Cambria Math"/>
              <w:highlight w:val="yellow"/>
            </w:rPr>
            <m:t>{(Jan Hours*min⁡(0,Jan ACI99,Jan ACP))+ (Feb Hours*min⁡(0,Feb ACI99,Feb ACP))+(Mar Hours*min⁡(0,Mar ACI99, Mar ACP))+(Apr Hours*min⁡(0,Apr ACI99,Apr ACP))+(May Hours*min⁡(0,May ACI99,MayACP))+(Jun Hours*</m:t>
          </m:r>
          <m:func>
            <m:funcPr>
              <m:ctrlPr>
                <w:rPr>
                  <w:rFonts w:ascii="Cambria Math" w:hAnsi="Cambria Math"/>
                </w:rPr>
              </m:ctrlPr>
            </m:funcPr>
            <m:fName>
              <m:r>
                <w:rPr>
                  <w:rFonts w:ascii="Cambria Math" w:hAnsi="Cambria Math"/>
                  <w:highlight w:val="yellow"/>
                </w:rPr>
                <m:t>min</m:t>
              </m:r>
              <m:ctrlPr>
                <w:rPr>
                  <w:rFonts w:ascii="Cambria Math" w:hAnsi="Cambria Math"/>
                  <w:i/>
                </w:rPr>
              </m:ctrlPr>
            </m:fName>
            <m:e>
              <m:d>
                <m:dPr>
                  <m:ctrlPr>
                    <w:rPr>
                      <w:rFonts w:ascii="Cambria Math" w:hAnsi="Cambria Math"/>
                      <w:i/>
                    </w:rPr>
                  </m:ctrlPr>
                </m:dPr>
                <m:e>
                  <m:r>
                    <w:rPr>
                      <w:rFonts w:ascii="Cambria Math" w:hAnsi="Cambria Math"/>
                      <w:highlight w:val="yellow"/>
                    </w:rPr>
                    <m:t>0,Jun ACI99, Jun ACP</m:t>
                  </m:r>
                </m:e>
              </m:d>
            </m:e>
          </m:func>
          <m:r>
            <w:rPr>
              <w:rFonts w:ascii="Cambria Math" w:hAnsi="Cambria Math"/>
              <w:highlight w:val="yellow"/>
            </w:rPr>
            <m:t>)}</m:t>
          </m:r>
          <m:r>
            <w:rPr>
              <w:rFonts w:ascii="Cambria Math" w:hAnsi="Cambria Math"/>
            </w:rPr>
            <m:t xml:space="preserve"> </m:t>
          </m:r>
        </m:oMath>
      </m:oMathPara>
    </w:p>
    <w:p w14:paraId="0226971B" w14:textId="77777777" w:rsidR="00F50E1A" w:rsidRPr="008E40D5" w:rsidRDefault="00881986" w:rsidP="00F50E1A">
      <w:pPr>
        <w:ind w:left="720"/>
        <w:jc w:val="both"/>
      </w:pPr>
      <w:r>
        <w:t>= {(2032 * max(0,2)}  – {</w:t>
      </w:r>
      <w:r w:rsidR="00F50E1A" w:rsidRPr="006D0A51">
        <w:t>(352 * min(0,-2.948,.29)) + (320 * min(0,-2.948,.28)) + (336 * min(0,-2.948,.79)) + (352 * min(0,-2.948,.83)) + (336 * min(0,-2.948,.21)) + (336 * min</w:t>
      </w:r>
      <w:r>
        <w:t>(0,-2.948,-.11))</w:t>
      </w:r>
      <w:r w:rsidR="00F50E1A" w:rsidRPr="008E40D5">
        <w:t xml:space="preserve">} </w:t>
      </w:r>
    </w:p>
    <w:p w14:paraId="1D7FA860" w14:textId="77777777" w:rsidR="00F50E1A" w:rsidRPr="008E40D5" w:rsidRDefault="00881986" w:rsidP="00F50E1A">
      <w:pPr>
        <w:ind w:left="720"/>
        <w:jc w:val="both"/>
      </w:pPr>
      <w:r>
        <w:t xml:space="preserve">= </w:t>
      </w:r>
      <w:r w:rsidR="00F50E1A">
        <w:t>(2032 * 2</w:t>
      </w:r>
      <w:r>
        <w:t>) – {</w:t>
      </w:r>
      <w:r w:rsidR="00F50E1A" w:rsidRPr="008E40D5">
        <w:t>(-1037.696) + (-943.36) + (-990.528) + (-1037</w:t>
      </w:r>
      <w:r>
        <w:t>.696) + (-990.528) + (-990.528)</w:t>
      </w:r>
      <w:r w:rsidR="00F50E1A" w:rsidRPr="008E40D5">
        <w:t xml:space="preserve">} </w:t>
      </w:r>
      <w:r w:rsidR="00F50E1A">
        <w:t xml:space="preserve">    </w:t>
      </w:r>
    </w:p>
    <w:p w14:paraId="456B1BE1" w14:textId="77777777" w:rsidR="00F50E1A" w:rsidRPr="008E40D5" w:rsidRDefault="00881986" w:rsidP="00F50E1A">
      <w:pPr>
        <w:ind w:left="720"/>
      </w:pPr>
      <w:r>
        <w:t>= 4064 – (</w:t>
      </w:r>
      <w:r w:rsidR="00F50E1A" w:rsidRPr="008E40D5">
        <w:t xml:space="preserve">- 5990.336) </w:t>
      </w:r>
    </w:p>
    <w:p w14:paraId="39196FA3" w14:textId="77777777" w:rsidR="00F50E1A" w:rsidRPr="008E40D5" w:rsidRDefault="00881986" w:rsidP="00F50E1A">
      <w:pPr>
        <w:ind w:left="720"/>
      </w:pPr>
      <w:r>
        <w:t xml:space="preserve">= </w:t>
      </w:r>
      <w:r w:rsidR="00F50E1A" w:rsidRPr="008E40D5">
        <w:t xml:space="preserve">4064 + 5990.336 </w:t>
      </w:r>
    </w:p>
    <w:p w14:paraId="1FDCA572" w14:textId="77777777" w:rsidR="00F50E1A" w:rsidRPr="008E40D5" w:rsidRDefault="00881986" w:rsidP="00F50E1A">
      <w:pPr>
        <w:ind w:left="720"/>
      </w:pPr>
      <w:r>
        <w:t xml:space="preserve">= </w:t>
      </w:r>
      <w:r w:rsidR="00F50E1A" w:rsidRPr="008E40D5">
        <w:t>10054.336</w:t>
      </w:r>
    </w:p>
    <w:p w14:paraId="6EC3C919" w14:textId="77777777" w:rsidR="00F50E1A" w:rsidRPr="008E40D5" w:rsidRDefault="00F50E1A" w:rsidP="00F50E1A">
      <w:r w:rsidRPr="008E40D5">
        <w:t xml:space="preserve">Each </w:t>
      </w:r>
      <w:r w:rsidR="00EE0801">
        <w:t xml:space="preserve">multi-month </w:t>
      </w:r>
      <w:r w:rsidRPr="008E40D5">
        <w:t>bid’s APOBLB is computed using the individual ACI99</w:t>
      </w:r>
      <w:r w:rsidR="001B6409">
        <w:t xml:space="preserve"> and</w:t>
      </w:r>
      <w:r w:rsidRPr="008E40D5">
        <w:t xml:space="preserve"> ACP coefficients for each month of the effective period of the bid.</w:t>
      </w:r>
    </w:p>
    <w:p w14:paraId="6806B73F" w14:textId="77777777" w:rsidR="001B6409" w:rsidRDefault="00F50E1A" w:rsidP="00F50E1A">
      <w:r w:rsidRPr="008E40D5">
        <w:t xml:space="preserve">The next step is to reverse sort on APOBLB in each group, and then aggregate the total MW in each group. Multiply the aggregated bid MW times the sorted APOBLB for each line to get the individual bid exposures. The max exposure for all </w:t>
      </w:r>
      <w:r w:rsidR="001B6409">
        <w:t>PTP Obligation</w:t>
      </w:r>
      <w:r w:rsidRPr="008E40D5">
        <w:t xml:space="preserve"> bids is the sum</w:t>
      </w:r>
      <w:r w:rsidR="009970E0">
        <w:t xml:space="preserve"> of the maximum value for each </w:t>
      </w:r>
      <w:r w:rsidRPr="009970E0">
        <w:rPr>
          <w:b/>
        </w:rPr>
        <w:t>group</w:t>
      </w:r>
      <w:r w:rsidRPr="008E40D5">
        <w:t>, not the sum of the i</w:t>
      </w:r>
      <w:r w:rsidR="001B6409">
        <w:t xml:space="preserve">ndividual bid exposures. </w:t>
      </w:r>
    </w:p>
    <w:p w14:paraId="64B0CCC4" w14:textId="77777777" w:rsidR="00F50E1A" w:rsidRPr="001B6409" w:rsidRDefault="001B6409" w:rsidP="00F50E1A">
      <w:pPr>
        <w:rPr>
          <w:i/>
        </w:rPr>
      </w:pPr>
      <w:r w:rsidRPr="001B6409">
        <w:rPr>
          <w:i/>
        </w:rPr>
        <w:t xml:space="preserve">Note: </w:t>
      </w:r>
      <w:r w:rsidR="00F50E1A" w:rsidRPr="001B6409">
        <w:rPr>
          <w:i/>
        </w:rPr>
        <w:t xml:space="preserve">in the case where the APOBLB is the same (as in negatively priced </w:t>
      </w:r>
      <w:r>
        <w:rPr>
          <w:i/>
        </w:rPr>
        <w:t>PTP Obligation</w:t>
      </w:r>
      <w:r w:rsidR="00F50E1A" w:rsidRPr="001B6409">
        <w:rPr>
          <w:i/>
        </w:rPr>
        <w:t xml:space="preserve"> bids within the same TOU), the sub-sort is based on descending order of the bid price (highest price to lowest price), then on descending order of bid MW (highest MW bid to least MW).</w:t>
      </w:r>
    </w:p>
    <w:p w14:paraId="6DAC7615" w14:textId="77777777" w:rsidR="00F50E1A" w:rsidRPr="007B34B2" w:rsidRDefault="00C70F1C" w:rsidP="00F50E1A">
      <w:r>
        <w:rPr>
          <w:noProof/>
        </w:rPr>
        <w:drawing>
          <wp:inline distT="0" distB="0" distL="0" distR="0" wp14:anchorId="71F1D739" wp14:editId="65DAAC80">
            <wp:extent cx="5943600" cy="2479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479675"/>
                    </a:xfrm>
                    <a:prstGeom prst="rect">
                      <a:avLst/>
                    </a:prstGeom>
                  </pic:spPr>
                </pic:pic>
              </a:graphicData>
            </a:graphic>
          </wp:inline>
        </w:drawing>
      </w:r>
    </w:p>
    <w:p w14:paraId="0C3AFFA4" w14:textId="77777777" w:rsidR="00F50E1A" w:rsidRPr="004A7D44" w:rsidRDefault="00F50E1A" w:rsidP="00F50E1A">
      <w:pPr>
        <w:rPr>
          <w:rFonts w:cs="Calibri"/>
        </w:rPr>
      </w:pPr>
    </w:p>
    <w:p w14:paraId="4E6DDB5E" w14:textId="77777777" w:rsidR="009970E0" w:rsidRDefault="009970E0" w:rsidP="00F50E1A">
      <w:pPr>
        <w:rPr>
          <w:rFonts w:cs="Calibri"/>
        </w:rPr>
      </w:pPr>
    </w:p>
    <w:p w14:paraId="6785861B" w14:textId="0471748A" w:rsidR="009970E0" w:rsidRPr="002C67C8" w:rsidRDefault="009970E0" w:rsidP="00F50E1A">
      <w:pPr>
        <w:rPr>
          <w:rFonts w:cs="Calibri"/>
          <w:b/>
          <w:sz w:val="24"/>
          <w:szCs w:val="24"/>
        </w:rPr>
      </w:pPr>
      <w:bookmarkStart w:id="5" w:name="Example2ExposCalcPTPObl24hour"/>
      <w:r w:rsidRPr="002C67C8">
        <w:rPr>
          <w:rFonts w:cs="Calibri"/>
          <w:b/>
          <w:sz w:val="24"/>
          <w:szCs w:val="24"/>
        </w:rPr>
        <w:lastRenderedPageBreak/>
        <w:t xml:space="preserve">Example 2: Exposure calculation for pre-auction screening for PTP Obligation bids with 24-hour </w:t>
      </w:r>
      <w:r w:rsidR="00DC7C09">
        <w:rPr>
          <w:rFonts w:cs="Calibri"/>
          <w:b/>
          <w:sz w:val="24"/>
          <w:szCs w:val="24"/>
        </w:rPr>
        <w:t>Time of Use (</w:t>
      </w:r>
      <w:r w:rsidRPr="002C67C8">
        <w:rPr>
          <w:rFonts w:cs="Calibri"/>
          <w:b/>
          <w:sz w:val="24"/>
          <w:szCs w:val="24"/>
        </w:rPr>
        <w:t>TOU</w:t>
      </w:r>
      <w:r w:rsidR="00DC7C09">
        <w:rPr>
          <w:rFonts w:cs="Calibri"/>
          <w:b/>
          <w:sz w:val="24"/>
          <w:szCs w:val="24"/>
        </w:rPr>
        <w:t>)</w:t>
      </w:r>
      <w:r w:rsidRPr="002C67C8">
        <w:rPr>
          <w:rFonts w:cs="Calibri"/>
          <w:b/>
          <w:sz w:val="24"/>
          <w:szCs w:val="24"/>
        </w:rPr>
        <w:t xml:space="preserve"> in a Monthly Auction</w:t>
      </w:r>
    </w:p>
    <w:bookmarkEnd w:id="5"/>
    <w:p w14:paraId="0876954D" w14:textId="77777777" w:rsidR="002C67C8" w:rsidRPr="004A7D44" w:rsidRDefault="002C67C8" w:rsidP="002C67C8">
      <w:pPr>
        <w:rPr>
          <w:rFonts w:cs="Calibri"/>
        </w:rPr>
      </w:pPr>
      <w:r>
        <w:rPr>
          <w:rFonts w:cs="Calibri"/>
        </w:rPr>
        <w:t>The following table contains d</w:t>
      </w:r>
      <w:r w:rsidRPr="004A7D44">
        <w:rPr>
          <w:rFonts w:cs="Calibri"/>
        </w:rPr>
        <w:t>ata from the downloaded Credit Coefficient file for the auction and the corresponding hours in each TOU:</w:t>
      </w:r>
    </w:p>
    <w:p w14:paraId="484A5622" w14:textId="77777777" w:rsidR="00F50E1A" w:rsidRPr="004A7D44" w:rsidRDefault="002C67C8" w:rsidP="00C7422B">
      <w:pPr>
        <w:ind w:firstLine="720"/>
        <w:rPr>
          <w:rFonts w:cs="Calibri"/>
        </w:rPr>
      </w:pPr>
      <w:r>
        <w:rPr>
          <w:noProof/>
        </w:rPr>
        <w:drawing>
          <wp:inline distT="0" distB="0" distL="0" distR="0" wp14:anchorId="1118A204" wp14:editId="790C1C10">
            <wp:extent cx="4791075" cy="1057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1075" cy="1057275"/>
                    </a:xfrm>
                    <a:prstGeom prst="rect">
                      <a:avLst/>
                    </a:prstGeom>
                  </pic:spPr>
                </pic:pic>
              </a:graphicData>
            </a:graphic>
          </wp:inline>
        </w:drawing>
      </w:r>
    </w:p>
    <w:p w14:paraId="66D721CD" w14:textId="77777777" w:rsidR="00F50E1A" w:rsidRPr="008E40D5" w:rsidRDefault="00C7422B" w:rsidP="00F50E1A">
      <w:r>
        <w:t xml:space="preserve">Below are </w:t>
      </w:r>
      <w:r w:rsidR="006D0A51">
        <w:t>PTP Obligation</w:t>
      </w:r>
      <w:r w:rsidR="00F50E1A" w:rsidRPr="008E40D5">
        <w:rPr>
          <w:b/>
        </w:rPr>
        <w:t xml:space="preserve"> </w:t>
      </w:r>
      <w:r w:rsidR="006D0A51">
        <w:t>bids grouped by</w:t>
      </w:r>
      <w:r w:rsidR="00F50E1A" w:rsidRPr="008E40D5">
        <w:t xml:space="preserve"> source, sink, TOU and effective date</w:t>
      </w:r>
      <w:r>
        <w:t xml:space="preserve">s, with APOBLB computed per bid. </w:t>
      </w:r>
      <w:r w:rsidR="00F50E1A">
        <w:t>N</w:t>
      </w:r>
      <w:r w:rsidR="00F50E1A" w:rsidRPr="008E40D5">
        <w:t>ote that the 24-hour bid APOBLB is a com</w:t>
      </w:r>
      <w:r w:rsidR="006D0A51">
        <w:t xml:space="preserve">posite of each of the TOU hours, </w:t>
      </w:r>
      <w:r w:rsidR="00F50E1A" w:rsidRPr="008E40D5">
        <w:t>ACI99</w:t>
      </w:r>
      <w:r w:rsidR="006D0A51">
        <w:t xml:space="preserve"> and</w:t>
      </w:r>
      <w:r>
        <w:t xml:space="preserve"> ACP values.</w:t>
      </w:r>
    </w:p>
    <w:p w14:paraId="6638B24D" w14:textId="77777777" w:rsidR="00F50E1A" w:rsidRPr="008E5DA1" w:rsidRDefault="00C7422B" w:rsidP="00F50E1A">
      <w:r>
        <w:rPr>
          <w:noProof/>
        </w:rPr>
        <w:drawing>
          <wp:inline distT="0" distB="0" distL="0" distR="0" wp14:anchorId="609D7CE2" wp14:editId="14CCD9AC">
            <wp:extent cx="5448300" cy="2781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8300" cy="2781300"/>
                    </a:xfrm>
                    <a:prstGeom prst="rect">
                      <a:avLst/>
                    </a:prstGeom>
                  </pic:spPr>
                </pic:pic>
              </a:graphicData>
            </a:graphic>
          </wp:inline>
        </w:drawing>
      </w:r>
    </w:p>
    <w:p w14:paraId="281D2557" w14:textId="77777777" w:rsidR="00F50E1A" w:rsidRPr="008E40D5" w:rsidRDefault="00AF2C9C" w:rsidP="00F50E1A">
      <w:pPr>
        <w:ind w:firstLine="720"/>
      </w:pPr>
      <w:r>
        <w:t xml:space="preserve">APOBLB </w:t>
      </w:r>
      <w:r w:rsidR="00F50E1A" w:rsidRPr="008E40D5">
        <w:t>for</w:t>
      </w:r>
      <w:r w:rsidR="003357B4">
        <w:t xml:space="preserve"> the</w:t>
      </w:r>
      <w:r w:rsidR="00F50E1A" w:rsidRPr="008E40D5">
        <w:t xml:space="preserve"> </w:t>
      </w:r>
      <w:r w:rsidR="00F50E1A">
        <w:t xml:space="preserve">first line in the above table </w:t>
      </w:r>
      <w:r w:rsidR="00F50E1A" w:rsidRPr="008E40D5">
        <w:t xml:space="preserve">  =</w:t>
      </w:r>
    </w:p>
    <w:p w14:paraId="012E4DA1" w14:textId="77777777" w:rsidR="00F50E1A" w:rsidRPr="008E40D5" w:rsidRDefault="00F50E1A" w:rsidP="00F50E1A">
      <w:pPr>
        <w:ind w:left="720"/>
      </w:pPr>
      <m:oMath>
        <m:r>
          <w:rPr>
            <w:rFonts w:ascii="Cambria Math" w:hAnsi="Cambria Math"/>
          </w:rPr>
          <m:t>{</m:t>
        </m:r>
        <m:r>
          <w:rPr>
            <w:rFonts w:ascii="Cambria Math" w:hAnsi="Cambria Math"/>
            <w:highlight w:val="cyan"/>
          </w:rPr>
          <m:t>(Total Hours *(</m:t>
        </m:r>
        <m:func>
          <m:funcPr>
            <m:ctrlPr>
              <w:rPr>
                <w:rFonts w:ascii="Cambria Math" w:hAnsi="Cambria Math"/>
                <w:highlight w:val="cyan"/>
              </w:rPr>
            </m:ctrlPr>
          </m:funcPr>
          <m:fName>
            <m:r>
              <w:rPr>
                <w:rFonts w:ascii="Cambria Math" w:hAnsi="Cambria Math"/>
                <w:highlight w:val="cyan"/>
              </w:rPr>
              <m:t>max</m:t>
            </m:r>
          </m:fName>
          <m:e>
            <m:d>
              <m:dPr>
                <m:ctrlPr>
                  <w:rPr>
                    <w:rFonts w:ascii="Cambria Math" w:hAnsi="Cambria Math"/>
                    <w:highlight w:val="cyan"/>
                  </w:rPr>
                </m:ctrlPr>
              </m:dPr>
              <m:e>
                <m:r>
                  <w:rPr>
                    <w:rFonts w:ascii="Cambria Math" w:hAnsi="Cambria Math"/>
                    <w:highlight w:val="cyan"/>
                  </w:rPr>
                  <m:t>0,Bid Price</m:t>
                </m:r>
              </m:e>
            </m:d>
          </m:e>
        </m:func>
        <m:r>
          <w:rPr>
            <w:rFonts w:ascii="Cambria Math" w:hAnsi="Cambria Math"/>
            <w:highlight w:val="cyan"/>
          </w:rPr>
          <m:t xml:space="preserve">}  </m:t>
        </m:r>
        <m:r>
          <m:rPr>
            <m:sty m:val="bi"/>
          </m:rPr>
          <w:rPr>
            <w:rFonts w:ascii="Cambria Math" w:hAnsi="Cambria Math"/>
            <w:highlight w:val="cyan"/>
          </w:rPr>
          <m:t>–</m:t>
        </m:r>
        <m:r>
          <w:rPr>
            <w:rFonts w:ascii="Cambria Math" w:hAnsi="Cambria Math"/>
          </w:rPr>
          <m:t xml:space="preserve"> </m:t>
        </m:r>
        <m:r>
          <w:rPr>
            <w:rFonts w:ascii="Cambria Math" w:hAnsi="Cambria Math"/>
            <w:highlight w:val="yellow"/>
          </w:rPr>
          <m:t>{(PWD Hours*min⁡(0,PWD ACI99,PWD ACP))+ (PWE Hours*min⁡(0, PWE ACI99, PWE ACP))+(OP Hours*min⁡(0,OP ACI99,  OP ACP))}</m:t>
        </m:r>
        <m:r>
          <w:rPr>
            <w:rFonts w:ascii="Cambria Math" w:hAnsi="Cambria Math"/>
          </w:rPr>
          <m:t xml:space="preserve">  </m:t>
        </m:r>
      </m:oMath>
      <w:r w:rsidRPr="008E40D5">
        <w:t xml:space="preserve"> </w:t>
      </w:r>
    </w:p>
    <w:p w14:paraId="6864D6DA" w14:textId="77777777" w:rsidR="00F50E1A" w:rsidRPr="008E40D5" w:rsidRDefault="00F50E1A" w:rsidP="00F50E1A">
      <w:pPr>
        <w:ind w:left="720"/>
      </w:pPr>
      <w:r w:rsidRPr="008E40D5">
        <w:t xml:space="preserve">= </w:t>
      </w:r>
      <w:r>
        <w:t>{</w:t>
      </w:r>
      <w:r w:rsidRPr="008E40D5">
        <w:t>(</w:t>
      </w:r>
      <w:r>
        <w:t>721</w:t>
      </w:r>
      <w:r w:rsidRPr="008E40D5">
        <w:t xml:space="preserve"> * </w:t>
      </w:r>
      <w:r>
        <w:t>max(0,0.1</w:t>
      </w:r>
      <w:r w:rsidRPr="008E40D5">
        <w:t>)</w:t>
      </w:r>
      <w:r>
        <w:t xml:space="preserve">} </w:t>
      </w:r>
      <w:r w:rsidR="00881986">
        <w:t xml:space="preserve"> – {</w:t>
      </w:r>
      <w:r w:rsidRPr="008E40D5">
        <w:t>(</w:t>
      </w:r>
      <w:r>
        <w:t>320</w:t>
      </w:r>
      <w:r w:rsidRPr="008E40D5">
        <w:t xml:space="preserve"> * min(0,</w:t>
      </w:r>
      <w:r>
        <w:t xml:space="preserve"> </w:t>
      </w:r>
      <w:r w:rsidRPr="008E40D5">
        <w:t>-2.</w:t>
      </w:r>
      <w:r>
        <w:t>948</w:t>
      </w:r>
      <w:r w:rsidRPr="008E40D5">
        <w:t>,</w:t>
      </w:r>
      <w:r>
        <w:t xml:space="preserve"> .31)) + (160</w:t>
      </w:r>
      <w:r w:rsidRPr="008E40D5">
        <w:t xml:space="preserve"> * min(0,-</w:t>
      </w:r>
      <w:r>
        <w:t>1.872, .48</w:t>
      </w:r>
      <w:r w:rsidRPr="008E40D5">
        <w:t>)) + (</w:t>
      </w:r>
      <w:r>
        <w:t>241</w:t>
      </w:r>
      <w:r w:rsidRPr="008E40D5">
        <w:t xml:space="preserve"> * min(0,</w:t>
      </w:r>
      <w:r>
        <w:t xml:space="preserve"> </w:t>
      </w:r>
      <w:r w:rsidRPr="008E40D5">
        <w:t>-</w:t>
      </w:r>
      <w:r>
        <w:t>0.107</w:t>
      </w:r>
      <w:r w:rsidRPr="008E40D5">
        <w:t>,</w:t>
      </w:r>
      <w:r>
        <w:t xml:space="preserve"> 2.08</w:t>
      </w:r>
      <w:r w:rsidR="00881986">
        <w:t>))</w:t>
      </w:r>
      <w:r>
        <w:t xml:space="preserve">} </w:t>
      </w:r>
    </w:p>
    <w:p w14:paraId="7F936054" w14:textId="77777777" w:rsidR="00F50E1A" w:rsidRPr="008E40D5" w:rsidRDefault="00881986" w:rsidP="00F50E1A">
      <w:pPr>
        <w:ind w:left="720"/>
      </w:pPr>
      <w:r>
        <w:t xml:space="preserve">= </w:t>
      </w:r>
      <w:r w:rsidR="00F50E1A">
        <w:t>(721 * .1</w:t>
      </w:r>
      <w:r>
        <w:t>) – {</w:t>
      </w:r>
      <w:r w:rsidR="00F50E1A" w:rsidRPr="008E40D5">
        <w:t>(-</w:t>
      </w:r>
      <w:r w:rsidR="00F50E1A">
        <w:t>943.36</w:t>
      </w:r>
      <w:r w:rsidR="00F50E1A" w:rsidRPr="008E40D5">
        <w:t>) + (-</w:t>
      </w:r>
      <w:r w:rsidR="00F50E1A">
        <w:t>299.52</w:t>
      </w:r>
      <w:r w:rsidR="00F50E1A" w:rsidRPr="008E40D5">
        <w:t>) + (-</w:t>
      </w:r>
      <w:r w:rsidR="00F50E1A">
        <w:t>25.787</w:t>
      </w:r>
      <w:r>
        <w:t>)</w:t>
      </w:r>
      <w:r w:rsidR="00F50E1A" w:rsidRPr="008E40D5">
        <w:t>}</w:t>
      </w:r>
    </w:p>
    <w:p w14:paraId="53E37AD7" w14:textId="77777777" w:rsidR="00F50E1A" w:rsidRPr="008E40D5" w:rsidRDefault="00F50E1A" w:rsidP="00F50E1A">
      <w:pPr>
        <w:ind w:left="720"/>
      </w:pPr>
      <w:r w:rsidRPr="008E40D5">
        <w:t xml:space="preserve">= </w:t>
      </w:r>
      <w:r>
        <w:t>72.1</w:t>
      </w:r>
      <w:r w:rsidRPr="008E40D5">
        <w:t xml:space="preserve"> – (- </w:t>
      </w:r>
      <w:r>
        <w:t>1268.667</w:t>
      </w:r>
      <w:r w:rsidRPr="008E40D5">
        <w:t xml:space="preserve">) </w:t>
      </w:r>
    </w:p>
    <w:p w14:paraId="58EC5B8D" w14:textId="77777777" w:rsidR="00F50E1A" w:rsidRPr="008E40D5" w:rsidRDefault="00881986" w:rsidP="00F50E1A">
      <w:pPr>
        <w:ind w:left="720"/>
      </w:pPr>
      <w:r>
        <w:t xml:space="preserve">= </w:t>
      </w:r>
      <w:r w:rsidR="002B4F79">
        <w:t>72.1</w:t>
      </w:r>
      <w:r w:rsidR="00F50E1A" w:rsidRPr="008E40D5">
        <w:t xml:space="preserve"> + </w:t>
      </w:r>
      <w:r w:rsidR="00F50E1A">
        <w:t>1268.667</w:t>
      </w:r>
    </w:p>
    <w:p w14:paraId="7E811B11" w14:textId="77777777" w:rsidR="00F50E1A" w:rsidRDefault="00F50E1A" w:rsidP="00F50E1A">
      <w:pPr>
        <w:ind w:left="720"/>
      </w:pPr>
      <w:r w:rsidRPr="008E40D5">
        <w:t xml:space="preserve">= </w:t>
      </w:r>
      <w:r>
        <w:t>1340.77</w:t>
      </w:r>
    </w:p>
    <w:p w14:paraId="39F85C21" w14:textId="77777777" w:rsidR="00F50E1A" w:rsidRDefault="00F50E1A" w:rsidP="00F50E1A">
      <w:pPr>
        <w:rPr>
          <w:i/>
        </w:rPr>
      </w:pPr>
      <w:r w:rsidRPr="008E40D5">
        <w:lastRenderedPageBreak/>
        <w:t xml:space="preserve">Sort </w:t>
      </w:r>
      <w:r w:rsidR="00753E7B">
        <w:t xml:space="preserve">each bid based on APOBLB. </w:t>
      </w:r>
      <w:r w:rsidR="00753E7B" w:rsidRPr="00753E7B">
        <w:rPr>
          <w:i/>
        </w:rPr>
        <w:t>Note:</w:t>
      </w:r>
      <w:r w:rsidRPr="00753E7B">
        <w:rPr>
          <w:i/>
        </w:rPr>
        <w:t xml:space="preserve"> in the case where the APOBLB is the same (as in negatively priced </w:t>
      </w:r>
      <w:r w:rsidR="00D2412A">
        <w:rPr>
          <w:i/>
        </w:rPr>
        <w:t>PTP Obligation</w:t>
      </w:r>
      <w:r w:rsidRPr="00753E7B">
        <w:rPr>
          <w:i/>
        </w:rPr>
        <w:t xml:space="preserve"> bids within the same TOU), the sub-sort is based on descending order of the bid price (highest price to lowest price)</w:t>
      </w:r>
      <w:r w:rsidR="00C70F1C">
        <w:rPr>
          <w:i/>
        </w:rPr>
        <w:t>, and then MW largest to smallest</w:t>
      </w:r>
      <w:r w:rsidRPr="00753E7B">
        <w:rPr>
          <w:i/>
        </w:rPr>
        <w:t>.</w:t>
      </w:r>
    </w:p>
    <w:p w14:paraId="07F328B2" w14:textId="77777777" w:rsidR="00C70F1C" w:rsidRPr="00753E7B" w:rsidRDefault="00C70F1C" w:rsidP="00F50E1A">
      <w:pPr>
        <w:rPr>
          <w:i/>
        </w:rPr>
      </w:pPr>
      <w:r>
        <w:rPr>
          <w:noProof/>
        </w:rPr>
        <w:drawing>
          <wp:inline distT="0" distB="0" distL="0" distR="0" wp14:anchorId="11C760B9" wp14:editId="28D64664">
            <wp:extent cx="5943600" cy="282956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829560"/>
                    </a:xfrm>
                    <a:prstGeom prst="rect">
                      <a:avLst/>
                    </a:prstGeom>
                  </pic:spPr>
                </pic:pic>
              </a:graphicData>
            </a:graphic>
          </wp:inline>
        </w:drawing>
      </w:r>
    </w:p>
    <w:p w14:paraId="166CEBD0" w14:textId="77777777" w:rsidR="00A609D5" w:rsidRPr="00A609D5" w:rsidRDefault="00A609D5" w:rsidP="00F50E1A">
      <w:pPr>
        <w:tabs>
          <w:tab w:val="num" w:pos="3600"/>
        </w:tabs>
        <w:spacing w:before="240" w:after="240" w:line="240" w:lineRule="auto"/>
        <w:rPr>
          <w:rFonts w:cs="Calibri"/>
          <w:b/>
          <w:color w:val="000000"/>
          <w:sz w:val="24"/>
          <w:szCs w:val="24"/>
          <w:u w:val="single"/>
        </w:rPr>
      </w:pPr>
      <w:bookmarkStart w:id="6" w:name="PTPOptionBidsExposure"/>
      <w:r w:rsidRPr="00A609D5">
        <w:rPr>
          <w:rFonts w:cs="Calibri"/>
          <w:b/>
          <w:color w:val="000000"/>
          <w:sz w:val="24"/>
          <w:szCs w:val="24"/>
          <w:u w:val="single"/>
        </w:rPr>
        <w:t>PTP Option Bids Exposure</w:t>
      </w:r>
    </w:p>
    <w:bookmarkEnd w:id="6"/>
    <w:p w14:paraId="6B9F5869" w14:textId="77777777" w:rsidR="00F50E1A" w:rsidRPr="008E40D5" w:rsidRDefault="000E58A3" w:rsidP="00F50E1A">
      <w:pPr>
        <w:tabs>
          <w:tab w:val="num" w:pos="3600"/>
        </w:tabs>
        <w:spacing w:before="240" w:after="240" w:line="240" w:lineRule="auto"/>
      </w:pPr>
      <w:r>
        <w:t>PTP Option bids do not utilize credit coefficients in calculating credit exposure. To calculate the credit exposure for Option bids, first s</w:t>
      </w:r>
      <w:r w:rsidR="00F50E1A" w:rsidRPr="008E40D5">
        <w:t xml:space="preserve">ort </w:t>
      </w:r>
      <w:r>
        <w:t>the O</w:t>
      </w:r>
      <w:r w:rsidR="00F50E1A" w:rsidRPr="008E40D5">
        <w:t>ption bids in descending order of bid prices. Create a multiple segment bid curve in such a way that each segment has MW quantity and bid price as:</w:t>
      </w:r>
    </w:p>
    <w:p w14:paraId="5B0FA9C8" w14:textId="77777777" w:rsidR="00F50E1A" w:rsidRPr="00F50E1A" w:rsidRDefault="00752003" w:rsidP="00F50E1A">
      <w:pPr>
        <w:jc w:val="center"/>
      </w:pPr>
      <m:oMathPara>
        <m:oMath>
          <m:d>
            <m:dPr>
              <m:ctrlPr>
                <w:rPr>
                  <w:rFonts w:ascii="Cambria Math" w:hAnsi="Cambria Math"/>
                </w:rPr>
              </m:ctrlPr>
            </m:dPr>
            <m:e>
              <m:sSub>
                <m:sSubPr>
                  <m:ctrlPr>
                    <w:rPr>
                      <w:rFonts w:ascii="Cambria Math" w:eastAsia="Calibri" w:hAnsi="Cambria Math"/>
                    </w:rPr>
                  </m:ctrlPr>
                </m:sSubPr>
                <m:e>
                  <m:r>
                    <w:rPr>
                      <w:rFonts w:ascii="Cambria Math" w:hAnsi="Cambria Math"/>
                    </w:rPr>
                    <m:t>MW</m:t>
                  </m:r>
                </m:e>
                <m:sub>
                  <m:r>
                    <w:rPr>
                      <w:rFonts w:ascii="Cambria Math" w:hAnsi="Cambria Math"/>
                    </w:rPr>
                    <m:t>i</m:t>
                  </m:r>
                </m:sub>
              </m:sSub>
              <m:r>
                <w:rPr>
                  <w:rFonts w:ascii="Cambria Math" w:hAnsi="Cambria Math"/>
                </w:rPr>
                <m:t>,</m:t>
              </m:r>
              <m:sSub>
                <m:sSubPr>
                  <m:ctrlPr>
                    <w:rPr>
                      <w:rFonts w:ascii="Cambria Math" w:eastAsia="Calibri" w:hAnsi="Cambria Math"/>
                    </w:rPr>
                  </m:ctrlPr>
                </m:sSubPr>
                <m:e>
                  <m:r>
                    <w:rPr>
                      <w:rFonts w:ascii="Cambria Math" w:hAnsi="Cambria Math"/>
                    </w:rPr>
                    <m:t>Price</m:t>
                  </m:r>
                </m:e>
                <m:sub>
                  <m:r>
                    <w:rPr>
                      <w:rFonts w:ascii="Cambria Math" w:hAnsi="Cambria Math"/>
                    </w:rPr>
                    <m:t>i</m:t>
                  </m:r>
                </m:sub>
              </m:sSub>
            </m:e>
          </m:d>
          <m:r>
            <w:rPr>
              <w:rFonts w:ascii="Cambria Math" w:hAnsi="Cambria Math"/>
            </w:rPr>
            <m:t>=</m:t>
          </m:r>
          <m:nary>
            <m:naryPr>
              <m:chr m:val="∑"/>
              <m:limLoc m:val="undOvr"/>
              <m:ctrlPr>
                <w:rPr>
                  <w:rFonts w:ascii="Cambria Math" w:eastAsia="Calibri" w:hAnsi="Cambria Math"/>
                </w:rPr>
              </m:ctrlPr>
            </m:naryPr>
            <m:sub>
              <m:r>
                <w:rPr>
                  <w:rFonts w:ascii="Cambria Math" w:hAnsi="Cambria Math"/>
                </w:rPr>
                <m:t>r=0</m:t>
              </m:r>
            </m:sub>
            <m:sup>
              <m:r>
                <w:rPr>
                  <w:rFonts w:ascii="Cambria Math" w:hAnsi="Cambria Math"/>
                </w:rPr>
                <m:t>i</m:t>
              </m:r>
            </m:sup>
            <m:e>
              <m:sSub>
                <m:sSubPr>
                  <m:ctrlPr>
                    <w:rPr>
                      <w:rFonts w:ascii="Cambria Math" w:eastAsia="Calibri" w:hAnsi="Cambria Math"/>
                    </w:rPr>
                  </m:ctrlPr>
                </m:sSubPr>
                <m:e>
                  <m:r>
                    <w:rPr>
                      <w:rFonts w:ascii="Cambria Math" w:hAnsi="Cambria Math"/>
                    </w:rPr>
                    <m:t>MW</m:t>
                  </m:r>
                </m:e>
                <m:sub>
                  <m:r>
                    <w:rPr>
                      <w:rFonts w:ascii="Cambria Math" w:hAnsi="Cambria Math"/>
                    </w:rPr>
                    <m:t>r</m:t>
                  </m:r>
                </m:sub>
              </m:sSub>
            </m:e>
          </m:nary>
          <m:r>
            <w:rPr>
              <w:rFonts w:ascii="Cambria Math" w:hAnsi="Cambria Math"/>
            </w:rPr>
            <m:t>,</m:t>
          </m:r>
          <m:sSub>
            <m:sSubPr>
              <m:ctrlPr>
                <w:rPr>
                  <w:rFonts w:ascii="Cambria Math" w:eastAsia="Calibri" w:hAnsi="Cambria Math"/>
                </w:rPr>
              </m:ctrlPr>
            </m:sSubPr>
            <m:e>
              <m:r>
                <w:rPr>
                  <w:rFonts w:ascii="Cambria Math" w:hAnsi="Cambria Math"/>
                </w:rPr>
                <m:t>Price</m:t>
              </m:r>
            </m:e>
            <m:sub>
              <m:r>
                <w:rPr>
                  <w:rFonts w:ascii="Cambria Math" w:hAnsi="Cambria Math"/>
                </w:rPr>
                <m:t>i</m:t>
              </m:r>
            </m:sub>
          </m:sSub>
        </m:oMath>
      </m:oMathPara>
    </w:p>
    <w:p w14:paraId="02F13E65" w14:textId="77777777" w:rsidR="00F50E1A" w:rsidRPr="008E40D5" w:rsidRDefault="00F50E1A" w:rsidP="00F50E1A">
      <w:pPr>
        <w:rPr>
          <w:i/>
          <w:vertAlign w:val="subscript"/>
        </w:rPr>
      </w:pPr>
      <w:r w:rsidRPr="008E40D5">
        <w:t>where</w:t>
      </w:r>
      <w:r w:rsidRPr="008E40D5">
        <w:tab/>
        <w:t xml:space="preserve"> i = segment number, and MW</w:t>
      </w:r>
      <w:r w:rsidRPr="008E40D5">
        <w:rPr>
          <w:vertAlign w:val="subscript"/>
        </w:rPr>
        <w:t>i</w:t>
      </w:r>
      <w:r w:rsidRPr="008E40D5">
        <w:t xml:space="preserve"> </w:t>
      </w:r>
      <w:r w:rsidRPr="008E40D5">
        <w:rPr>
          <w:rFonts w:cs="Arial"/>
        </w:rPr>
        <w:t>≥</w:t>
      </w:r>
      <w:r w:rsidRPr="008E40D5">
        <w:t xml:space="preserve"> MW</w:t>
      </w:r>
      <w:r w:rsidRPr="008E40D5">
        <w:rPr>
          <w:vertAlign w:val="subscript"/>
        </w:rPr>
        <w:t xml:space="preserve">i-1 </w:t>
      </w:r>
      <w:r w:rsidRPr="008E40D5">
        <w:t xml:space="preserve">and </w:t>
      </w:r>
      <w:r w:rsidRPr="008E40D5">
        <w:rPr>
          <w:i/>
        </w:rPr>
        <w:t>Price</w:t>
      </w:r>
      <w:r w:rsidRPr="008E40D5">
        <w:rPr>
          <w:i/>
          <w:vertAlign w:val="subscript"/>
        </w:rPr>
        <w:t>i</w:t>
      </w:r>
      <w:r w:rsidRPr="008E40D5">
        <w:rPr>
          <w:i/>
        </w:rPr>
        <w:t xml:space="preserve"> </w:t>
      </w:r>
      <w:r w:rsidRPr="008E40D5">
        <w:rPr>
          <w:rFonts w:cs="Arial"/>
        </w:rPr>
        <w:t>≤</w:t>
      </w:r>
      <w:r w:rsidRPr="008E40D5">
        <w:t xml:space="preserve"> </w:t>
      </w:r>
      <w:r w:rsidRPr="008E40D5">
        <w:rPr>
          <w:i/>
        </w:rPr>
        <w:t>Price</w:t>
      </w:r>
      <w:r w:rsidRPr="008E40D5">
        <w:rPr>
          <w:i/>
          <w:vertAlign w:val="subscript"/>
        </w:rPr>
        <w:t>i-1</w:t>
      </w:r>
    </w:p>
    <w:p w14:paraId="7BF348E8" w14:textId="46D193FA" w:rsidR="00F50E1A" w:rsidRPr="008E40D5" w:rsidRDefault="00F50E1A" w:rsidP="00F50E1A">
      <w:r w:rsidRPr="008E40D5">
        <w:t>Calculate credit exposure of each segment in the multiple</w:t>
      </w:r>
      <w:r w:rsidR="0002363C">
        <w:t>-</w:t>
      </w:r>
      <w:r w:rsidRPr="008E40D5">
        <w:t>segment bid curve by using the following equation:</w:t>
      </w:r>
    </w:p>
    <w:p w14:paraId="3F40F088" w14:textId="77777777" w:rsidR="00F50E1A" w:rsidRPr="00F50E1A" w:rsidRDefault="00752003" w:rsidP="00F50E1A">
      <m:oMathPara>
        <m:oMath>
          <m:sSub>
            <m:sSubPr>
              <m:ctrlPr>
                <w:rPr>
                  <w:rFonts w:ascii="Cambria Math" w:eastAsia="Calibri" w:hAnsi="Cambria Math"/>
                </w:rPr>
              </m:ctrlPr>
            </m:sSubPr>
            <m:e>
              <m:r>
                <w:rPr>
                  <w:rFonts w:ascii="Cambria Math" w:hAnsi="Cambria Math"/>
                </w:rPr>
                <m:t>Exposure</m:t>
              </m:r>
            </m:e>
            <m:sub>
              <m:r>
                <w:rPr>
                  <w:rFonts w:ascii="Cambria Math" w:hAnsi="Cambria Math"/>
                </w:rPr>
                <m:t>i</m:t>
              </m:r>
            </m:sub>
          </m:sSub>
          <m:d>
            <m:dPr>
              <m:ctrlPr>
                <w:rPr>
                  <w:rFonts w:ascii="Cambria Math" w:hAnsi="Cambria Math"/>
                </w:rPr>
              </m:ctrlPr>
            </m:dPr>
            <m:e>
              <m:r>
                <m:rPr>
                  <m:nor/>
                </m:rPr>
                <m:t>OPT Bid</m:t>
              </m:r>
            </m:e>
          </m:d>
          <m:r>
            <w:rPr>
              <w:rFonts w:ascii="Cambria Math" w:hAnsi="Cambria Math"/>
            </w:rPr>
            <m:t>=</m:t>
          </m:r>
          <m:sSub>
            <m:sSubPr>
              <m:ctrlPr>
                <w:rPr>
                  <w:rFonts w:ascii="Cambria Math" w:eastAsia="Calibri" w:hAnsi="Cambria Math"/>
                </w:rPr>
              </m:ctrlPr>
            </m:sSubPr>
            <m:e>
              <m:r>
                <w:rPr>
                  <w:rFonts w:ascii="Cambria Math" w:hAnsi="Cambria Math"/>
                </w:rPr>
                <m:t>MW</m:t>
              </m:r>
            </m:e>
            <m:sub>
              <m:r>
                <w:rPr>
                  <w:rFonts w:ascii="Cambria Math" w:hAnsi="Cambria Math"/>
                </w:rPr>
                <m:t>i</m:t>
              </m:r>
            </m:sub>
          </m:sSub>
          <m:r>
            <w:rPr>
              <w:rFonts w:ascii="Cambria Math" w:hAnsi="Cambria Math"/>
            </w:rPr>
            <m:t>*Hour*</m:t>
          </m:r>
          <m:sSub>
            <m:sSubPr>
              <m:ctrlPr>
                <w:rPr>
                  <w:rFonts w:ascii="Cambria Math" w:eastAsia="Calibri" w:hAnsi="Cambria Math"/>
                </w:rPr>
              </m:ctrlPr>
            </m:sSubPr>
            <m:e>
              <m:r>
                <w:rPr>
                  <w:rFonts w:ascii="Cambria Math" w:hAnsi="Cambria Math"/>
                </w:rPr>
                <m:t>P</m:t>
              </m:r>
            </m:e>
            <m:sub>
              <m:r>
                <w:rPr>
                  <w:rFonts w:ascii="Cambria Math" w:hAnsi="Cambria Math"/>
                </w:rPr>
                <m:t>i</m:t>
              </m:r>
            </m:sub>
          </m:sSub>
        </m:oMath>
      </m:oMathPara>
    </w:p>
    <w:p w14:paraId="395872BD" w14:textId="77777777" w:rsidR="00F50E1A" w:rsidRPr="008E40D5" w:rsidRDefault="00F50E1A" w:rsidP="00F50E1A">
      <w:r w:rsidRPr="008E40D5">
        <w:t>where</w:t>
      </w:r>
      <w:r w:rsidRPr="008E40D5">
        <w:tab/>
        <w:t xml:space="preserve"> i = segment number,</w:t>
      </w:r>
    </w:p>
    <w:p w14:paraId="113694A1" w14:textId="77777777" w:rsidR="00F50E1A" w:rsidRPr="008E40D5" w:rsidRDefault="00F50E1A" w:rsidP="00F50E1A">
      <w:pPr>
        <w:ind w:firstLine="720"/>
      </w:pPr>
      <w:r w:rsidRPr="008E40D5">
        <w:rPr>
          <w:i/>
        </w:rPr>
        <w:t xml:space="preserve">Hour </w:t>
      </w:r>
      <w:r w:rsidRPr="008E40D5">
        <w:t>= number of effective hours of bid (every bid in the group has the same number of effective hours)</w:t>
      </w:r>
    </w:p>
    <w:p w14:paraId="75F0A167" w14:textId="77777777" w:rsidR="00FF6928" w:rsidRDefault="00FF6928" w:rsidP="00F50E1A">
      <w:pPr>
        <w:rPr>
          <w:rFonts w:cs="Calibri"/>
          <w:b/>
        </w:rPr>
      </w:pPr>
    </w:p>
    <w:p w14:paraId="2B6CE01C" w14:textId="77777777" w:rsidR="00FF6928" w:rsidRDefault="00FF6928" w:rsidP="00F50E1A">
      <w:pPr>
        <w:rPr>
          <w:rFonts w:cs="Calibri"/>
          <w:b/>
        </w:rPr>
      </w:pPr>
    </w:p>
    <w:p w14:paraId="0ADE5709" w14:textId="77777777" w:rsidR="00FF6928" w:rsidRDefault="00FF6928" w:rsidP="00F50E1A">
      <w:pPr>
        <w:rPr>
          <w:rFonts w:cs="Calibri"/>
          <w:b/>
        </w:rPr>
      </w:pPr>
    </w:p>
    <w:p w14:paraId="0EBDA4FA" w14:textId="77777777" w:rsidR="00FF6928" w:rsidRDefault="00FF6928" w:rsidP="00F50E1A">
      <w:pPr>
        <w:rPr>
          <w:rFonts w:cs="Calibri"/>
          <w:b/>
        </w:rPr>
      </w:pPr>
    </w:p>
    <w:p w14:paraId="1C6EC0D9" w14:textId="77777777" w:rsidR="00FF6928" w:rsidRPr="00FF6928" w:rsidRDefault="00A609D5" w:rsidP="00F50E1A">
      <w:pPr>
        <w:rPr>
          <w:rFonts w:cs="Calibri"/>
          <w:b/>
          <w:sz w:val="24"/>
          <w:szCs w:val="24"/>
        </w:rPr>
      </w:pPr>
      <w:bookmarkStart w:id="7" w:name="Example1ExposCalcPTPOptmultimonth"/>
      <w:r w:rsidRPr="00FF6928">
        <w:rPr>
          <w:rFonts w:cs="Calibri"/>
          <w:b/>
          <w:sz w:val="24"/>
          <w:szCs w:val="24"/>
        </w:rPr>
        <w:lastRenderedPageBreak/>
        <w:t>Example 1: Exposure calculation for pre-auction screening for multi-month PTP Option Bids in a Long-Term Auction Sequence</w:t>
      </w:r>
    </w:p>
    <w:bookmarkEnd w:id="7"/>
    <w:p w14:paraId="5FE8F6E2" w14:textId="77777777" w:rsidR="00FF6928" w:rsidRDefault="00FF6928" w:rsidP="00F50E1A">
      <w:pPr>
        <w:rPr>
          <w:rFonts w:cs="Calibri"/>
          <w:b/>
        </w:rPr>
      </w:pPr>
      <w:r>
        <w:rPr>
          <w:noProof/>
        </w:rPr>
        <w:drawing>
          <wp:inline distT="0" distB="0" distL="0" distR="0" wp14:anchorId="3F57321C" wp14:editId="0F2A3677">
            <wp:extent cx="5943600" cy="26117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611755"/>
                    </a:xfrm>
                    <a:prstGeom prst="rect">
                      <a:avLst/>
                    </a:prstGeom>
                  </pic:spPr>
                </pic:pic>
              </a:graphicData>
            </a:graphic>
          </wp:inline>
        </w:drawing>
      </w:r>
    </w:p>
    <w:p w14:paraId="075422D5" w14:textId="77777777" w:rsidR="00FF6928" w:rsidRDefault="00FF6928" w:rsidP="00F50E1A">
      <w:pPr>
        <w:rPr>
          <w:rFonts w:cs="Calibri"/>
          <w:b/>
        </w:rPr>
      </w:pPr>
    </w:p>
    <w:p w14:paraId="41C8F9FB" w14:textId="77777777" w:rsidR="00F50E1A" w:rsidRPr="004A7D44" w:rsidRDefault="00FF6928" w:rsidP="00F50E1A">
      <w:pPr>
        <w:rPr>
          <w:rFonts w:ascii="Cambria" w:hAnsi="Cambria" w:cs="Calibri"/>
          <w:b/>
          <w:bCs/>
          <w:color w:val="943634"/>
        </w:rPr>
      </w:pPr>
      <w:bookmarkStart w:id="8" w:name="Example2ExposCalcPTPOpt24hour"/>
      <w:r w:rsidRPr="00FF6928">
        <w:rPr>
          <w:rFonts w:cs="Calibri"/>
          <w:b/>
          <w:sz w:val="24"/>
          <w:szCs w:val="24"/>
        </w:rPr>
        <w:t>Example 2: Exposure calculation for pre-auction screening for 24-hour PTP Option bids in a Monthly Auction</w:t>
      </w:r>
    </w:p>
    <w:bookmarkEnd w:id="8"/>
    <w:p w14:paraId="562AD94A" w14:textId="77777777" w:rsidR="00F50E1A" w:rsidRPr="004A7D44" w:rsidRDefault="00632690" w:rsidP="00F50E1A">
      <w:pPr>
        <w:rPr>
          <w:b/>
          <w:bCs/>
          <w:color w:val="943634"/>
        </w:rPr>
      </w:pPr>
      <w:r>
        <w:rPr>
          <w:noProof/>
        </w:rPr>
        <w:drawing>
          <wp:inline distT="0" distB="0" distL="0" distR="0" wp14:anchorId="617821FC" wp14:editId="58BCA792">
            <wp:extent cx="5943600" cy="32016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201670"/>
                    </a:xfrm>
                    <a:prstGeom prst="rect">
                      <a:avLst/>
                    </a:prstGeom>
                  </pic:spPr>
                </pic:pic>
              </a:graphicData>
            </a:graphic>
          </wp:inline>
        </w:drawing>
      </w:r>
    </w:p>
    <w:p w14:paraId="44DED42F" w14:textId="77777777" w:rsidR="00F50E1A" w:rsidRPr="004A7D44" w:rsidRDefault="00F50E1A" w:rsidP="00F50E1A">
      <w:pPr>
        <w:rPr>
          <w:b/>
          <w:bCs/>
          <w:color w:val="943634"/>
        </w:rPr>
      </w:pPr>
      <w:r>
        <w:br w:type="page"/>
      </w:r>
    </w:p>
    <w:p w14:paraId="337EE2EC" w14:textId="77777777" w:rsidR="00632690" w:rsidRPr="00A609D5" w:rsidRDefault="00632690" w:rsidP="00632690">
      <w:pPr>
        <w:tabs>
          <w:tab w:val="num" w:pos="3600"/>
        </w:tabs>
        <w:spacing w:before="240" w:after="240" w:line="240" w:lineRule="auto"/>
        <w:rPr>
          <w:rFonts w:cs="Calibri"/>
          <w:b/>
          <w:color w:val="000000"/>
          <w:sz w:val="24"/>
          <w:szCs w:val="24"/>
          <w:u w:val="single"/>
        </w:rPr>
      </w:pPr>
      <w:bookmarkStart w:id="9" w:name="PTPObligationOffersExposure"/>
      <w:r w:rsidRPr="00A609D5">
        <w:rPr>
          <w:rFonts w:cs="Calibri"/>
          <w:b/>
          <w:color w:val="000000"/>
          <w:sz w:val="24"/>
          <w:szCs w:val="24"/>
          <w:u w:val="single"/>
        </w:rPr>
        <w:lastRenderedPageBreak/>
        <w:t>PTP O</w:t>
      </w:r>
      <w:r>
        <w:rPr>
          <w:rFonts w:cs="Calibri"/>
          <w:b/>
          <w:color w:val="000000"/>
          <w:sz w:val="24"/>
          <w:szCs w:val="24"/>
          <w:u w:val="single"/>
        </w:rPr>
        <w:t>bligation Offers</w:t>
      </w:r>
      <w:r w:rsidRPr="00A609D5">
        <w:rPr>
          <w:rFonts w:cs="Calibri"/>
          <w:b/>
          <w:color w:val="000000"/>
          <w:sz w:val="24"/>
          <w:szCs w:val="24"/>
          <w:u w:val="single"/>
        </w:rPr>
        <w:t xml:space="preserve"> Exposure</w:t>
      </w:r>
    </w:p>
    <w:bookmarkEnd w:id="9"/>
    <w:p w14:paraId="25D43507" w14:textId="77777777" w:rsidR="00F50E1A" w:rsidRPr="008E40D5" w:rsidRDefault="000E58A3" w:rsidP="00F50E1A">
      <w:pPr>
        <w:tabs>
          <w:tab w:val="num" w:pos="3600"/>
        </w:tabs>
        <w:spacing w:before="240" w:after="240" w:line="240" w:lineRule="auto"/>
      </w:pPr>
      <w:r>
        <w:t>PTP Obligation Offers also do not utilize credit coefficients in calculating credit exposure. To calculate the credit exposure for PTP Obligation Offers, first sort the</w:t>
      </w:r>
      <w:r w:rsidR="00F50E1A" w:rsidRPr="008E40D5">
        <w:t xml:space="preserve"> obligation offers in ascending order of bid prices. Create a multiple segment bid curve in such a way that each segment has MW quantity and bid price as:</w:t>
      </w:r>
    </w:p>
    <w:p w14:paraId="59031759" w14:textId="77777777" w:rsidR="00F50E1A" w:rsidRPr="00F50E1A" w:rsidRDefault="00752003" w:rsidP="00F50E1A">
      <w:pPr>
        <w:jc w:val="center"/>
      </w:pPr>
      <m:oMathPara>
        <m:oMath>
          <m:d>
            <m:dPr>
              <m:ctrlPr>
                <w:rPr>
                  <w:rFonts w:ascii="Cambria Math" w:hAnsi="Cambria Math"/>
                </w:rPr>
              </m:ctrlPr>
            </m:dPr>
            <m:e>
              <m:sSub>
                <m:sSubPr>
                  <m:ctrlPr>
                    <w:rPr>
                      <w:rFonts w:ascii="Cambria Math" w:eastAsia="Calibri" w:hAnsi="Cambria Math"/>
                    </w:rPr>
                  </m:ctrlPr>
                </m:sSubPr>
                <m:e>
                  <m:r>
                    <w:rPr>
                      <w:rFonts w:ascii="Cambria Math" w:hAnsi="Cambria Math"/>
                    </w:rPr>
                    <m:t>MW</m:t>
                  </m:r>
                </m:e>
                <m:sub>
                  <m:r>
                    <w:rPr>
                      <w:rFonts w:ascii="Cambria Math" w:hAnsi="Cambria Math"/>
                    </w:rPr>
                    <m:t>i</m:t>
                  </m:r>
                </m:sub>
              </m:sSub>
              <m:r>
                <w:rPr>
                  <w:rFonts w:ascii="Cambria Math" w:hAnsi="Cambria Math"/>
                </w:rPr>
                <m:t>,</m:t>
              </m:r>
              <m:sSub>
                <m:sSubPr>
                  <m:ctrlPr>
                    <w:rPr>
                      <w:rFonts w:ascii="Cambria Math" w:eastAsia="Calibri" w:hAnsi="Cambria Math"/>
                    </w:rPr>
                  </m:ctrlPr>
                </m:sSubPr>
                <m:e>
                  <m:r>
                    <w:rPr>
                      <w:rFonts w:ascii="Cambria Math" w:hAnsi="Cambria Math"/>
                    </w:rPr>
                    <m:t>Price</m:t>
                  </m:r>
                </m:e>
                <m:sub>
                  <m:r>
                    <w:rPr>
                      <w:rFonts w:ascii="Cambria Math" w:hAnsi="Cambria Math"/>
                    </w:rPr>
                    <m:t>i</m:t>
                  </m:r>
                </m:sub>
              </m:sSub>
            </m:e>
          </m:d>
          <m:r>
            <w:rPr>
              <w:rFonts w:ascii="Cambria Math" w:hAnsi="Cambria Math"/>
            </w:rPr>
            <m:t>=</m:t>
          </m:r>
          <m:nary>
            <m:naryPr>
              <m:chr m:val="∑"/>
              <m:limLoc m:val="undOvr"/>
              <m:ctrlPr>
                <w:rPr>
                  <w:rFonts w:ascii="Cambria Math" w:eastAsia="Calibri" w:hAnsi="Cambria Math"/>
                </w:rPr>
              </m:ctrlPr>
            </m:naryPr>
            <m:sub>
              <m:r>
                <w:rPr>
                  <w:rFonts w:ascii="Cambria Math" w:hAnsi="Cambria Math"/>
                </w:rPr>
                <m:t>r=0</m:t>
              </m:r>
            </m:sub>
            <m:sup>
              <m:r>
                <w:rPr>
                  <w:rFonts w:ascii="Cambria Math" w:hAnsi="Cambria Math"/>
                </w:rPr>
                <m:t>i</m:t>
              </m:r>
            </m:sup>
            <m:e>
              <m:sSub>
                <m:sSubPr>
                  <m:ctrlPr>
                    <w:rPr>
                      <w:rFonts w:ascii="Cambria Math" w:eastAsia="Calibri" w:hAnsi="Cambria Math"/>
                    </w:rPr>
                  </m:ctrlPr>
                </m:sSubPr>
                <m:e>
                  <m:r>
                    <w:rPr>
                      <w:rFonts w:ascii="Cambria Math" w:hAnsi="Cambria Math"/>
                    </w:rPr>
                    <m:t>MW</m:t>
                  </m:r>
                </m:e>
                <m:sub>
                  <m:r>
                    <w:rPr>
                      <w:rFonts w:ascii="Cambria Math" w:hAnsi="Cambria Math"/>
                    </w:rPr>
                    <m:t>r</m:t>
                  </m:r>
                </m:sub>
              </m:sSub>
            </m:e>
          </m:nary>
          <m:r>
            <w:rPr>
              <w:rFonts w:ascii="Cambria Math" w:hAnsi="Cambria Math"/>
            </w:rPr>
            <m:t>,</m:t>
          </m:r>
          <m:sSub>
            <m:sSubPr>
              <m:ctrlPr>
                <w:rPr>
                  <w:rFonts w:ascii="Cambria Math" w:eastAsia="Calibri" w:hAnsi="Cambria Math"/>
                </w:rPr>
              </m:ctrlPr>
            </m:sSubPr>
            <m:e>
              <m:r>
                <w:rPr>
                  <w:rFonts w:ascii="Cambria Math" w:hAnsi="Cambria Math"/>
                </w:rPr>
                <m:t>Price</m:t>
              </m:r>
            </m:e>
            <m:sub>
              <m:r>
                <w:rPr>
                  <w:rFonts w:ascii="Cambria Math" w:hAnsi="Cambria Math"/>
                </w:rPr>
                <m:t>i</m:t>
              </m:r>
            </m:sub>
          </m:sSub>
        </m:oMath>
      </m:oMathPara>
    </w:p>
    <w:p w14:paraId="66A387F2" w14:textId="77777777" w:rsidR="00F50E1A" w:rsidRPr="008E40D5" w:rsidRDefault="00F50E1A" w:rsidP="00F50E1A">
      <w:pPr>
        <w:rPr>
          <w:i/>
          <w:vertAlign w:val="subscript"/>
        </w:rPr>
      </w:pPr>
      <w:r w:rsidRPr="008E40D5">
        <w:t>where</w:t>
      </w:r>
      <w:r w:rsidRPr="008E40D5">
        <w:tab/>
        <w:t xml:space="preserve"> i = segment number, and MW</w:t>
      </w:r>
      <w:r w:rsidRPr="008E40D5">
        <w:rPr>
          <w:vertAlign w:val="subscript"/>
        </w:rPr>
        <w:t>i</w:t>
      </w:r>
      <w:r w:rsidRPr="008E40D5">
        <w:t xml:space="preserve"> </w:t>
      </w:r>
      <w:r w:rsidRPr="008E40D5">
        <w:rPr>
          <w:rFonts w:cs="Arial"/>
        </w:rPr>
        <w:t>≥</w:t>
      </w:r>
      <w:r w:rsidRPr="008E40D5">
        <w:t xml:space="preserve"> MW</w:t>
      </w:r>
      <w:r w:rsidRPr="008E40D5">
        <w:rPr>
          <w:vertAlign w:val="subscript"/>
        </w:rPr>
        <w:t xml:space="preserve">i-1 </w:t>
      </w:r>
      <w:r w:rsidRPr="008E40D5">
        <w:t>and Price</w:t>
      </w:r>
      <w:r w:rsidRPr="008E40D5">
        <w:rPr>
          <w:vertAlign w:val="subscript"/>
        </w:rPr>
        <w:t>i</w:t>
      </w:r>
      <w:r w:rsidRPr="008E40D5">
        <w:rPr>
          <w:i/>
        </w:rPr>
        <w:t xml:space="preserve"> </w:t>
      </w:r>
      <w:r w:rsidRPr="008E40D5">
        <w:rPr>
          <w:rFonts w:cs="Arial"/>
        </w:rPr>
        <w:t>≥</w:t>
      </w:r>
      <w:r w:rsidRPr="008E40D5">
        <w:t xml:space="preserve"> </w:t>
      </w:r>
      <w:r w:rsidRPr="008E40D5">
        <w:rPr>
          <w:i/>
        </w:rPr>
        <w:t>Price</w:t>
      </w:r>
      <w:r w:rsidRPr="008E40D5">
        <w:rPr>
          <w:i/>
          <w:vertAlign w:val="subscript"/>
        </w:rPr>
        <w:t>i-1</w:t>
      </w:r>
    </w:p>
    <w:p w14:paraId="2AA34E38" w14:textId="735B3758" w:rsidR="00F50E1A" w:rsidRPr="008E40D5" w:rsidRDefault="00F50E1A" w:rsidP="00F50E1A">
      <w:r w:rsidRPr="008E40D5">
        <w:t>Calculate credit exposure of each segment in the multiple</w:t>
      </w:r>
      <w:r w:rsidR="0002363C">
        <w:t>-</w:t>
      </w:r>
      <w:r w:rsidRPr="008E40D5">
        <w:t>segment bid curve by using the following equation:</w:t>
      </w:r>
    </w:p>
    <w:p w14:paraId="55FC851F" w14:textId="77777777" w:rsidR="00F50E1A" w:rsidRPr="00F50E1A" w:rsidRDefault="00752003" w:rsidP="00F50E1A">
      <w:pPr>
        <w:rPr>
          <w:rFonts w:cs="Arial"/>
        </w:rPr>
      </w:pPr>
      <m:oMathPara>
        <m:oMath>
          <m:sSub>
            <m:sSubPr>
              <m:ctrlPr>
                <w:rPr>
                  <w:rFonts w:ascii="Cambria Math" w:eastAsia="Calibri" w:hAnsi="Cambria Math" w:cs="Arial"/>
                </w:rPr>
              </m:ctrlPr>
            </m:sSubPr>
            <m:e>
              <m:r>
                <w:rPr>
                  <w:rFonts w:ascii="Cambria Math" w:hAnsi="Cambria Math" w:cs="Arial"/>
                </w:rPr>
                <m:t>Exposure</m:t>
              </m:r>
            </m:e>
            <m:sub>
              <m:r>
                <w:rPr>
                  <w:rFonts w:ascii="Cambria Math" w:hAnsi="Cambria Math" w:cs="Arial"/>
                </w:rPr>
                <m:t>i</m:t>
              </m:r>
            </m:sub>
          </m:sSub>
          <m:d>
            <m:dPr>
              <m:ctrlPr>
                <w:rPr>
                  <w:rFonts w:ascii="Cambria Math" w:hAnsi="Cambria Math" w:cs="Arial"/>
                </w:rPr>
              </m:ctrlPr>
            </m:dPr>
            <m:e>
              <m:r>
                <m:rPr>
                  <m:nor/>
                </m:rPr>
                <w:rPr>
                  <w:rFonts w:cs="Arial"/>
                </w:rPr>
                <m:t>OBL Offer</m:t>
              </m:r>
            </m:e>
          </m:d>
          <m:r>
            <w:rPr>
              <w:rFonts w:ascii="Cambria Math" w:hAnsi="Cambria Math" w:cs="Arial"/>
            </w:rPr>
            <m:t>=</m:t>
          </m:r>
          <m:sSub>
            <m:sSubPr>
              <m:ctrlPr>
                <w:rPr>
                  <w:rFonts w:ascii="Cambria Math" w:eastAsia="Calibri" w:hAnsi="Cambria Math" w:cs="Arial"/>
                </w:rPr>
              </m:ctrlPr>
            </m:sSubPr>
            <m:e>
              <m:r>
                <w:rPr>
                  <w:rFonts w:ascii="Cambria Math" w:hAnsi="Cambria Math" w:cs="Arial"/>
                </w:rPr>
                <m:t>MW</m:t>
              </m:r>
            </m:e>
            <m:sub>
              <m:r>
                <w:rPr>
                  <w:rFonts w:ascii="Cambria Math" w:hAnsi="Cambria Math" w:cs="Arial"/>
                </w:rPr>
                <m:t>i</m:t>
              </m:r>
            </m:sub>
          </m:sSub>
          <m:r>
            <w:rPr>
              <w:rFonts w:ascii="Cambria Math" w:hAnsi="Cambria Math" w:cs="Arial"/>
            </w:rPr>
            <m:t>*Hour*</m:t>
          </m:r>
          <m:d>
            <m:dPr>
              <m:begChr m:val="{"/>
              <m:endChr m:val="}"/>
              <m:ctrlPr>
                <w:rPr>
                  <w:rFonts w:ascii="Cambria Math" w:eastAsia="Calibri" w:hAnsi="Cambria Math" w:cs="Arial"/>
                </w:rPr>
              </m:ctrlPr>
            </m:dPr>
            <m:e>
              <m:r>
                <w:rPr>
                  <w:rFonts w:ascii="Cambria Math" w:eastAsia="Calibri" w:hAnsi="Cambria Math" w:cs="Arial"/>
                </w:rPr>
                <m:t>-</m:t>
              </m:r>
              <m:func>
                <m:funcPr>
                  <m:ctrlPr>
                    <w:rPr>
                      <w:rFonts w:ascii="Cambria Math" w:hAnsi="Cambria Math" w:cs="Arial"/>
                    </w:rPr>
                  </m:ctrlPr>
                </m:funcPr>
                <m:fName>
                  <m:r>
                    <w:rPr>
                      <w:rFonts w:ascii="Cambria Math" w:hAnsi="Cambria Math" w:cs="Arial"/>
                    </w:rPr>
                    <m:t>min</m:t>
                  </m:r>
                </m:fName>
                <m:e>
                  <m:d>
                    <m:dPr>
                      <m:ctrlPr>
                        <w:rPr>
                          <w:rFonts w:ascii="Cambria Math" w:hAnsi="Cambria Math" w:cs="Arial"/>
                        </w:rPr>
                      </m:ctrlPr>
                    </m:dPr>
                    <m:e>
                      <m:sSub>
                        <m:sSubPr>
                          <m:ctrlPr>
                            <w:rPr>
                              <w:rFonts w:ascii="Cambria Math" w:eastAsia="Calibri" w:hAnsi="Cambria Math" w:cs="Arial"/>
                            </w:rPr>
                          </m:ctrlPr>
                        </m:sSubPr>
                        <m:e>
                          <m:r>
                            <w:rPr>
                              <w:rFonts w:ascii="Cambria Math" w:hAnsi="Cambria Math" w:cs="Arial"/>
                            </w:rPr>
                            <m:t>P</m:t>
                          </m:r>
                        </m:e>
                        <m:sub>
                          <m:r>
                            <w:rPr>
                              <w:rFonts w:ascii="Cambria Math" w:hAnsi="Cambria Math" w:cs="Arial"/>
                            </w:rPr>
                            <m:t>i</m:t>
                          </m:r>
                        </m:sub>
                      </m:sSub>
                      <m:r>
                        <w:rPr>
                          <w:rFonts w:ascii="Cambria Math" w:hAnsi="Cambria Math" w:cs="Arial"/>
                        </w:rPr>
                        <m:t>,0</m:t>
                      </m:r>
                    </m:e>
                  </m:d>
                </m:e>
              </m:func>
            </m:e>
          </m:d>
        </m:oMath>
      </m:oMathPara>
    </w:p>
    <w:p w14:paraId="538BDABD" w14:textId="77777777" w:rsidR="00F50E1A" w:rsidRPr="008E40D5" w:rsidRDefault="00F50E1A" w:rsidP="00F50E1A">
      <w:r w:rsidRPr="008E40D5">
        <w:t xml:space="preserve">where </w:t>
      </w:r>
      <w:r w:rsidRPr="008E40D5">
        <w:tab/>
        <w:t>i = segment number,</w:t>
      </w:r>
    </w:p>
    <w:p w14:paraId="375374C1" w14:textId="77777777" w:rsidR="00F50E1A" w:rsidRPr="008E40D5" w:rsidRDefault="00F50E1A" w:rsidP="00F50E1A">
      <w:pPr>
        <w:ind w:firstLine="720"/>
      </w:pPr>
      <w:r w:rsidRPr="008E40D5">
        <w:rPr>
          <w:i/>
        </w:rPr>
        <w:t xml:space="preserve">Hour </w:t>
      </w:r>
      <w:r w:rsidRPr="008E40D5">
        <w:t>= number of effective hours of bid (every bid in the group has the same number of effective hours)</w:t>
      </w:r>
    </w:p>
    <w:p w14:paraId="17B2DFC4" w14:textId="77777777" w:rsidR="00F50E1A" w:rsidRPr="00A54EEC" w:rsidRDefault="00632690" w:rsidP="00F50E1A">
      <w:pPr>
        <w:rPr>
          <w:rFonts w:cs="Calibri"/>
          <w:b/>
          <w:sz w:val="24"/>
          <w:szCs w:val="24"/>
        </w:rPr>
      </w:pPr>
      <w:bookmarkStart w:id="10" w:name="Example1ExposCalcPTPOblOffersmultimonth"/>
      <w:r w:rsidRPr="00A54EEC">
        <w:rPr>
          <w:rFonts w:cs="Calibri"/>
          <w:b/>
          <w:sz w:val="24"/>
          <w:szCs w:val="24"/>
        </w:rPr>
        <w:t xml:space="preserve">Example 1: </w:t>
      </w:r>
      <w:r w:rsidR="00A54EEC" w:rsidRPr="00A54EEC">
        <w:rPr>
          <w:rFonts w:cs="Calibri"/>
          <w:b/>
          <w:sz w:val="24"/>
          <w:szCs w:val="24"/>
        </w:rPr>
        <w:t>Exposure calculation for pre-auction screening for multi-month PTP Obligation offers in a Long-Term Auction Sequence</w:t>
      </w:r>
    </w:p>
    <w:bookmarkEnd w:id="10"/>
    <w:p w14:paraId="443F18E7" w14:textId="77777777" w:rsidR="00F50E1A" w:rsidRPr="004A7D44" w:rsidRDefault="00B54BFA" w:rsidP="00F50E1A">
      <w:pPr>
        <w:rPr>
          <w:rFonts w:cs="Calibri"/>
          <w:b/>
        </w:rPr>
      </w:pPr>
      <w:r>
        <w:rPr>
          <w:noProof/>
        </w:rPr>
        <w:drawing>
          <wp:inline distT="0" distB="0" distL="0" distR="0" wp14:anchorId="587582E0" wp14:editId="2F2AA85D">
            <wp:extent cx="5943600" cy="26612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61285"/>
                    </a:xfrm>
                    <a:prstGeom prst="rect">
                      <a:avLst/>
                    </a:prstGeom>
                  </pic:spPr>
                </pic:pic>
              </a:graphicData>
            </a:graphic>
          </wp:inline>
        </w:drawing>
      </w:r>
    </w:p>
    <w:p w14:paraId="43AB2052" w14:textId="77777777" w:rsidR="00F50E1A" w:rsidRPr="004A7D44" w:rsidRDefault="00F50E1A" w:rsidP="00F50E1A">
      <w:pPr>
        <w:rPr>
          <w:rFonts w:ascii="Cambria" w:hAnsi="Cambria"/>
          <w:b/>
          <w:bCs/>
          <w:color w:val="943634"/>
        </w:rPr>
      </w:pPr>
      <w:bookmarkStart w:id="11" w:name="_Toc369592805"/>
    </w:p>
    <w:bookmarkEnd w:id="11"/>
    <w:p w14:paraId="1703D1CB" w14:textId="77777777" w:rsidR="00F50E1A" w:rsidRDefault="00F50E1A" w:rsidP="00F50E1A">
      <w:pPr>
        <w:rPr>
          <w:noProof/>
        </w:rPr>
      </w:pPr>
    </w:p>
    <w:p w14:paraId="089410B9" w14:textId="77777777" w:rsidR="00E26A29" w:rsidRDefault="00E26A29" w:rsidP="00F50E1A">
      <w:pPr>
        <w:pStyle w:val="BodyTextNumbered"/>
        <w:ind w:left="0" w:firstLine="0"/>
        <w:rPr>
          <w:rFonts w:asciiTheme="minorHAnsi" w:eastAsiaTheme="minorHAnsi" w:hAnsiTheme="minorHAnsi" w:cstheme="minorBidi"/>
          <w:iCs w:val="0"/>
          <w:sz w:val="22"/>
          <w:szCs w:val="22"/>
        </w:rPr>
      </w:pPr>
    </w:p>
    <w:p w14:paraId="3352309F" w14:textId="77777777" w:rsidR="00E26A29" w:rsidRDefault="00E26A29" w:rsidP="00F50E1A">
      <w:pPr>
        <w:pStyle w:val="BodyTextNumbered"/>
        <w:ind w:left="0" w:firstLine="0"/>
        <w:rPr>
          <w:rFonts w:asciiTheme="minorHAnsi" w:eastAsiaTheme="minorHAnsi" w:hAnsiTheme="minorHAnsi" w:cstheme="minorBidi"/>
          <w:iCs w:val="0"/>
          <w:sz w:val="22"/>
          <w:szCs w:val="22"/>
        </w:rPr>
      </w:pPr>
    </w:p>
    <w:p w14:paraId="73200C11" w14:textId="77777777" w:rsidR="00E26A29" w:rsidRDefault="00E26A29" w:rsidP="00E26A29">
      <w:pPr>
        <w:rPr>
          <w:rFonts w:cs="Calibri"/>
          <w:b/>
          <w:sz w:val="24"/>
          <w:szCs w:val="24"/>
        </w:rPr>
      </w:pPr>
    </w:p>
    <w:p w14:paraId="2F7BCCE1" w14:textId="77777777" w:rsidR="00E26A29" w:rsidRPr="00E26A29" w:rsidRDefault="00E26A29" w:rsidP="00E26A29">
      <w:pPr>
        <w:rPr>
          <w:rFonts w:cs="Calibri"/>
          <w:b/>
          <w:sz w:val="24"/>
          <w:szCs w:val="24"/>
        </w:rPr>
      </w:pPr>
      <w:bookmarkStart w:id="12" w:name="Example2ExposCalcPTPObloffersMonthlyAuct"/>
      <w:r w:rsidRPr="00E26A29">
        <w:rPr>
          <w:rFonts w:cs="Calibri"/>
          <w:b/>
          <w:sz w:val="24"/>
          <w:szCs w:val="24"/>
        </w:rPr>
        <w:t xml:space="preserve">Example 2: Exposure calculation for pre-auction screening for PTP Obligation offers in a </w:t>
      </w:r>
      <w:r>
        <w:rPr>
          <w:rFonts w:cs="Calibri"/>
          <w:b/>
          <w:sz w:val="24"/>
          <w:szCs w:val="24"/>
        </w:rPr>
        <w:t>M</w:t>
      </w:r>
      <w:r w:rsidRPr="00E26A29">
        <w:rPr>
          <w:rFonts w:cs="Calibri"/>
          <w:b/>
          <w:sz w:val="24"/>
          <w:szCs w:val="24"/>
        </w:rPr>
        <w:t xml:space="preserve">onthly </w:t>
      </w:r>
      <w:r>
        <w:rPr>
          <w:rFonts w:cs="Calibri"/>
          <w:b/>
          <w:sz w:val="24"/>
          <w:szCs w:val="24"/>
        </w:rPr>
        <w:t>A</w:t>
      </w:r>
      <w:r w:rsidRPr="00E26A29">
        <w:rPr>
          <w:rFonts w:cs="Calibri"/>
          <w:b/>
          <w:sz w:val="24"/>
          <w:szCs w:val="24"/>
        </w:rPr>
        <w:t>uction</w:t>
      </w:r>
    </w:p>
    <w:bookmarkEnd w:id="12"/>
    <w:p w14:paraId="3B6FB260" w14:textId="77777777" w:rsidR="00F50E1A" w:rsidRPr="006A3E11" w:rsidRDefault="00E26A29" w:rsidP="00F50E1A">
      <w:pPr>
        <w:pStyle w:val="BodyTextNumbered"/>
        <w:ind w:left="0" w:firstLine="0"/>
        <w:rPr>
          <w:rFonts w:asciiTheme="minorHAnsi" w:eastAsiaTheme="minorHAnsi" w:hAnsiTheme="minorHAnsi" w:cstheme="minorBidi"/>
          <w:iCs w:val="0"/>
          <w:sz w:val="22"/>
          <w:szCs w:val="22"/>
        </w:rPr>
      </w:pPr>
      <w:r>
        <w:rPr>
          <w:noProof/>
        </w:rPr>
        <w:drawing>
          <wp:inline distT="0" distB="0" distL="0" distR="0" wp14:anchorId="1289BB39" wp14:editId="48E03F77">
            <wp:extent cx="5886450" cy="438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86450" cy="4381500"/>
                    </a:xfrm>
                    <a:prstGeom prst="rect">
                      <a:avLst/>
                    </a:prstGeom>
                  </pic:spPr>
                </pic:pic>
              </a:graphicData>
            </a:graphic>
          </wp:inline>
        </w:drawing>
      </w:r>
    </w:p>
    <w:p w14:paraId="471AD029" w14:textId="77777777" w:rsidR="00B64EBC" w:rsidRDefault="009D2004" w:rsidP="00DC5115">
      <w:pPr>
        <w:pStyle w:val="ListParagraph"/>
        <w:numPr>
          <w:ilvl w:val="0"/>
          <w:numId w:val="2"/>
        </w:numPr>
        <w:spacing w:after="0" w:line="240" w:lineRule="auto"/>
        <w:rPr>
          <w:rStyle w:val="Hyperlink"/>
          <w:rFonts w:cs="Arial"/>
          <w:b/>
          <w:color w:val="0070C0"/>
        </w:rPr>
      </w:pPr>
      <w:bookmarkStart w:id="13" w:name="Missingcreditcoeffformypath"/>
      <w:r>
        <w:rPr>
          <w:rStyle w:val="Hyperlink"/>
          <w:rFonts w:cs="Arial"/>
          <w:b/>
          <w:color w:val="0070C0"/>
        </w:rPr>
        <w:t xml:space="preserve">I cannot find my OBL path in the Path Specific Adder/Credit Coefficient report. </w:t>
      </w:r>
      <w:r w:rsidR="00DC5115">
        <w:rPr>
          <w:rStyle w:val="Hyperlink"/>
          <w:rFonts w:cs="Arial"/>
          <w:b/>
          <w:color w:val="0070C0"/>
        </w:rPr>
        <w:t>What do I use for A</w:t>
      </w:r>
      <w:r>
        <w:rPr>
          <w:rStyle w:val="Hyperlink"/>
          <w:rFonts w:cs="Arial"/>
          <w:b/>
          <w:color w:val="0070C0"/>
        </w:rPr>
        <w:t>ci</w:t>
      </w:r>
      <w:r w:rsidR="00DC5115">
        <w:rPr>
          <w:rStyle w:val="Hyperlink"/>
          <w:rFonts w:cs="Arial"/>
          <w:b/>
          <w:color w:val="0070C0"/>
        </w:rPr>
        <w:t>99 and/or ACP when my path is not listed in the posted Path Specific Adder/Credit Coefficient report?</w:t>
      </w:r>
    </w:p>
    <w:bookmarkEnd w:id="13"/>
    <w:p w14:paraId="6AB09314" w14:textId="77777777" w:rsidR="00DC5115" w:rsidRDefault="00DC5115" w:rsidP="00DC5115">
      <w:pPr>
        <w:spacing w:after="0" w:line="240" w:lineRule="auto"/>
        <w:rPr>
          <w:rStyle w:val="Hyperlink"/>
          <w:rFonts w:cs="Arial"/>
          <w:b/>
          <w:color w:val="0070C0"/>
        </w:rPr>
      </w:pPr>
    </w:p>
    <w:p w14:paraId="13074C79" w14:textId="0CA01D2F" w:rsidR="009D2004" w:rsidRPr="00E11D6B" w:rsidRDefault="009D2004" w:rsidP="009D2004">
      <w:r w:rsidRPr="00E11D6B">
        <w:t xml:space="preserve">The coefficient file only includes paths with existing </w:t>
      </w:r>
      <w:r w:rsidR="000D0D5D">
        <w:t xml:space="preserve">obligation </w:t>
      </w:r>
      <w:r w:rsidRPr="00E11D6B">
        <w:t xml:space="preserve">CRRs for the applicable auction period; it </w:t>
      </w:r>
      <w:r w:rsidR="003A0B0F">
        <w:t xml:space="preserve">does not </w:t>
      </w:r>
      <w:r w:rsidRPr="00E11D6B">
        <w:t xml:space="preserve">include every possible path. The day after the auction bid window closes, the Credit Coefficient file in the </w:t>
      </w:r>
      <w:r w:rsidR="00FA4319" w:rsidRPr="00755D2B">
        <w:t>Download-&gt;Common-&gt;Market page in the application</w:t>
      </w:r>
      <w:r w:rsidR="00FA4319" w:rsidRPr="00FA4319">
        <w:t xml:space="preserve"> </w:t>
      </w:r>
      <w:r w:rsidR="00FA4319" w:rsidRPr="00755D2B">
        <w:t>Market User Interface</w:t>
      </w:r>
      <w:r w:rsidR="00FA4319" w:rsidRPr="00E11D6B">
        <w:t xml:space="preserve"> </w:t>
      </w:r>
      <w:r w:rsidR="00FA4319">
        <w:t>(</w:t>
      </w:r>
      <w:r w:rsidRPr="00E11D6B">
        <w:t>MUI</w:t>
      </w:r>
      <w:r w:rsidR="00FA4319">
        <w:t>)</w:t>
      </w:r>
      <w:r w:rsidRPr="00E11D6B">
        <w:t xml:space="preserve"> is updated to include the paths with existing</w:t>
      </w:r>
      <w:r w:rsidR="000D0D5D">
        <w:t xml:space="preserve"> obligation</w:t>
      </w:r>
      <w:r w:rsidRPr="00E11D6B">
        <w:t xml:space="preserve"> CRRs as well as any new </w:t>
      </w:r>
      <w:r w:rsidR="000D0D5D">
        <w:t xml:space="preserve">obligation </w:t>
      </w:r>
      <w:r w:rsidRPr="00E11D6B">
        <w:t xml:space="preserve">paths that were bid on in the auction. The Path Specific Adder report that is posted on MIS </w:t>
      </w:r>
      <w:r w:rsidR="00882169">
        <w:t xml:space="preserve">prior to the bid window </w:t>
      </w:r>
      <w:r w:rsidRPr="00E11D6B">
        <w:t>is not updated</w:t>
      </w:r>
      <w:r w:rsidR="00882169">
        <w:t>.</w:t>
      </w:r>
    </w:p>
    <w:p w14:paraId="1A0D6825" w14:textId="4AB22C4B" w:rsidR="00DC5115" w:rsidRDefault="00EC57E9" w:rsidP="009D2004">
      <w:r w:rsidRPr="00E11D6B">
        <w:t>When</w:t>
      </w:r>
      <w:r w:rsidR="009D2004" w:rsidRPr="00E11D6B">
        <w:t xml:space="preserve"> there are no adders for a specific path posted prior to the auction, it is up to the market participant to determine what they want to use. </w:t>
      </w:r>
      <w:r w:rsidR="0090156C">
        <w:t>Recent</w:t>
      </w:r>
      <w:r w:rsidR="009D2004" w:rsidRPr="00E11D6B">
        <w:t xml:space="preserve"> adders from other auctions </w:t>
      </w:r>
      <w:r w:rsidR="0090156C">
        <w:t xml:space="preserve">can be used </w:t>
      </w:r>
      <w:r w:rsidR="009D2004" w:rsidRPr="00E11D6B">
        <w:t xml:space="preserve">as an approximation or </w:t>
      </w:r>
      <w:r w:rsidR="0090156C">
        <w:t>they may</w:t>
      </w:r>
      <w:r w:rsidR="009D2004" w:rsidRPr="00E11D6B">
        <w:t xml:space="preserve"> attempt to calculate the Aci99 values by using historical DAM prices. It can be done using the protocol definition of the Aci99 found in either section 7.5.5.3(3) or section 16.11.4.5(3). To do so, they will need the Day-Ahead Market settlement point prices for the two </w:t>
      </w:r>
      <w:r w:rsidR="009D2004" w:rsidRPr="00E11D6B">
        <w:lastRenderedPageBreak/>
        <w:t xml:space="preserve">settlement points for the last three years to calculate the monthly rolling average for each TOU (18 days for PeakWD, 8 days for PeakWE, and 28 days for Off-peak). </w:t>
      </w:r>
      <w:r w:rsidR="0021523F">
        <w:t xml:space="preserve">The look-back period for DAM settled prices is the </w:t>
      </w:r>
      <w:r w:rsidR="0021523F" w:rsidRPr="00755D2B">
        <w:rPr>
          <w:b/>
          <w:bCs/>
        </w:rPr>
        <w:t>target date</w:t>
      </w:r>
      <w:r w:rsidR="0021523F">
        <w:t xml:space="preserve">, which is defined in the coefficient file and is always the day before the coefficient file is posted, minus three years. </w:t>
      </w:r>
      <w:r w:rsidR="009D2004" w:rsidRPr="00E11D6B">
        <w:t xml:space="preserve">Once they have calculated the rolling averages for each settlement point, then they can take the sink minus source prices (for the desired month and TOU) to determine the Aci99 value for that path. It may be necessary to submit a data request for historical settlement point prices </w:t>
      </w:r>
      <w:r w:rsidR="00981F34" w:rsidRPr="00E11D6B">
        <w:t>to</w:t>
      </w:r>
      <w:r w:rsidR="009D2004" w:rsidRPr="00E11D6B">
        <w:t xml:space="preserve"> do this.</w:t>
      </w:r>
    </w:p>
    <w:p w14:paraId="3C8614A8" w14:textId="77777777" w:rsidR="00E431ED" w:rsidRPr="00B64EBC" w:rsidRDefault="00E431ED" w:rsidP="00E431ED">
      <w:pPr>
        <w:pStyle w:val="ListParagraph"/>
        <w:numPr>
          <w:ilvl w:val="0"/>
          <w:numId w:val="2"/>
        </w:numPr>
        <w:spacing w:after="0" w:line="240" w:lineRule="auto"/>
        <w:rPr>
          <w:rStyle w:val="Hyperlink"/>
          <w:rFonts w:cs="Arial"/>
          <w:b/>
          <w:color w:val="0070C0"/>
        </w:rPr>
      </w:pPr>
      <w:bookmarkStart w:id="14" w:name="WhyareSeq6AdderReportsblank"/>
      <w:r>
        <w:rPr>
          <w:rStyle w:val="Hyperlink"/>
          <w:rFonts w:cs="Arial"/>
          <w:b/>
          <w:color w:val="0070C0"/>
        </w:rPr>
        <w:t>Why are the Seq6 Path Specific Adder/Credit Coefficient reports posted with no records?</w:t>
      </w:r>
    </w:p>
    <w:bookmarkEnd w:id="14"/>
    <w:p w14:paraId="593EE5A6" w14:textId="7ED339EF" w:rsidR="00E431ED" w:rsidRDefault="00E431ED" w:rsidP="00E431ED">
      <w:pPr>
        <w:pStyle w:val="ListParagraph"/>
        <w:ind w:left="360"/>
      </w:pPr>
    </w:p>
    <w:p w14:paraId="08627BEA" w14:textId="1C376DCB" w:rsidR="00E431ED" w:rsidRPr="00E11D6B" w:rsidRDefault="00E431ED" w:rsidP="00755D2B">
      <w:pPr>
        <w:pStyle w:val="ListParagraph"/>
        <w:ind w:left="360"/>
      </w:pPr>
      <w:r>
        <w:t xml:space="preserve">Path Specific Adders/Credit Coefficients are posted only for Obligations that exist in the CRR inventory for the </w:t>
      </w:r>
      <w:r w:rsidR="0021523F">
        <w:t xml:space="preserve">applicable </w:t>
      </w:r>
      <w:r>
        <w:t>auction months. Because the Seq6 auctions are the first auctions for the given auction months,</w:t>
      </w:r>
      <w:r w:rsidR="007903A3">
        <w:t xml:space="preserve"> Obligations will exist in CRR inventory for the Seq6 auction months only if PCRRs are allocated as Obligations during the annual PCRR allocation process. To date, PCRRs have only been nominated and allocated as Options, so the Seq6 Path Specific Adders/Credit Coefficients reports </w:t>
      </w:r>
      <w:r w:rsidR="00047B16">
        <w:t>are posted with no records</w:t>
      </w:r>
      <w:r w:rsidR="007903A3">
        <w:t xml:space="preserve">. The </w:t>
      </w:r>
      <w:r w:rsidR="007903A3" w:rsidRPr="00755D2B">
        <w:rPr>
          <w:b/>
          <w:bCs/>
        </w:rPr>
        <w:t>target date</w:t>
      </w:r>
      <w:r w:rsidR="0021523F">
        <w:t>, which defines the starting date for the three</w:t>
      </w:r>
      <w:r w:rsidR="00461097">
        <w:t>-</w:t>
      </w:r>
      <w:r w:rsidR="0021523F">
        <w:t>year look-back period</w:t>
      </w:r>
      <w:r w:rsidR="007903A3">
        <w:t xml:space="preserve"> associated with the auction</w:t>
      </w:r>
      <w:r w:rsidR="0021523F">
        <w:t>,</w:t>
      </w:r>
      <w:r w:rsidR="007903A3">
        <w:t xml:space="preserve"> will be posted separately in a Text document </w:t>
      </w:r>
      <w:r w:rsidR="00047B16">
        <w:t>in</w:t>
      </w:r>
      <w:r w:rsidR="007903A3">
        <w:t xml:space="preserve"> the Path Specific Adder/Credit Coefficients zip file, as well as a </w:t>
      </w:r>
      <w:r w:rsidR="00882169">
        <w:t xml:space="preserve">Common </w:t>
      </w:r>
      <w:r w:rsidR="007903A3">
        <w:t xml:space="preserve">Message in the </w:t>
      </w:r>
      <w:r w:rsidR="00882169">
        <w:t>MUI for the affected Seq6 auctions</w:t>
      </w:r>
      <w:r w:rsidR="007903A3">
        <w:t>.</w:t>
      </w:r>
    </w:p>
    <w:p w14:paraId="0F611109" w14:textId="77777777" w:rsidR="00B64EBC" w:rsidRDefault="00B64EBC" w:rsidP="00B64EBC">
      <w:pPr>
        <w:pStyle w:val="ListParagraph"/>
        <w:ind w:left="360"/>
        <w:rPr>
          <w:rStyle w:val="Hyperlink"/>
          <w:rFonts w:cs="Arial"/>
          <w:b/>
          <w:color w:val="0070C0"/>
        </w:rPr>
      </w:pPr>
    </w:p>
    <w:p w14:paraId="19D74596" w14:textId="77777777" w:rsidR="000F0DBD" w:rsidRDefault="000F0DBD" w:rsidP="000F0DBD">
      <w:pPr>
        <w:pStyle w:val="ListParagraph"/>
        <w:numPr>
          <w:ilvl w:val="0"/>
          <w:numId w:val="2"/>
        </w:numPr>
        <w:rPr>
          <w:rStyle w:val="Hyperlink"/>
          <w:rFonts w:cs="Arial"/>
          <w:b/>
          <w:color w:val="0070C0"/>
        </w:rPr>
      </w:pPr>
      <w:bookmarkStart w:id="15" w:name="Howdoesprescreencalcdifferfromcreditcons"/>
      <w:r w:rsidRPr="00084EAF">
        <w:rPr>
          <w:rStyle w:val="Hyperlink"/>
          <w:rFonts w:cs="Arial"/>
          <w:b/>
          <w:color w:val="0070C0"/>
        </w:rPr>
        <w:t>How does the pre-screen calculation differ from the way credit is consumed during the auction optimization?</w:t>
      </w:r>
    </w:p>
    <w:bookmarkEnd w:id="15"/>
    <w:p w14:paraId="7295519F" w14:textId="77777777" w:rsidR="001C1354" w:rsidRPr="006A3E11" w:rsidRDefault="001C1354" w:rsidP="001C1354">
      <w:r w:rsidRPr="006A3E11">
        <w:t>The pre-screen calculation differs from the way credit is consumed during the auction optimization in two ways:</w:t>
      </w:r>
    </w:p>
    <w:p w14:paraId="65694190" w14:textId="77777777" w:rsidR="001C1354" w:rsidRPr="00FC6F7D" w:rsidRDefault="001C1354" w:rsidP="006A3E11">
      <w:pPr>
        <w:pStyle w:val="ListParagraph"/>
        <w:numPr>
          <w:ilvl w:val="0"/>
          <w:numId w:val="3"/>
        </w:numPr>
      </w:pPr>
      <w:r w:rsidRPr="006A3E11">
        <w:t>The prescreening calculation determines a maximum exposure value b</w:t>
      </w:r>
      <w:r w:rsidR="006A3E11">
        <w:t xml:space="preserve">y using the </w:t>
      </w:r>
      <w:r w:rsidR="006A3E11" w:rsidRPr="00FC6F7D">
        <w:rPr>
          <w:b/>
        </w:rPr>
        <w:t>full bid MW</w:t>
      </w:r>
      <w:r w:rsidR="006A3E11">
        <w:t xml:space="preserve"> instead of potentially awarded MW as the quantity</w:t>
      </w:r>
      <w:r w:rsidRPr="006A3E11">
        <w:t xml:space="preserve">. The optimization consumes credit during the clearing process using the potentially </w:t>
      </w:r>
      <w:r w:rsidRPr="00FC6F7D">
        <w:rPr>
          <w:b/>
        </w:rPr>
        <w:t>awarded MW</w:t>
      </w:r>
      <w:r w:rsidRPr="006A3E11">
        <w:t xml:space="preserve"> as the quantity</w:t>
      </w:r>
      <w:r w:rsidR="00FC6F7D">
        <w:t>, which may be less than the full bid MW quantity</w:t>
      </w:r>
      <w:r w:rsidRPr="006A3E11">
        <w:t>.</w:t>
      </w:r>
    </w:p>
    <w:p w14:paraId="12051472" w14:textId="77777777" w:rsidR="001C1354" w:rsidRPr="00785C06" w:rsidRDefault="001C1354" w:rsidP="00486C50">
      <w:pPr>
        <w:pStyle w:val="ListParagraph"/>
        <w:numPr>
          <w:ilvl w:val="0"/>
          <w:numId w:val="3"/>
        </w:numPr>
        <w:rPr>
          <w:rFonts w:cs="Arial"/>
          <w:b/>
          <w:color w:val="0070C0"/>
          <w:u w:val="single"/>
        </w:rPr>
      </w:pPr>
      <w:r w:rsidRPr="00FC6F7D">
        <w:t xml:space="preserve">The prescreening calculation </w:t>
      </w:r>
      <w:r w:rsidRPr="006A3E11">
        <w:t xml:space="preserve">also uses a bid stacking methodology for bids of the same product and differing quantities/prices. The </w:t>
      </w:r>
      <w:r w:rsidR="00FC6F7D">
        <w:t xml:space="preserve">auction </w:t>
      </w:r>
      <w:r w:rsidRPr="006A3E11">
        <w:t xml:space="preserve">optimization does not use bid stacking; instead, each individual bid/offer </w:t>
      </w:r>
      <w:r w:rsidR="00FC6F7D">
        <w:t>is</w:t>
      </w:r>
      <w:r w:rsidRPr="006A3E11">
        <w:t xml:space="preserve"> assessed individually.</w:t>
      </w:r>
    </w:p>
    <w:p w14:paraId="67EE18CD" w14:textId="77777777" w:rsidR="000F0DBD" w:rsidRDefault="000F0DBD" w:rsidP="000F0DBD">
      <w:pPr>
        <w:pStyle w:val="ListParagraph"/>
        <w:ind w:left="360"/>
      </w:pPr>
    </w:p>
    <w:p w14:paraId="343A63F0" w14:textId="77777777" w:rsidR="000F0DBD" w:rsidRDefault="000F0DBD" w:rsidP="000F0DBD">
      <w:pPr>
        <w:pStyle w:val="ListParagraph"/>
        <w:numPr>
          <w:ilvl w:val="0"/>
          <w:numId w:val="2"/>
        </w:numPr>
        <w:rPr>
          <w:rStyle w:val="Hyperlink"/>
          <w:rFonts w:cs="Arial"/>
          <w:b/>
          <w:color w:val="0070C0"/>
        </w:rPr>
      </w:pPr>
      <w:bookmarkStart w:id="16" w:name="WhatifCPdoesnotlockcreditandotherscenari"/>
      <w:r w:rsidRPr="00084EAF">
        <w:rPr>
          <w:rStyle w:val="Hyperlink"/>
          <w:rFonts w:cs="Arial"/>
          <w:b/>
          <w:color w:val="0070C0"/>
        </w:rPr>
        <w:t>What happens if my CP does not lock credit? And other scenario</w:t>
      </w:r>
      <w:r w:rsidR="007F3804">
        <w:rPr>
          <w:rStyle w:val="Hyperlink"/>
          <w:rFonts w:cs="Arial"/>
          <w:b/>
          <w:color w:val="0070C0"/>
        </w:rPr>
        <w:t>s</w:t>
      </w:r>
      <w:bookmarkEnd w:id="16"/>
    </w:p>
    <w:p w14:paraId="3F18C481" w14:textId="77777777" w:rsidR="007F3804" w:rsidRDefault="007F3804" w:rsidP="007F3804">
      <w:bookmarkStart w:id="17" w:name="_Ref451335326"/>
      <w:r>
        <w:rPr>
          <w:rFonts w:ascii="Calibri" w:hAnsi="Calibri"/>
          <w:b/>
          <w:bCs/>
          <w:color w:val="000000"/>
        </w:rPr>
        <w:t xml:space="preserve">Table </w:t>
      </w:r>
      <w:bookmarkEnd w:id="17"/>
      <w:r>
        <w:rPr>
          <w:rFonts w:ascii="Calibri" w:hAnsi="Calibri"/>
          <w:b/>
          <w:bCs/>
          <w:color w:val="000000"/>
        </w:rPr>
        <w:t>1: Counter-Party Budget Constraint Creation</w:t>
      </w:r>
    </w:p>
    <w:tbl>
      <w:tblPr>
        <w:tblW w:w="9332" w:type="dxa"/>
        <w:tblInd w:w="108" w:type="dxa"/>
        <w:tblCellMar>
          <w:left w:w="0" w:type="dxa"/>
          <w:right w:w="0" w:type="dxa"/>
        </w:tblCellMar>
        <w:tblLook w:val="04A0" w:firstRow="1" w:lastRow="0" w:firstColumn="1" w:lastColumn="0" w:noHBand="0" w:noVBand="1"/>
      </w:tblPr>
      <w:tblGrid>
        <w:gridCol w:w="1746"/>
        <w:gridCol w:w="2394"/>
        <w:gridCol w:w="2582"/>
        <w:gridCol w:w="2610"/>
      </w:tblGrid>
      <w:tr w:rsidR="007F3804" w14:paraId="6B2DFEE1" w14:textId="77777777" w:rsidTr="007E69BC">
        <w:tc>
          <w:tcPr>
            <w:tcW w:w="1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376C4B" w14:textId="77777777" w:rsidR="007F3804" w:rsidRDefault="007F3804">
            <w:pPr>
              <w:spacing w:before="60"/>
              <w:jc w:val="center"/>
              <w:rPr>
                <w:rFonts w:ascii="Calibri" w:hAnsi="Calibri"/>
              </w:rPr>
            </w:pPr>
            <w:r>
              <w:rPr>
                <w:rFonts w:ascii="Calibri" w:hAnsi="Calibri"/>
                <w:b/>
                <w:bCs/>
                <w:color w:val="000000"/>
              </w:rPr>
              <w:t>Scenario</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25482" w14:textId="77777777" w:rsidR="007F3804" w:rsidRDefault="007F3804">
            <w:pPr>
              <w:spacing w:before="60"/>
              <w:jc w:val="center"/>
              <w:rPr>
                <w:rFonts w:ascii="Calibri" w:hAnsi="Calibri"/>
              </w:rPr>
            </w:pPr>
            <w:r>
              <w:rPr>
                <w:rFonts w:ascii="Calibri" w:hAnsi="Calibri"/>
                <w:b/>
                <w:bCs/>
                <w:color w:val="000000"/>
              </w:rPr>
              <w:t>Counter-Party Self-imposed Credit  Limit</w:t>
            </w:r>
          </w:p>
        </w:tc>
        <w:tc>
          <w:tcPr>
            <w:tcW w:w="2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0E236" w14:textId="77777777" w:rsidR="007F3804" w:rsidRDefault="007F3804">
            <w:pPr>
              <w:spacing w:before="60"/>
              <w:jc w:val="center"/>
              <w:rPr>
                <w:rFonts w:ascii="Calibri" w:hAnsi="Calibri"/>
              </w:rPr>
            </w:pPr>
            <w:r>
              <w:rPr>
                <w:rFonts w:ascii="Calibri" w:hAnsi="Calibri"/>
                <w:b/>
                <w:bCs/>
                <w:color w:val="000000"/>
              </w:rPr>
              <w:t>Counter-Party Credit Exposure</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E2E313" w14:textId="77777777" w:rsidR="007F3804" w:rsidRDefault="007F3804">
            <w:pPr>
              <w:spacing w:before="60"/>
              <w:jc w:val="center"/>
              <w:rPr>
                <w:rFonts w:ascii="Calibri" w:hAnsi="Calibri"/>
              </w:rPr>
            </w:pPr>
            <w:r>
              <w:rPr>
                <w:rFonts w:ascii="Calibri" w:hAnsi="Calibri"/>
                <w:b/>
                <w:bCs/>
                <w:color w:val="000000"/>
              </w:rPr>
              <w:t>Records to Engine</w:t>
            </w:r>
          </w:p>
        </w:tc>
      </w:tr>
      <w:tr w:rsidR="007F3804" w14:paraId="5CFF43E6" w14:textId="77777777" w:rsidTr="007E69BC">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7F9AB" w14:textId="77777777" w:rsidR="007F3804" w:rsidRDefault="007F3804">
            <w:pPr>
              <w:spacing w:before="60"/>
              <w:rPr>
                <w:rFonts w:ascii="Calibri" w:hAnsi="Calibri"/>
              </w:rPr>
            </w:pPr>
            <w:r>
              <w:rPr>
                <w:rFonts w:ascii="Calibri" w:hAnsi="Calibri"/>
                <w:color w:val="000000"/>
              </w:rPr>
              <w:t>1</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0751FFBF" w14:textId="77777777" w:rsidR="007F3804" w:rsidRDefault="007F3804">
            <w:pPr>
              <w:spacing w:before="60"/>
              <w:rPr>
                <w:rFonts w:ascii="Calibri" w:hAnsi="Calibri"/>
              </w:rPr>
            </w:pPr>
            <w:r>
              <w:rPr>
                <w:rFonts w:ascii="Calibri" w:hAnsi="Calibri"/>
                <w:color w:val="000000"/>
                <w:sz w:val="20"/>
                <w:szCs w:val="20"/>
              </w:rPr>
              <w:t>Any number or No Entry</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6FCD0811" w14:textId="77777777" w:rsidR="007F3804" w:rsidRDefault="007F3804">
            <w:pPr>
              <w:spacing w:before="60"/>
              <w:rPr>
                <w:rFonts w:ascii="Calibri" w:hAnsi="Calibri"/>
              </w:rPr>
            </w:pPr>
            <w:r>
              <w:rPr>
                <w:rFonts w:ascii="Calibri" w:hAnsi="Calibri"/>
              </w:rPr>
              <w:t xml:space="preserve">N/A because </w:t>
            </w:r>
            <w:r w:rsidR="007E69BC">
              <w:rPr>
                <w:rFonts w:ascii="Calibri" w:hAnsi="Calibri"/>
              </w:rPr>
              <w:t>CRR</w:t>
            </w:r>
            <w:r>
              <w:rPr>
                <w:rFonts w:ascii="Calibri" w:hAnsi="Calibri"/>
              </w:rPr>
              <w:t xml:space="preserve">AHs under </w:t>
            </w:r>
            <w:r w:rsidR="007E69BC">
              <w:rPr>
                <w:rFonts w:ascii="Calibri" w:hAnsi="Calibri"/>
              </w:rPr>
              <w:t xml:space="preserve">the </w:t>
            </w:r>
            <w:r>
              <w:rPr>
                <w:rFonts w:ascii="Calibri" w:hAnsi="Calibri"/>
              </w:rPr>
              <w:t>CP submit only OPT sell offers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7BB7188" w14:textId="77777777" w:rsidR="007F3804" w:rsidRDefault="007F3804">
            <w:pPr>
              <w:spacing w:before="60"/>
              <w:rPr>
                <w:rFonts w:ascii="Calibri" w:hAnsi="Calibri"/>
              </w:rPr>
            </w:pPr>
            <w:r>
              <w:rPr>
                <w:rFonts w:ascii="Calibri" w:hAnsi="Calibri"/>
                <w:color w:val="000000"/>
              </w:rPr>
              <w:t>No budget constraint for CP</w:t>
            </w:r>
          </w:p>
        </w:tc>
      </w:tr>
      <w:tr w:rsidR="007F3804" w14:paraId="216CB280" w14:textId="77777777" w:rsidTr="007E69BC">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CB20F" w14:textId="77777777" w:rsidR="007F3804" w:rsidRDefault="007F3804">
            <w:pPr>
              <w:spacing w:before="60"/>
              <w:rPr>
                <w:rFonts w:ascii="Calibri" w:hAnsi="Calibri"/>
              </w:rPr>
            </w:pPr>
            <w:r>
              <w:rPr>
                <w:rFonts w:ascii="Calibri" w:hAnsi="Calibri"/>
                <w:color w:val="000000"/>
              </w:rPr>
              <w:lastRenderedPageBreak/>
              <w:t>2</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78A7CBAD" w14:textId="77777777" w:rsidR="007F3804" w:rsidRDefault="007F3804">
            <w:pPr>
              <w:spacing w:before="60"/>
              <w:rPr>
                <w:rFonts w:ascii="Calibri" w:hAnsi="Calibri"/>
              </w:rPr>
            </w:pPr>
            <w:r>
              <w:rPr>
                <w:rFonts w:ascii="Calibri" w:hAnsi="Calibri"/>
                <w:color w:val="000000"/>
              </w:rPr>
              <w:t>$xx</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583DB112" w14:textId="77777777" w:rsidR="007F3804" w:rsidRDefault="007F3804">
            <w:pPr>
              <w:spacing w:before="60"/>
              <w:rPr>
                <w:rFonts w:ascii="Calibri" w:hAnsi="Calibri"/>
              </w:rPr>
            </w:pPr>
            <w:r>
              <w:rPr>
                <w:rFonts w:ascii="Calibri" w:hAnsi="Calibri"/>
              </w:rPr>
              <w:t>&gt; $xx</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1BED7E1" w14:textId="77777777" w:rsidR="007F3804" w:rsidRDefault="007F3804">
            <w:pPr>
              <w:spacing w:before="60"/>
              <w:rPr>
                <w:rFonts w:ascii="Calibri" w:hAnsi="Calibri"/>
              </w:rPr>
            </w:pPr>
            <w:r>
              <w:rPr>
                <w:rFonts w:ascii="Calibri" w:hAnsi="Calibri"/>
                <w:color w:val="000000"/>
              </w:rPr>
              <w:t xml:space="preserve">Create a budget constraint for CP where limit = $xx </w:t>
            </w:r>
          </w:p>
        </w:tc>
      </w:tr>
      <w:tr w:rsidR="007F3804" w14:paraId="55DDEF80" w14:textId="77777777" w:rsidTr="007E69BC">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89138" w14:textId="77777777" w:rsidR="007F3804" w:rsidRDefault="007F3804">
            <w:pPr>
              <w:spacing w:before="60"/>
              <w:rPr>
                <w:rFonts w:ascii="Calibri" w:hAnsi="Calibri"/>
              </w:rPr>
            </w:pPr>
            <w:r>
              <w:rPr>
                <w:rFonts w:ascii="Calibri" w:hAnsi="Calibri"/>
                <w:color w:val="000000"/>
              </w:rPr>
              <w:t>3</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7DB7FE70" w14:textId="77777777" w:rsidR="007F3804" w:rsidRDefault="007F3804">
            <w:pPr>
              <w:spacing w:before="60"/>
              <w:rPr>
                <w:rFonts w:ascii="Calibri" w:hAnsi="Calibri"/>
              </w:rPr>
            </w:pPr>
            <w:r>
              <w:rPr>
                <w:rFonts w:ascii="Calibri" w:hAnsi="Calibri"/>
                <w:color w:val="000000"/>
              </w:rPr>
              <w:t>$xx</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16A8FA83" w14:textId="77777777" w:rsidR="007F3804" w:rsidRDefault="007F3804">
            <w:pPr>
              <w:spacing w:before="60"/>
              <w:rPr>
                <w:rFonts w:ascii="Calibri" w:hAnsi="Calibri"/>
              </w:rPr>
            </w:pPr>
            <w:r>
              <w:rPr>
                <w:rFonts w:ascii="Calibri" w:hAnsi="Calibri"/>
              </w:rPr>
              <w:t>&lt;= $xx</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6B9F35C0" w14:textId="77777777" w:rsidR="007F3804" w:rsidRDefault="007F3804">
            <w:pPr>
              <w:spacing w:before="60"/>
              <w:rPr>
                <w:rFonts w:ascii="Calibri" w:hAnsi="Calibri"/>
              </w:rPr>
            </w:pPr>
            <w:r>
              <w:rPr>
                <w:rFonts w:ascii="Calibri" w:hAnsi="Calibri"/>
                <w:color w:val="000000"/>
              </w:rPr>
              <w:t>No budget constraint for CP</w:t>
            </w:r>
          </w:p>
        </w:tc>
      </w:tr>
      <w:tr w:rsidR="007F3804" w14:paraId="1F1575EB" w14:textId="77777777" w:rsidTr="007E69BC">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9D8F1" w14:textId="77777777" w:rsidR="007F3804" w:rsidRDefault="007F3804">
            <w:pPr>
              <w:spacing w:before="60"/>
              <w:rPr>
                <w:rFonts w:ascii="Calibri" w:hAnsi="Calibri"/>
              </w:rPr>
            </w:pPr>
            <w:r>
              <w:rPr>
                <w:rFonts w:ascii="Calibri" w:hAnsi="Calibri"/>
                <w:color w:val="000000"/>
              </w:rPr>
              <w:t>4</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4C446E6A" w14:textId="77777777" w:rsidR="007F3804" w:rsidRDefault="007F3804">
            <w:pPr>
              <w:spacing w:before="60"/>
              <w:rPr>
                <w:rFonts w:ascii="Calibri" w:hAnsi="Calibri"/>
              </w:rPr>
            </w:pPr>
            <w:r>
              <w:rPr>
                <w:rFonts w:ascii="Calibri" w:hAnsi="Calibri"/>
                <w:color w:val="000000"/>
              </w:rPr>
              <w:t>No Entry</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784CC2AE" w14:textId="77777777" w:rsidR="007F3804" w:rsidRDefault="007F3804">
            <w:pPr>
              <w:spacing w:before="60"/>
              <w:rPr>
                <w:rFonts w:ascii="Calibri" w:hAnsi="Calibri"/>
              </w:rPr>
            </w:pPr>
            <w:r>
              <w:rPr>
                <w:rFonts w:ascii="Calibri" w:hAnsi="Calibri"/>
              </w:rPr>
              <w:t>Any number</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33D575D0" w14:textId="77777777" w:rsidR="007F3804" w:rsidRDefault="007F3804">
            <w:pPr>
              <w:spacing w:before="60"/>
              <w:rPr>
                <w:rFonts w:ascii="Calibri" w:hAnsi="Calibri"/>
              </w:rPr>
            </w:pPr>
            <w:r>
              <w:rPr>
                <w:rFonts w:ascii="Calibri" w:hAnsi="Calibri"/>
                <w:color w:val="000000"/>
              </w:rPr>
              <w:t>Create a budget constraint for CP where limit = $0</w:t>
            </w:r>
          </w:p>
        </w:tc>
      </w:tr>
    </w:tbl>
    <w:p w14:paraId="15598B8B" w14:textId="77777777" w:rsidR="007F3804" w:rsidRDefault="007F3804" w:rsidP="007F3804">
      <w:pPr>
        <w:spacing w:after="120" w:line="276" w:lineRule="auto"/>
        <w:rPr>
          <w:rFonts w:ascii="Calibri" w:hAnsi="Calibri"/>
        </w:rPr>
      </w:pPr>
      <w:r>
        <w:rPr>
          <w:rFonts w:ascii="Calibri" w:hAnsi="Calibri"/>
        </w:rPr>
        <w:t> </w:t>
      </w:r>
    </w:p>
    <w:p w14:paraId="274B1ECD" w14:textId="77777777" w:rsidR="007F3804" w:rsidRDefault="007F3804" w:rsidP="007F3804">
      <w:pPr>
        <w:spacing w:after="120" w:line="276" w:lineRule="auto"/>
        <w:rPr>
          <w:rFonts w:ascii="Calibri" w:hAnsi="Calibri"/>
        </w:rPr>
      </w:pPr>
      <w:bookmarkStart w:id="18" w:name="_Ref451335331"/>
      <w:r>
        <w:rPr>
          <w:rFonts w:ascii="Calibri" w:hAnsi="Calibri"/>
          <w:b/>
          <w:bCs/>
          <w:color w:val="000000"/>
        </w:rPr>
        <w:t xml:space="preserve">Table </w:t>
      </w:r>
      <w:bookmarkEnd w:id="18"/>
      <w:r>
        <w:rPr>
          <w:rFonts w:ascii="Calibri" w:hAnsi="Calibri"/>
          <w:b/>
          <w:bCs/>
          <w:color w:val="000000"/>
        </w:rPr>
        <w:t xml:space="preserve">2: </w:t>
      </w:r>
      <w:r w:rsidR="007E69BC">
        <w:rPr>
          <w:rFonts w:ascii="Calibri" w:hAnsi="Calibri"/>
          <w:b/>
          <w:bCs/>
          <w:color w:val="000000"/>
        </w:rPr>
        <w:t>CRR Account</w:t>
      </w:r>
      <w:r>
        <w:rPr>
          <w:rFonts w:ascii="Calibri" w:hAnsi="Calibri"/>
          <w:b/>
          <w:bCs/>
          <w:color w:val="000000"/>
        </w:rPr>
        <w:t xml:space="preserve"> Holder Budget Constraint Creation</w:t>
      </w:r>
    </w:p>
    <w:tbl>
      <w:tblPr>
        <w:tblW w:w="9360" w:type="dxa"/>
        <w:tblInd w:w="108" w:type="dxa"/>
        <w:tblCellMar>
          <w:left w:w="0" w:type="dxa"/>
          <w:right w:w="0" w:type="dxa"/>
        </w:tblCellMar>
        <w:tblLook w:val="04A0" w:firstRow="1" w:lastRow="0" w:firstColumn="1" w:lastColumn="0" w:noHBand="0" w:noVBand="1"/>
      </w:tblPr>
      <w:tblGrid>
        <w:gridCol w:w="1052"/>
        <w:gridCol w:w="1980"/>
        <w:gridCol w:w="1828"/>
        <w:gridCol w:w="2042"/>
        <w:gridCol w:w="2458"/>
      </w:tblGrid>
      <w:tr w:rsidR="007F3804" w14:paraId="66F4B7AD" w14:textId="77777777" w:rsidTr="007F3804">
        <w:trPr>
          <w:trHeight w:val="637"/>
        </w:trPr>
        <w:tc>
          <w:tcPr>
            <w:tcW w:w="1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E96702" w14:textId="77777777" w:rsidR="007F3804" w:rsidRDefault="007F3804">
            <w:pPr>
              <w:spacing w:before="60" w:line="276" w:lineRule="auto"/>
              <w:jc w:val="center"/>
              <w:rPr>
                <w:rFonts w:ascii="Calibri" w:hAnsi="Calibri"/>
              </w:rPr>
            </w:pPr>
            <w:r>
              <w:rPr>
                <w:rFonts w:ascii="Calibri" w:hAnsi="Calibri"/>
                <w:b/>
                <w:bCs/>
                <w:color w:val="000000"/>
                <w:sz w:val="20"/>
                <w:szCs w:val="20"/>
              </w:rPr>
              <w:t>Scenario</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21649C" w14:textId="77777777" w:rsidR="007F3804" w:rsidRDefault="007F3804">
            <w:pPr>
              <w:spacing w:before="60" w:line="276" w:lineRule="auto"/>
              <w:jc w:val="center"/>
              <w:rPr>
                <w:rFonts w:ascii="Calibri" w:hAnsi="Calibri"/>
              </w:rPr>
            </w:pPr>
            <w:r>
              <w:rPr>
                <w:rFonts w:ascii="Calibri" w:hAnsi="Calibri"/>
                <w:b/>
                <w:bCs/>
                <w:color w:val="000000"/>
                <w:sz w:val="20"/>
                <w:szCs w:val="20"/>
              </w:rPr>
              <w:t>CRRAH Self-imposed Credit Limit</w:t>
            </w:r>
          </w:p>
        </w:tc>
        <w:tc>
          <w:tcPr>
            <w:tcW w:w="1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1D86F2" w14:textId="77777777" w:rsidR="007F3804" w:rsidRDefault="007F3804" w:rsidP="007F3804">
            <w:pPr>
              <w:spacing w:before="60" w:line="276" w:lineRule="auto"/>
              <w:jc w:val="center"/>
              <w:rPr>
                <w:rFonts w:ascii="Calibri" w:hAnsi="Calibri"/>
              </w:rPr>
            </w:pPr>
            <w:r>
              <w:rPr>
                <w:rFonts w:ascii="Calibri" w:hAnsi="Calibri"/>
                <w:b/>
                <w:bCs/>
                <w:color w:val="000000"/>
                <w:sz w:val="20"/>
                <w:szCs w:val="20"/>
              </w:rPr>
              <w:t>CRRAH Creditworthy?</w:t>
            </w:r>
          </w:p>
        </w:tc>
        <w:tc>
          <w:tcPr>
            <w:tcW w:w="2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CEB653" w14:textId="77777777" w:rsidR="007F3804" w:rsidRDefault="007F3804">
            <w:pPr>
              <w:spacing w:before="60" w:line="276" w:lineRule="auto"/>
              <w:jc w:val="center"/>
              <w:rPr>
                <w:rFonts w:ascii="Calibri" w:hAnsi="Calibri"/>
              </w:rPr>
            </w:pPr>
            <w:r>
              <w:rPr>
                <w:rFonts w:ascii="Calibri" w:hAnsi="Calibri"/>
                <w:b/>
                <w:bCs/>
                <w:color w:val="000000"/>
                <w:sz w:val="20"/>
                <w:szCs w:val="20"/>
              </w:rPr>
              <w:t>CRRAH Credit Exposure</w:t>
            </w:r>
          </w:p>
        </w:tc>
        <w:tc>
          <w:tcPr>
            <w:tcW w:w="24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3561C6" w14:textId="77777777" w:rsidR="007F3804" w:rsidRDefault="007F3804">
            <w:pPr>
              <w:spacing w:before="60" w:line="276" w:lineRule="auto"/>
              <w:jc w:val="center"/>
              <w:rPr>
                <w:rFonts w:ascii="Calibri" w:hAnsi="Calibri"/>
              </w:rPr>
            </w:pPr>
            <w:r>
              <w:rPr>
                <w:rFonts w:ascii="Calibri" w:hAnsi="Calibri"/>
                <w:b/>
                <w:bCs/>
                <w:color w:val="000000"/>
                <w:sz w:val="20"/>
                <w:szCs w:val="20"/>
              </w:rPr>
              <w:t>Records to Engine</w:t>
            </w:r>
          </w:p>
        </w:tc>
      </w:tr>
      <w:tr w:rsidR="007F3804" w14:paraId="1C56E67F" w14:textId="77777777" w:rsidTr="007F3804">
        <w:trPr>
          <w:trHeight w:val="611"/>
        </w:trPr>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76461" w14:textId="77777777" w:rsidR="007F3804" w:rsidRDefault="007F3804">
            <w:pPr>
              <w:spacing w:before="60" w:after="200" w:line="276" w:lineRule="auto"/>
              <w:rPr>
                <w:rFonts w:ascii="Calibri" w:hAnsi="Calibri"/>
              </w:rPr>
            </w:pPr>
            <w:r>
              <w:rPr>
                <w:rFonts w:ascii="Calibri" w:hAnsi="Calibri"/>
                <w:color w:val="000000"/>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912B2BB" w14:textId="77777777" w:rsidR="007F3804" w:rsidRDefault="007F3804">
            <w:pPr>
              <w:spacing w:before="60" w:line="276" w:lineRule="auto"/>
              <w:rPr>
                <w:rFonts w:ascii="Calibri" w:hAnsi="Calibri"/>
              </w:rPr>
            </w:pPr>
            <w:r>
              <w:rPr>
                <w:rFonts w:ascii="Calibri" w:hAnsi="Calibri"/>
                <w:color w:val="000000"/>
                <w:sz w:val="20"/>
                <w:szCs w:val="20"/>
              </w:rPr>
              <w:t>Any number or No Entry</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14:paraId="6D5F9370" w14:textId="77777777" w:rsidR="007F3804" w:rsidRDefault="007F3804">
            <w:pPr>
              <w:spacing w:before="60" w:line="276" w:lineRule="auto"/>
              <w:rPr>
                <w:rFonts w:ascii="Calibri" w:hAnsi="Calibri"/>
              </w:rPr>
            </w:pPr>
            <w:r>
              <w:rPr>
                <w:rFonts w:ascii="Calibri" w:hAnsi="Calibri"/>
                <w:color w:val="000000"/>
                <w:sz w:val="20"/>
                <w:szCs w:val="20"/>
              </w:rPr>
              <w:t>Yes or no</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14:paraId="06A811EC" w14:textId="77777777" w:rsidR="007F3804" w:rsidRDefault="007F3804" w:rsidP="007F3804">
            <w:pPr>
              <w:spacing w:before="60" w:after="200" w:line="276" w:lineRule="auto"/>
              <w:rPr>
                <w:rFonts w:ascii="Calibri" w:hAnsi="Calibri"/>
              </w:rPr>
            </w:pPr>
            <w:r>
              <w:rPr>
                <w:rFonts w:ascii="Calibri" w:hAnsi="Calibri"/>
              </w:rPr>
              <w:t>N/A because CRRAH submits only OPT sell offers</w:t>
            </w:r>
          </w:p>
        </w:tc>
        <w:tc>
          <w:tcPr>
            <w:tcW w:w="2458" w:type="dxa"/>
            <w:tcBorders>
              <w:top w:val="nil"/>
              <w:left w:val="nil"/>
              <w:bottom w:val="single" w:sz="8" w:space="0" w:color="auto"/>
              <w:right w:val="single" w:sz="8" w:space="0" w:color="auto"/>
            </w:tcBorders>
            <w:tcMar>
              <w:top w:w="0" w:type="dxa"/>
              <w:left w:w="108" w:type="dxa"/>
              <w:bottom w:w="0" w:type="dxa"/>
              <w:right w:w="108" w:type="dxa"/>
            </w:tcMar>
            <w:hideMark/>
          </w:tcPr>
          <w:p w14:paraId="78C4434D" w14:textId="77777777" w:rsidR="007F3804" w:rsidRDefault="007F3804" w:rsidP="007F3804">
            <w:pPr>
              <w:spacing w:before="60" w:after="200" w:line="276" w:lineRule="auto"/>
              <w:rPr>
                <w:rFonts w:ascii="Calibri" w:hAnsi="Calibri"/>
              </w:rPr>
            </w:pPr>
            <w:r>
              <w:rPr>
                <w:rFonts w:ascii="Calibri" w:hAnsi="Calibri"/>
                <w:color w:val="000000"/>
              </w:rPr>
              <w:t>No budget constraint for CRRAH</w:t>
            </w:r>
          </w:p>
        </w:tc>
      </w:tr>
      <w:tr w:rsidR="007F3804" w14:paraId="1332666C" w14:textId="77777777" w:rsidTr="007F3804">
        <w:trPr>
          <w:trHeight w:val="611"/>
        </w:trPr>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563FD" w14:textId="77777777" w:rsidR="007F3804" w:rsidRDefault="007F3804">
            <w:pPr>
              <w:spacing w:before="60" w:after="200" w:line="276" w:lineRule="auto"/>
              <w:rPr>
                <w:rFonts w:ascii="Calibri" w:hAnsi="Calibri"/>
              </w:rPr>
            </w:pPr>
            <w:r>
              <w:rPr>
                <w:rFonts w:ascii="Calibri" w:hAnsi="Calibri"/>
                <w:color w:val="000000"/>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169B02F" w14:textId="77777777" w:rsidR="007F3804" w:rsidRDefault="007F3804">
            <w:pPr>
              <w:spacing w:before="60" w:line="276" w:lineRule="auto"/>
              <w:rPr>
                <w:rFonts w:ascii="Calibri" w:hAnsi="Calibri"/>
              </w:rPr>
            </w:pPr>
            <w:r>
              <w:rPr>
                <w:rFonts w:ascii="Calibri" w:hAnsi="Calibri"/>
                <w:color w:val="000000"/>
                <w:sz w:val="20"/>
                <w:szCs w:val="20"/>
              </w:rPr>
              <w:t>$xx</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14:paraId="3E98DBA8" w14:textId="77777777" w:rsidR="007F3804" w:rsidRDefault="007F3804">
            <w:pPr>
              <w:spacing w:before="60" w:line="276" w:lineRule="auto"/>
              <w:rPr>
                <w:rFonts w:ascii="Calibri" w:hAnsi="Calibri"/>
              </w:rPr>
            </w:pPr>
            <w:r>
              <w:rPr>
                <w:rFonts w:ascii="Calibri" w:hAnsi="Calibri"/>
                <w:color w:val="000000"/>
                <w:sz w:val="20"/>
                <w:szCs w:val="20"/>
              </w:rPr>
              <w:t>Yes</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14:paraId="092F9B0B" w14:textId="77777777" w:rsidR="007F3804" w:rsidRDefault="007F3804">
            <w:pPr>
              <w:spacing w:before="60" w:line="276" w:lineRule="auto"/>
              <w:rPr>
                <w:rFonts w:ascii="Calibri" w:hAnsi="Calibri"/>
              </w:rPr>
            </w:pPr>
            <w:r>
              <w:rPr>
                <w:rFonts w:ascii="Calibri" w:hAnsi="Calibri"/>
                <w:sz w:val="20"/>
                <w:szCs w:val="20"/>
              </w:rPr>
              <w:t>&gt; $xx</w:t>
            </w:r>
          </w:p>
        </w:tc>
        <w:tc>
          <w:tcPr>
            <w:tcW w:w="2458" w:type="dxa"/>
            <w:tcBorders>
              <w:top w:val="nil"/>
              <w:left w:val="nil"/>
              <w:bottom w:val="single" w:sz="8" w:space="0" w:color="auto"/>
              <w:right w:val="single" w:sz="8" w:space="0" w:color="auto"/>
            </w:tcBorders>
            <w:tcMar>
              <w:top w:w="0" w:type="dxa"/>
              <w:left w:w="108" w:type="dxa"/>
              <w:bottom w:w="0" w:type="dxa"/>
              <w:right w:w="108" w:type="dxa"/>
            </w:tcMar>
            <w:hideMark/>
          </w:tcPr>
          <w:p w14:paraId="025BB4C4" w14:textId="77777777" w:rsidR="007F3804" w:rsidRDefault="007F3804" w:rsidP="007F3804">
            <w:pPr>
              <w:spacing w:before="60" w:line="276" w:lineRule="auto"/>
              <w:rPr>
                <w:rFonts w:ascii="Calibri" w:hAnsi="Calibri"/>
              </w:rPr>
            </w:pPr>
            <w:r>
              <w:rPr>
                <w:rFonts w:ascii="Calibri" w:hAnsi="Calibri"/>
                <w:color w:val="000000"/>
                <w:sz w:val="20"/>
                <w:szCs w:val="20"/>
              </w:rPr>
              <w:t>Create a budget constraint for CRRAH where limit = $xx</w:t>
            </w:r>
          </w:p>
        </w:tc>
      </w:tr>
      <w:tr w:rsidR="007F3804" w14:paraId="7ADF6400" w14:textId="77777777" w:rsidTr="007F380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FFEF4" w14:textId="77777777" w:rsidR="007F3804" w:rsidRDefault="007F3804">
            <w:pPr>
              <w:spacing w:before="60" w:after="200" w:line="276" w:lineRule="auto"/>
              <w:rPr>
                <w:rFonts w:ascii="Calibri" w:hAnsi="Calibri"/>
              </w:rPr>
            </w:pPr>
            <w:r>
              <w:rPr>
                <w:rFonts w:ascii="Calibri" w:hAnsi="Calibri"/>
                <w:color w:val="000000"/>
              </w:rPr>
              <w:t>3</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2348639" w14:textId="77777777" w:rsidR="007F3804" w:rsidRDefault="007F3804">
            <w:pPr>
              <w:spacing w:before="60" w:line="276" w:lineRule="auto"/>
              <w:rPr>
                <w:rFonts w:ascii="Calibri" w:hAnsi="Calibri"/>
              </w:rPr>
            </w:pPr>
            <w:r>
              <w:rPr>
                <w:rFonts w:ascii="Calibri" w:hAnsi="Calibri"/>
                <w:color w:val="000000"/>
                <w:sz w:val="20"/>
                <w:szCs w:val="20"/>
              </w:rPr>
              <w:t>$xx</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14:paraId="540DF94B" w14:textId="77777777" w:rsidR="007F3804" w:rsidRDefault="007F3804">
            <w:pPr>
              <w:spacing w:before="60" w:line="276" w:lineRule="auto"/>
              <w:rPr>
                <w:rFonts w:ascii="Calibri" w:hAnsi="Calibri"/>
              </w:rPr>
            </w:pPr>
            <w:r>
              <w:rPr>
                <w:rFonts w:ascii="Calibri" w:hAnsi="Calibri"/>
                <w:color w:val="000000"/>
                <w:sz w:val="20"/>
                <w:szCs w:val="20"/>
              </w:rPr>
              <w:t>Yes</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14:paraId="3721A21D" w14:textId="77777777" w:rsidR="007F3804" w:rsidRDefault="007F3804">
            <w:pPr>
              <w:spacing w:before="60" w:line="276" w:lineRule="auto"/>
              <w:rPr>
                <w:rFonts w:ascii="Calibri" w:hAnsi="Calibri"/>
              </w:rPr>
            </w:pPr>
            <w:r>
              <w:rPr>
                <w:rFonts w:ascii="Calibri" w:hAnsi="Calibri"/>
                <w:sz w:val="20"/>
                <w:szCs w:val="20"/>
              </w:rPr>
              <w:t>&lt;= $xx</w:t>
            </w:r>
          </w:p>
        </w:tc>
        <w:tc>
          <w:tcPr>
            <w:tcW w:w="2458" w:type="dxa"/>
            <w:tcBorders>
              <w:top w:val="nil"/>
              <w:left w:val="nil"/>
              <w:bottom w:val="single" w:sz="8" w:space="0" w:color="auto"/>
              <w:right w:val="single" w:sz="8" w:space="0" w:color="auto"/>
            </w:tcBorders>
            <w:tcMar>
              <w:top w:w="0" w:type="dxa"/>
              <w:left w:w="108" w:type="dxa"/>
              <w:bottom w:w="0" w:type="dxa"/>
              <w:right w:w="108" w:type="dxa"/>
            </w:tcMar>
            <w:hideMark/>
          </w:tcPr>
          <w:p w14:paraId="205513A5" w14:textId="77777777" w:rsidR="007F3804" w:rsidRDefault="007F3804" w:rsidP="007F3804">
            <w:pPr>
              <w:spacing w:before="60" w:line="276" w:lineRule="auto"/>
              <w:rPr>
                <w:rFonts w:ascii="Calibri" w:hAnsi="Calibri"/>
              </w:rPr>
            </w:pPr>
            <w:r>
              <w:rPr>
                <w:rFonts w:ascii="Calibri" w:hAnsi="Calibri"/>
                <w:color w:val="000000"/>
                <w:sz w:val="20"/>
                <w:szCs w:val="20"/>
              </w:rPr>
              <w:t>No budget constraint for CRRAH</w:t>
            </w:r>
          </w:p>
        </w:tc>
      </w:tr>
      <w:tr w:rsidR="007F3804" w14:paraId="4DF0E56E" w14:textId="77777777" w:rsidTr="007F3804">
        <w:trPr>
          <w:trHeight w:val="359"/>
        </w:trPr>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C43A4" w14:textId="77777777" w:rsidR="007F3804" w:rsidRDefault="007F3804">
            <w:pPr>
              <w:spacing w:before="60" w:after="200" w:line="276" w:lineRule="auto"/>
              <w:rPr>
                <w:rFonts w:ascii="Calibri" w:hAnsi="Calibri"/>
              </w:rPr>
            </w:pPr>
            <w:r>
              <w:rPr>
                <w:rFonts w:ascii="Calibri" w:hAnsi="Calibri"/>
                <w:color w:val="000000"/>
              </w:rPr>
              <w:t>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C8BDD4B" w14:textId="77777777" w:rsidR="007F3804" w:rsidRDefault="007F3804">
            <w:pPr>
              <w:spacing w:before="60" w:line="276" w:lineRule="auto"/>
              <w:rPr>
                <w:rFonts w:ascii="Calibri" w:hAnsi="Calibri"/>
              </w:rPr>
            </w:pPr>
            <w:r>
              <w:rPr>
                <w:rFonts w:ascii="Calibri" w:hAnsi="Calibri"/>
                <w:color w:val="000000"/>
                <w:sz w:val="20"/>
                <w:szCs w:val="20"/>
              </w:rPr>
              <w:t>No Entry</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14:paraId="7CB5639A" w14:textId="77777777" w:rsidR="007F3804" w:rsidRDefault="007F3804">
            <w:pPr>
              <w:spacing w:before="60" w:line="276" w:lineRule="auto"/>
              <w:rPr>
                <w:rFonts w:ascii="Calibri" w:hAnsi="Calibri"/>
              </w:rPr>
            </w:pPr>
            <w:r>
              <w:rPr>
                <w:rFonts w:ascii="Calibri" w:hAnsi="Calibri"/>
                <w:color w:val="000000"/>
                <w:sz w:val="20"/>
                <w:szCs w:val="20"/>
              </w:rPr>
              <w:t>Yes</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14:paraId="55BB1796" w14:textId="77777777" w:rsidR="007F3804" w:rsidRDefault="007F3804">
            <w:pPr>
              <w:spacing w:before="60" w:line="276" w:lineRule="auto"/>
              <w:rPr>
                <w:rFonts w:ascii="Calibri" w:hAnsi="Calibri"/>
              </w:rPr>
            </w:pPr>
            <w:r>
              <w:rPr>
                <w:rFonts w:ascii="Calibri" w:hAnsi="Calibri"/>
                <w:sz w:val="20"/>
                <w:szCs w:val="20"/>
              </w:rPr>
              <w:t>Any number</w:t>
            </w:r>
          </w:p>
        </w:tc>
        <w:tc>
          <w:tcPr>
            <w:tcW w:w="2458" w:type="dxa"/>
            <w:tcBorders>
              <w:top w:val="nil"/>
              <w:left w:val="nil"/>
              <w:bottom w:val="single" w:sz="8" w:space="0" w:color="auto"/>
              <w:right w:val="single" w:sz="8" w:space="0" w:color="auto"/>
            </w:tcBorders>
            <w:tcMar>
              <w:top w:w="0" w:type="dxa"/>
              <w:left w:w="108" w:type="dxa"/>
              <w:bottom w:w="0" w:type="dxa"/>
              <w:right w:w="108" w:type="dxa"/>
            </w:tcMar>
            <w:hideMark/>
          </w:tcPr>
          <w:p w14:paraId="0584AD16" w14:textId="77777777" w:rsidR="007F3804" w:rsidRDefault="007F3804" w:rsidP="007F3804">
            <w:pPr>
              <w:spacing w:before="60" w:line="276" w:lineRule="auto"/>
              <w:rPr>
                <w:rFonts w:ascii="Calibri" w:hAnsi="Calibri"/>
              </w:rPr>
            </w:pPr>
            <w:r>
              <w:rPr>
                <w:rFonts w:ascii="Calibri" w:hAnsi="Calibri"/>
                <w:color w:val="000000"/>
                <w:sz w:val="20"/>
                <w:szCs w:val="20"/>
              </w:rPr>
              <w:t>No budget constraint for CRRAH</w:t>
            </w:r>
          </w:p>
        </w:tc>
      </w:tr>
      <w:tr w:rsidR="007F3804" w14:paraId="3B9786B0" w14:textId="77777777" w:rsidTr="007F3804">
        <w:trPr>
          <w:trHeight w:val="620"/>
        </w:trPr>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E8EE5" w14:textId="77777777" w:rsidR="007F3804" w:rsidRDefault="007F3804">
            <w:pPr>
              <w:spacing w:before="60" w:line="276" w:lineRule="auto"/>
              <w:rPr>
                <w:rFonts w:ascii="Calibri" w:hAnsi="Calibri"/>
              </w:rPr>
            </w:pPr>
            <w:r>
              <w:rPr>
                <w:rFonts w:ascii="Calibri" w:hAnsi="Calibri"/>
                <w:color w:val="000000"/>
                <w:sz w:val="20"/>
                <w:szCs w:val="20"/>
              </w:rPr>
              <w:t>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6DCAA2E" w14:textId="77777777" w:rsidR="007F3804" w:rsidRDefault="007F3804">
            <w:pPr>
              <w:spacing w:before="60" w:line="276" w:lineRule="auto"/>
              <w:rPr>
                <w:rFonts w:ascii="Calibri" w:hAnsi="Calibri"/>
              </w:rPr>
            </w:pPr>
            <w:r>
              <w:rPr>
                <w:rFonts w:ascii="Calibri" w:hAnsi="Calibri"/>
                <w:color w:val="000000"/>
                <w:sz w:val="20"/>
                <w:szCs w:val="20"/>
              </w:rPr>
              <w:t>Any number or No Entry</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14:paraId="4A796906" w14:textId="77777777" w:rsidR="007F3804" w:rsidRDefault="007F3804">
            <w:pPr>
              <w:spacing w:before="60" w:line="276" w:lineRule="auto"/>
              <w:rPr>
                <w:rFonts w:ascii="Calibri" w:hAnsi="Calibri"/>
              </w:rPr>
            </w:pPr>
            <w:r>
              <w:rPr>
                <w:rFonts w:ascii="Calibri" w:hAnsi="Calibri"/>
                <w:color w:val="000000"/>
                <w:sz w:val="20"/>
                <w:szCs w:val="20"/>
              </w:rPr>
              <w:t>No</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14:paraId="2EBEDB81" w14:textId="77777777" w:rsidR="007F3804" w:rsidRDefault="007F3804">
            <w:pPr>
              <w:spacing w:before="60" w:line="276" w:lineRule="auto"/>
              <w:rPr>
                <w:rFonts w:ascii="Calibri" w:hAnsi="Calibri"/>
              </w:rPr>
            </w:pPr>
            <w:r>
              <w:rPr>
                <w:rFonts w:ascii="Calibri" w:hAnsi="Calibri"/>
                <w:sz w:val="20"/>
                <w:szCs w:val="20"/>
              </w:rPr>
              <w:t>Any number</w:t>
            </w:r>
          </w:p>
        </w:tc>
        <w:tc>
          <w:tcPr>
            <w:tcW w:w="2458" w:type="dxa"/>
            <w:tcBorders>
              <w:top w:val="nil"/>
              <w:left w:val="nil"/>
              <w:bottom w:val="single" w:sz="8" w:space="0" w:color="auto"/>
              <w:right w:val="single" w:sz="8" w:space="0" w:color="auto"/>
            </w:tcBorders>
            <w:tcMar>
              <w:top w:w="0" w:type="dxa"/>
              <w:left w:w="108" w:type="dxa"/>
              <w:bottom w:w="0" w:type="dxa"/>
              <w:right w:w="108" w:type="dxa"/>
            </w:tcMar>
            <w:hideMark/>
          </w:tcPr>
          <w:p w14:paraId="6AF7B2E9" w14:textId="77777777" w:rsidR="007F3804" w:rsidRDefault="007F3804" w:rsidP="007F3804">
            <w:pPr>
              <w:spacing w:before="60" w:line="276" w:lineRule="auto"/>
              <w:rPr>
                <w:rFonts w:ascii="Calibri" w:hAnsi="Calibri"/>
              </w:rPr>
            </w:pPr>
            <w:r>
              <w:rPr>
                <w:rFonts w:ascii="Calibri" w:hAnsi="Calibri"/>
                <w:color w:val="000000"/>
                <w:sz w:val="20"/>
                <w:szCs w:val="20"/>
              </w:rPr>
              <w:t>Create a budget constraint for CRRAH where limit = $0</w:t>
            </w:r>
          </w:p>
        </w:tc>
      </w:tr>
    </w:tbl>
    <w:p w14:paraId="3F16D319" w14:textId="77777777" w:rsidR="007F3804" w:rsidRPr="00084EAF" w:rsidRDefault="007F3804" w:rsidP="007F3804">
      <w:pPr>
        <w:pStyle w:val="ListParagraph"/>
        <w:ind w:left="360"/>
        <w:rPr>
          <w:rStyle w:val="Hyperlink"/>
          <w:rFonts w:cs="Arial"/>
          <w:b/>
          <w:color w:val="0070C0"/>
        </w:rPr>
      </w:pPr>
    </w:p>
    <w:p w14:paraId="69AD32A8" w14:textId="77777777" w:rsidR="000F0DBD" w:rsidRDefault="000F0DBD" w:rsidP="000F0DBD">
      <w:pPr>
        <w:pStyle w:val="ListParagraph"/>
        <w:ind w:left="360"/>
      </w:pPr>
    </w:p>
    <w:p w14:paraId="347D494C" w14:textId="77777777" w:rsidR="00E71426" w:rsidRDefault="00E71426" w:rsidP="000F0DBD">
      <w:pPr>
        <w:pStyle w:val="ListParagraph"/>
        <w:ind w:left="360"/>
      </w:pPr>
    </w:p>
    <w:p w14:paraId="4571C286" w14:textId="77777777" w:rsidR="00E71426" w:rsidRDefault="00E71426" w:rsidP="00F67529">
      <w:pPr>
        <w:pStyle w:val="ListParagraph"/>
        <w:numPr>
          <w:ilvl w:val="0"/>
          <w:numId w:val="2"/>
        </w:numPr>
        <w:spacing w:after="0" w:line="240" w:lineRule="auto"/>
        <w:rPr>
          <w:rStyle w:val="Hyperlink"/>
          <w:rFonts w:cs="Arial"/>
          <w:b/>
          <w:color w:val="0070C0"/>
        </w:rPr>
      </w:pPr>
      <w:bookmarkStart w:id="19" w:name="Whatisdiffbtwnbudgetconstandbindingbudge"/>
      <w:r>
        <w:rPr>
          <w:rStyle w:val="Hyperlink"/>
          <w:rFonts w:cs="Arial"/>
          <w:b/>
          <w:color w:val="0070C0"/>
        </w:rPr>
        <w:t>What is the difference between a budget record, or budget constraint, and a binding budget constraint?</w:t>
      </w:r>
    </w:p>
    <w:bookmarkEnd w:id="19"/>
    <w:p w14:paraId="38406752" w14:textId="77777777" w:rsidR="00E71426" w:rsidRDefault="00E71426" w:rsidP="00E71426">
      <w:pPr>
        <w:spacing w:after="0" w:line="240" w:lineRule="auto"/>
        <w:rPr>
          <w:rStyle w:val="Hyperlink"/>
          <w:rFonts w:cs="Arial"/>
          <w:b/>
          <w:color w:val="0070C0"/>
        </w:rPr>
      </w:pPr>
    </w:p>
    <w:p w14:paraId="19C88A0F" w14:textId="263A680D" w:rsidR="00E71426" w:rsidRDefault="00E71426" w:rsidP="00E71426">
      <w:pPr>
        <w:spacing w:after="0" w:line="240" w:lineRule="auto"/>
      </w:pPr>
      <w:r w:rsidRPr="00E71426">
        <w:t>A</w:t>
      </w:r>
      <w:r>
        <w:t xml:space="preserve"> </w:t>
      </w:r>
      <w:r w:rsidRPr="00827772">
        <w:rPr>
          <w:b/>
        </w:rPr>
        <w:t>budget record</w:t>
      </w:r>
      <w:r>
        <w:t xml:space="preserve"> is created for a CP or CRRAH when pre-screening credit exposure exceeds the </w:t>
      </w:r>
      <w:r w:rsidR="00882169">
        <w:t>Available Credit Limit locked for the auction</w:t>
      </w:r>
      <w:r>
        <w:t xml:space="preserve">. This budget record is sent to the engine </w:t>
      </w:r>
      <w:r w:rsidR="00827772">
        <w:t>as a constraint that limits what a CP</w:t>
      </w:r>
      <w:r w:rsidR="00C86A22">
        <w:t xml:space="preserve"> or </w:t>
      </w:r>
      <w:r w:rsidR="00827772">
        <w:t xml:space="preserve">CRRAH can be awarded in the auction optimization; this type of constraint is called a </w:t>
      </w:r>
      <w:r w:rsidR="00827772" w:rsidRPr="00827772">
        <w:rPr>
          <w:b/>
        </w:rPr>
        <w:t>budget</w:t>
      </w:r>
      <w:r w:rsidR="00827772">
        <w:t xml:space="preserve"> </w:t>
      </w:r>
      <w:r w:rsidR="00827772" w:rsidRPr="00827772">
        <w:rPr>
          <w:b/>
        </w:rPr>
        <w:t>constraint</w:t>
      </w:r>
      <w:r w:rsidR="00827772">
        <w:t xml:space="preserve"> or </w:t>
      </w:r>
      <w:r w:rsidR="00827772" w:rsidRPr="00827772">
        <w:rPr>
          <w:b/>
        </w:rPr>
        <w:t>credit constraint</w:t>
      </w:r>
      <w:r>
        <w:t xml:space="preserve">. The auction optimization selects an award set based on the best overall welfare of the market while respecting all network constraints, including </w:t>
      </w:r>
      <w:r w:rsidR="001C6A8E">
        <w:t>these credit constraints.</w:t>
      </w:r>
      <w:r w:rsidR="005C0ED6">
        <w:t xml:space="preserve"> </w:t>
      </w:r>
      <w:r w:rsidR="005C0ED6" w:rsidRPr="005C0ED6">
        <w:rPr>
          <w:i/>
        </w:rPr>
        <w:t>Note: a CRRAH will not have a budget record if the CRRAH did not self-impose a credit limit. In this case, if a credit constraint is encountered, it is for the CP’s</w:t>
      </w:r>
      <w:r w:rsidR="0015123D">
        <w:rPr>
          <w:i/>
        </w:rPr>
        <w:t xml:space="preserve"> locked</w:t>
      </w:r>
      <w:r w:rsidR="005C0ED6" w:rsidRPr="005C0ED6">
        <w:rPr>
          <w:i/>
        </w:rPr>
        <w:t xml:space="preserve"> credit limit.</w:t>
      </w:r>
    </w:p>
    <w:p w14:paraId="3D65300D" w14:textId="77777777" w:rsidR="001C6A8E" w:rsidRDefault="001C6A8E" w:rsidP="00E71426">
      <w:pPr>
        <w:spacing w:after="0" w:line="240" w:lineRule="auto"/>
      </w:pPr>
    </w:p>
    <w:p w14:paraId="6DF12AF3" w14:textId="4EE20DE0" w:rsidR="00507922" w:rsidRDefault="00507922" w:rsidP="00E71426">
      <w:pPr>
        <w:spacing w:after="0" w:line="240" w:lineRule="auto"/>
      </w:pPr>
      <w:r>
        <w:lastRenderedPageBreak/>
        <w:t xml:space="preserve">A CRRAH can view </w:t>
      </w:r>
      <w:r w:rsidR="002151F5">
        <w:t>whether</w:t>
      </w:r>
      <w:r>
        <w:t xml:space="preserve"> </w:t>
      </w:r>
      <w:r w:rsidR="001E6F2A">
        <w:t xml:space="preserve">they had a </w:t>
      </w:r>
      <w:r>
        <w:t xml:space="preserve">budget constraint </w:t>
      </w:r>
      <w:r w:rsidR="001E6F2A">
        <w:t xml:space="preserve">in the auction by checking </w:t>
      </w:r>
      <w:r>
        <w:t xml:space="preserve">the “Credit Consumed” column </w:t>
      </w:r>
      <w:r w:rsidR="00C86A22">
        <w:t>in</w:t>
      </w:r>
      <w:r w:rsidR="001E6F2A">
        <w:t xml:space="preserve"> their private auction results</w:t>
      </w:r>
      <w:r>
        <w:t xml:space="preserve">. </w:t>
      </w:r>
      <w:r w:rsidR="00DA5F85">
        <w:t>If there are no values in the “Credit Consumed” column, then the allocated credit limit exceeded the potential credit exposure, and the credit limit was not used as a budget constraint in the optimization.</w:t>
      </w:r>
    </w:p>
    <w:p w14:paraId="5809B060" w14:textId="77777777" w:rsidR="00B872E6" w:rsidRDefault="00B872E6" w:rsidP="00E71426">
      <w:pPr>
        <w:spacing w:after="0" w:line="240" w:lineRule="auto"/>
      </w:pPr>
    </w:p>
    <w:p w14:paraId="06C035B6" w14:textId="77777777" w:rsidR="00B872E6" w:rsidRDefault="00B872E6" w:rsidP="00B872E6">
      <w:pPr>
        <w:pStyle w:val="Default"/>
        <w:rPr>
          <w:rFonts w:ascii="Calibri" w:hAnsi="Calibri"/>
          <w:sz w:val="22"/>
          <w:szCs w:val="22"/>
        </w:rPr>
      </w:pPr>
      <w:r>
        <w:rPr>
          <w:rFonts w:ascii="Calibri" w:hAnsi="Calibri"/>
          <w:sz w:val="22"/>
          <w:szCs w:val="22"/>
        </w:rPr>
        <w:t>If there was a budget constraint for the CRRAH, the credit consumed value will be:</w:t>
      </w:r>
    </w:p>
    <w:p w14:paraId="16D92AA3" w14:textId="77777777" w:rsidR="00B872E6" w:rsidRDefault="00B872E6" w:rsidP="00B872E6">
      <w:pPr>
        <w:pStyle w:val="Default"/>
        <w:rPr>
          <w:rFonts w:ascii="Calibri" w:hAnsi="Calibri"/>
          <w:sz w:val="22"/>
          <w:szCs w:val="22"/>
        </w:rPr>
      </w:pPr>
    </w:p>
    <w:p w14:paraId="24456670" w14:textId="77777777" w:rsidR="00B872E6" w:rsidRPr="00B872E6" w:rsidRDefault="00B872E6" w:rsidP="00B872E6">
      <w:pPr>
        <w:pStyle w:val="ListParagraph"/>
        <w:numPr>
          <w:ilvl w:val="0"/>
          <w:numId w:val="9"/>
        </w:numPr>
        <w:spacing w:line="252" w:lineRule="auto"/>
        <w:rPr>
          <w:rFonts w:ascii="Calibri" w:hAnsi="Calibri"/>
        </w:rPr>
      </w:pPr>
      <w:r w:rsidRPr="00B872E6">
        <w:t>For OBL bids: MW Awarded x (Max(0,Bid Price) – Min(0,A</w:t>
      </w:r>
      <w:r w:rsidRPr="00B872E6">
        <w:rPr>
          <w:vertAlign w:val="subscript"/>
        </w:rPr>
        <w:t>CI99</w:t>
      </w:r>
      <w:r w:rsidRPr="00B872E6">
        <w:t>,ACP)) x TOU Hours</w:t>
      </w:r>
    </w:p>
    <w:p w14:paraId="1577AB82" w14:textId="77777777" w:rsidR="00B872E6" w:rsidRPr="00B872E6" w:rsidRDefault="00B872E6" w:rsidP="00B872E6">
      <w:pPr>
        <w:pStyle w:val="ListParagraph"/>
        <w:numPr>
          <w:ilvl w:val="0"/>
          <w:numId w:val="9"/>
        </w:numPr>
        <w:spacing w:line="252" w:lineRule="auto"/>
      </w:pPr>
      <w:r w:rsidRPr="00B872E6">
        <w:t xml:space="preserve">For OBL offers: MW Awarded x Min(0,Offer Price) x TOU Hours </w:t>
      </w:r>
    </w:p>
    <w:p w14:paraId="2AFB6562" w14:textId="77777777" w:rsidR="00B872E6" w:rsidRPr="00B872E6" w:rsidRDefault="00B872E6" w:rsidP="00B872E6">
      <w:pPr>
        <w:pStyle w:val="ListParagraph"/>
        <w:numPr>
          <w:ilvl w:val="0"/>
          <w:numId w:val="9"/>
        </w:numPr>
        <w:spacing w:line="252" w:lineRule="auto"/>
      </w:pPr>
      <w:r w:rsidRPr="00B872E6">
        <w:t>For OPT bids: MW Awarded x Bid Price x TOU Hours</w:t>
      </w:r>
    </w:p>
    <w:p w14:paraId="096D1B33" w14:textId="4CE0ED91" w:rsidR="00B872E6" w:rsidRDefault="00B872E6" w:rsidP="00B872E6">
      <w:pPr>
        <w:pStyle w:val="ListParagraph"/>
        <w:numPr>
          <w:ilvl w:val="0"/>
          <w:numId w:val="9"/>
        </w:numPr>
        <w:spacing w:line="252" w:lineRule="auto"/>
      </w:pPr>
      <w:r w:rsidRPr="00B872E6">
        <w:t xml:space="preserve">For OPT </w:t>
      </w:r>
      <w:r w:rsidR="00EC57E9" w:rsidRPr="00B872E6">
        <w:t>offers</w:t>
      </w:r>
      <w:r w:rsidR="00EC57E9">
        <w:t>:</w:t>
      </w:r>
      <w:r w:rsidRPr="00B872E6">
        <w:t xml:space="preserve"> null (option offers do not consume credit)</w:t>
      </w:r>
    </w:p>
    <w:p w14:paraId="39B928A7" w14:textId="6334374F" w:rsidR="00827772" w:rsidRPr="00B872E6" w:rsidRDefault="00827772" w:rsidP="00827772">
      <w:pPr>
        <w:spacing w:line="252" w:lineRule="auto"/>
      </w:pPr>
      <w:r>
        <w:t xml:space="preserve">A budget constraint becomes </w:t>
      </w:r>
      <w:r w:rsidRPr="00827772">
        <w:rPr>
          <w:b/>
        </w:rPr>
        <w:t>binding</w:t>
      </w:r>
      <w:r>
        <w:t xml:space="preserve"> when a CRRAH’s awards are limited due to their budget constraint. </w:t>
      </w:r>
      <w:r w:rsidR="00D037E7">
        <w:t>For a given CRR bid, i</w:t>
      </w:r>
      <w:r>
        <w:t xml:space="preserve">f a CRRAH’s awarded MW are less than their bid MW, and their bid price exceeded the shadow price, then the CRRAH’s award was limited due to their </w:t>
      </w:r>
      <w:r w:rsidRPr="00827772">
        <w:rPr>
          <w:b/>
        </w:rPr>
        <w:t>budget constraint binding</w:t>
      </w:r>
      <w:r w:rsidR="00D037E7">
        <w:t xml:space="preserve"> during the auction clearing process.</w:t>
      </w:r>
    </w:p>
    <w:p w14:paraId="0F596031" w14:textId="77777777" w:rsidR="00507922" w:rsidRPr="00E71426" w:rsidRDefault="00507922" w:rsidP="00507922">
      <w:pPr>
        <w:pStyle w:val="ListParagraph"/>
        <w:spacing w:after="0" w:line="240" w:lineRule="auto"/>
        <w:ind w:left="1080"/>
      </w:pPr>
    </w:p>
    <w:p w14:paraId="72CC0340" w14:textId="77777777" w:rsidR="00F67529" w:rsidRDefault="00F67529" w:rsidP="00F67529">
      <w:pPr>
        <w:pStyle w:val="ListParagraph"/>
        <w:numPr>
          <w:ilvl w:val="0"/>
          <w:numId w:val="2"/>
        </w:numPr>
        <w:spacing w:after="0" w:line="240" w:lineRule="auto"/>
        <w:rPr>
          <w:rStyle w:val="Hyperlink"/>
          <w:rFonts w:cs="Arial"/>
          <w:b/>
          <w:color w:val="0070C0"/>
        </w:rPr>
      </w:pPr>
      <w:bookmarkStart w:id="20" w:name="WhywasntIawarded"/>
      <w:r>
        <w:rPr>
          <w:rStyle w:val="Hyperlink"/>
          <w:rFonts w:cs="Arial"/>
          <w:b/>
          <w:color w:val="0070C0"/>
        </w:rPr>
        <w:t>I submitted bids that were not awarded, even though my bid prices exceeded the clearing prices. My credit limit was greater than my CRR Auction Invoice amount. Why wasn’t I awarded?</w:t>
      </w:r>
    </w:p>
    <w:bookmarkEnd w:id="20"/>
    <w:p w14:paraId="17A5AB15" w14:textId="77777777" w:rsidR="00F67529" w:rsidRDefault="00F67529" w:rsidP="00F67529">
      <w:pPr>
        <w:pStyle w:val="ListParagraph"/>
        <w:spacing w:after="0" w:line="240" w:lineRule="auto"/>
        <w:ind w:left="360"/>
        <w:rPr>
          <w:rStyle w:val="Hyperlink"/>
          <w:rFonts w:cs="Arial"/>
          <w:b/>
          <w:color w:val="0070C0"/>
        </w:rPr>
      </w:pPr>
    </w:p>
    <w:p w14:paraId="49A10FC8" w14:textId="77777777" w:rsidR="00F67529" w:rsidRDefault="00F67529" w:rsidP="00F67529">
      <w:pPr>
        <w:pStyle w:val="ListParagraph"/>
        <w:spacing w:after="0" w:line="240" w:lineRule="auto"/>
        <w:ind w:left="0"/>
      </w:pPr>
      <w:r>
        <w:t xml:space="preserve">If a CRRAH’s total </w:t>
      </w:r>
      <w:r w:rsidR="00381FB6">
        <w:t>pre-screen credit</w:t>
      </w:r>
      <w:r>
        <w:t xml:space="preserve"> exposure exceeds their allocated credit</w:t>
      </w:r>
      <w:r w:rsidR="00D65C7C">
        <w:t xml:space="preserve"> limit, </w:t>
      </w:r>
      <w:r w:rsidR="00381FB6">
        <w:t xml:space="preserve">the CRRAH will have </w:t>
      </w:r>
      <w:r w:rsidR="00D65C7C">
        <w:t xml:space="preserve">a budget constraint </w:t>
      </w:r>
      <w:r w:rsidR="00381FB6">
        <w:t>in the auction optimization, and the auction cannot award the CRRAH more than their credit allows</w:t>
      </w:r>
      <w:r w:rsidR="00D65C7C">
        <w:t xml:space="preserve">. Credit consumed during the auction is based on the bid price, </w:t>
      </w:r>
      <w:r w:rsidR="00D65C7C" w:rsidRPr="00126AF6">
        <w:rPr>
          <w:b/>
          <w:i/>
        </w:rPr>
        <w:t>not the clearing price</w:t>
      </w:r>
      <w:r w:rsidR="00D65C7C">
        <w:t xml:space="preserve">, which is why in some cases the total locked credit is not fully consumed by the awards. The auction optimization </w:t>
      </w:r>
      <w:r w:rsidR="00401A66">
        <w:t>selects an</w:t>
      </w:r>
      <w:r w:rsidR="00D65C7C">
        <w:t xml:space="preserve"> award</w:t>
      </w:r>
      <w:r w:rsidR="00401A66">
        <w:t xml:space="preserve"> set</w:t>
      </w:r>
      <w:r w:rsidR="00D65C7C">
        <w:t xml:space="preserve"> based on the best overall welfare of the market</w:t>
      </w:r>
      <w:r w:rsidR="00401A66">
        <w:t xml:space="preserve"> while respecting all network constraints (including capacity, non-thermals, and budget constraints). If the engine wants to award more MW for a bid, but there is a budget record, the engine will calculate the best welfare of the entire auction based on how much it </w:t>
      </w:r>
      <w:r w:rsidR="00401A66" w:rsidRPr="00401A66">
        <w:rPr>
          <w:b/>
          <w:i/>
        </w:rPr>
        <w:t>can</w:t>
      </w:r>
      <w:r w:rsidR="00401A66">
        <w:t xml:space="preserve"> award and still respect all the constraints, including the budget constraints. As a result, the</w:t>
      </w:r>
      <w:r w:rsidR="00D65C7C">
        <w:t xml:space="preserve"> CRRAH may not be awarded enough CRRs to fully consume their locked credit amount.</w:t>
      </w:r>
    </w:p>
    <w:p w14:paraId="42E74C9D" w14:textId="77777777" w:rsidR="00381FB6" w:rsidRDefault="00381FB6" w:rsidP="00F67529">
      <w:pPr>
        <w:pStyle w:val="ListParagraph"/>
        <w:spacing w:after="0" w:line="240" w:lineRule="auto"/>
        <w:ind w:left="0"/>
      </w:pPr>
    </w:p>
    <w:p w14:paraId="3E72FE86" w14:textId="5B9DEF6A" w:rsidR="00381FB6" w:rsidRPr="00F67529" w:rsidRDefault="00381FB6" w:rsidP="00F67529">
      <w:pPr>
        <w:pStyle w:val="ListParagraph"/>
        <w:spacing w:after="0" w:line="240" w:lineRule="auto"/>
        <w:ind w:left="0"/>
      </w:pPr>
      <w:r>
        <w:t xml:space="preserve">When a CRRAH’s bid price exceeds the clearing price, and </w:t>
      </w:r>
      <w:r w:rsidR="00D47439">
        <w:t xml:space="preserve">they were </w:t>
      </w:r>
      <w:r w:rsidR="00827772">
        <w:t xml:space="preserve">awarded </w:t>
      </w:r>
      <w:r w:rsidR="00D36AB8">
        <w:t xml:space="preserve">fewer </w:t>
      </w:r>
      <w:r w:rsidR="00D47439">
        <w:t>MW than they requested</w:t>
      </w:r>
      <w:r>
        <w:t xml:space="preserve">, </w:t>
      </w:r>
      <w:r w:rsidR="00A16270">
        <w:t xml:space="preserve">that indicates </w:t>
      </w:r>
      <w:r>
        <w:t xml:space="preserve">their </w:t>
      </w:r>
      <w:r w:rsidRPr="00A66630">
        <w:rPr>
          <w:b/>
        </w:rPr>
        <w:t>budget constraint was binding</w:t>
      </w:r>
      <w:r>
        <w:t xml:space="preserve">. In other words, </w:t>
      </w:r>
      <w:r w:rsidR="00AC0AF5">
        <w:t xml:space="preserve">the CRRAH’s </w:t>
      </w:r>
      <w:r w:rsidR="0089723C">
        <w:t>credit available to the engine</w:t>
      </w:r>
      <w:r>
        <w:t xml:space="preserve"> curtailed the</w:t>
      </w:r>
      <w:r w:rsidR="005C7A90">
        <w:t>ir</w:t>
      </w:r>
      <w:r>
        <w:t xml:space="preserve"> award</w:t>
      </w:r>
      <w:r w:rsidR="0089723C">
        <w:t>s</w:t>
      </w:r>
      <w:r>
        <w:t>.</w:t>
      </w:r>
    </w:p>
    <w:p w14:paraId="5C9B2C33" w14:textId="77777777" w:rsidR="00F67529" w:rsidRPr="00F67529" w:rsidRDefault="00F67529" w:rsidP="00F67529">
      <w:pPr>
        <w:pStyle w:val="ListParagraph"/>
        <w:ind w:left="360"/>
      </w:pPr>
    </w:p>
    <w:p w14:paraId="47FB9258" w14:textId="653AB7AD" w:rsidR="000F0DBD" w:rsidRDefault="000F0DBD" w:rsidP="000F0DBD">
      <w:pPr>
        <w:pStyle w:val="ListParagraph"/>
        <w:numPr>
          <w:ilvl w:val="0"/>
          <w:numId w:val="2"/>
        </w:numPr>
        <w:rPr>
          <w:rStyle w:val="Hyperlink"/>
          <w:rFonts w:cs="Arial"/>
          <w:b/>
          <w:color w:val="0070C0"/>
        </w:rPr>
      </w:pPr>
      <w:bookmarkStart w:id="21" w:name="HowwillNPRR867impactamountofcreditlocked"/>
      <w:r w:rsidRPr="00084EAF">
        <w:rPr>
          <w:rStyle w:val="Hyperlink"/>
          <w:rFonts w:cs="Arial"/>
          <w:b/>
          <w:color w:val="0070C0"/>
        </w:rPr>
        <w:t xml:space="preserve">How </w:t>
      </w:r>
      <w:r w:rsidR="002F78B7">
        <w:rPr>
          <w:rStyle w:val="Hyperlink"/>
          <w:rFonts w:cs="Arial"/>
          <w:b/>
          <w:color w:val="0070C0"/>
        </w:rPr>
        <w:t xml:space="preserve">does </w:t>
      </w:r>
      <w:r w:rsidRPr="00084EAF">
        <w:rPr>
          <w:rStyle w:val="Hyperlink"/>
          <w:rFonts w:cs="Arial"/>
          <w:b/>
          <w:color w:val="0070C0"/>
        </w:rPr>
        <w:t>NPRR867 impact the amount of credit that is locked?</w:t>
      </w:r>
    </w:p>
    <w:bookmarkEnd w:id="21"/>
    <w:p w14:paraId="192A1070" w14:textId="33C181BF" w:rsidR="00BA4046" w:rsidRDefault="002F78B7" w:rsidP="00BA4046">
      <w:r>
        <w:t xml:space="preserve">Since </w:t>
      </w:r>
      <w:r w:rsidR="00AF2C9C">
        <w:t>the implementation of NPRR867</w:t>
      </w:r>
      <w:r>
        <w:t xml:space="preserve"> in September 2021</w:t>
      </w:r>
      <w:r w:rsidR="00AF2C9C">
        <w:t xml:space="preserve">, </w:t>
      </w:r>
      <w:r w:rsidR="00BA4046" w:rsidRPr="00BA4046">
        <w:t>ERCOT assign</w:t>
      </w:r>
      <w:r>
        <w:t>s</w:t>
      </w:r>
      <w:r w:rsidR="00BA4046" w:rsidRPr="00BA4046">
        <w:t xml:space="preserve"> the Available Credit Limit (ACL)</w:t>
      </w:r>
      <w:r w:rsidR="00BA4046">
        <w:t xml:space="preserve"> locked for a CRR Auction for each Counter-Party participating in an auction as the lower of the Counter-Party’s:</w:t>
      </w:r>
    </w:p>
    <w:p w14:paraId="7DC563B0" w14:textId="77777777" w:rsidR="00BA4046" w:rsidRDefault="00BA4046" w:rsidP="00BA4046">
      <w:pPr>
        <w:pStyle w:val="ListParagraph"/>
        <w:numPr>
          <w:ilvl w:val="1"/>
          <w:numId w:val="2"/>
        </w:numPr>
      </w:pPr>
      <w:r>
        <w:t>Allocated credit limit;</w:t>
      </w:r>
    </w:p>
    <w:p w14:paraId="188E5053" w14:textId="3BC4ABCB" w:rsidR="00BA4046" w:rsidRDefault="00BE5BC1" w:rsidP="00BA4046">
      <w:pPr>
        <w:pStyle w:val="ListParagraph"/>
        <w:numPr>
          <w:ilvl w:val="1"/>
          <w:numId w:val="2"/>
        </w:numPr>
      </w:pPr>
      <w:r>
        <w:t xml:space="preserve">Available Credit Limit for the CRR Auction (ACLC) </w:t>
      </w:r>
      <w:r w:rsidR="00BA4046">
        <w:t>at the time of the closure of the auction bid submission window; or</w:t>
      </w:r>
    </w:p>
    <w:p w14:paraId="26AC3D85" w14:textId="0DBC9587" w:rsidR="00AF2C9C" w:rsidRDefault="00BA4046" w:rsidP="00AF2C9C">
      <w:pPr>
        <w:pStyle w:val="ListParagraph"/>
        <w:numPr>
          <w:ilvl w:val="1"/>
          <w:numId w:val="2"/>
        </w:numPr>
      </w:pPr>
      <w:r>
        <w:t>Pre-auction screening credit exposure amount.</w:t>
      </w:r>
    </w:p>
    <w:p w14:paraId="16C10422" w14:textId="77777777" w:rsidR="00882169" w:rsidRDefault="00882169" w:rsidP="00755D2B"/>
    <w:p w14:paraId="00DE9A2B" w14:textId="502121DA" w:rsidR="00882169" w:rsidRDefault="00882169" w:rsidP="00882169">
      <w:pPr>
        <w:pStyle w:val="ListParagraph"/>
        <w:numPr>
          <w:ilvl w:val="0"/>
          <w:numId w:val="2"/>
        </w:numPr>
        <w:rPr>
          <w:rStyle w:val="Hyperlink"/>
          <w:rFonts w:cs="Arial"/>
          <w:b/>
          <w:color w:val="0070C0"/>
        </w:rPr>
      </w:pPr>
      <w:bookmarkStart w:id="22" w:name="WhydoesmyACLforCPchangeduringcreditwindo"/>
      <w:r>
        <w:rPr>
          <w:rStyle w:val="Hyperlink"/>
          <w:rFonts w:cs="Arial"/>
          <w:b/>
          <w:color w:val="0070C0"/>
        </w:rPr>
        <w:lastRenderedPageBreak/>
        <w:t xml:space="preserve">Why does </w:t>
      </w:r>
      <w:r w:rsidR="00755D2B">
        <w:rPr>
          <w:rStyle w:val="Hyperlink"/>
          <w:rFonts w:cs="Arial"/>
          <w:b/>
          <w:color w:val="0070C0"/>
        </w:rPr>
        <w:t xml:space="preserve">the </w:t>
      </w:r>
      <w:r>
        <w:rPr>
          <w:rStyle w:val="Hyperlink"/>
          <w:rFonts w:cs="Arial"/>
          <w:b/>
          <w:color w:val="0070C0"/>
        </w:rPr>
        <w:t xml:space="preserve">Available Credit Limit in the Credit Limit Editor for </w:t>
      </w:r>
      <w:r w:rsidR="00755D2B">
        <w:rPr>
          <w:rStyle w:val="Hyperlink"/>
          <w:rFonts w:cs="Arial"/>
          <w:b/>
          <w:color w:val="0070C0"/>
        </w:rPr>
        <w:t xml:space="preserve">my </w:t>
      </w:r>
      <w:r>
        <w:rPr>
          <w:rStyle w:val="Hyperlink"/>
          <w:rFonts w:cs="Arial"/>
          <w:b/>
          <w:color w:val="0070C0"/>
        </w:rPr>
        <w:t>Counter-Party change during the credit window</w:t>
      </w:r>
      <w:r w:rsidRPr="00084EAF">
        <w:rPr>
          <w:rStyle w:val="Hyperlink"/>
          <w:rFonts w:cs="Arial"/>
          <w:b/>
          <w:color w:val="0070C0"/>
        </w:rPr>
        <w:t>?</w:t>
      </w:r>
    </w:p>
    <w:bookmarkEnd w:id="22"/>
    <w:p w14:paraId="38C0E817" w14:textId="4B9CF382" w:rsidR="000F0DBD" w:rsidRDefault="00882169" w:rsidP="00CD13C0">
      <w:r>
        <w:t xml:space="preserve">The CRR system </w:t>
      </w:r>
      <w:r w:rsidR="00BE5BC1">
        <w:t xml:space="preserve">communicates </w:t>
      </w:r>
      <w:r>
        <w:t xml:space="preserve">with the Credit Management System (CMM) and receives </w:t>
      </w:r>
      <w:r w:rsidR="00BE5BC1">
        <w:t xml:space="preserve">updated ACLCs </w:t>
      </w:r>
      <w:r w:rsidR="00752003">
        <w:t xml:space="preserve">from CMM </w:t>
      </w:r>
      <w:r w:rsidR="00BE5BC1">
        <w:t>daily</w:t>
      </w:r>
      <w:r>
        <w:t xml:space="preserve">. During </w:t>
      </w:r>
      <w:r w:rsidR="00BE5BC1">
        <w:t>auction</w:t>
      </w:r>
      <w:r>
        <w:t xml:space="preserve"> bid window</w:t>
      </w:r>
      <w:r w:rsidR="00BE5BC1">
        <w:t>s</w:t>
      </w:r>
      <w:r>
        <w:t xml:space="preserve">, </w:t>
      </w:r>
      <w:r w:rsidR="00BE5BC1">
        <w:t>ACLCs</w:t>
      </w:r>
      <w:r>
        <w:t xml:space="preserve"> can be sent to the CRR system multiple times during the day </w:t>
      </w:r>
      <w:r w:rsidR="00EC57E9">
        <w:t>to</w:t>
      </w:r>
      <w:r>
        <w:t xml:space="preserve"> provide the best information to the Counter-Party for the bidding process. </w:t>
      </w:r>
      <w:r w:rsidR="00752003">
        <w:t>I</w:t>
      </w:r>
      <w:r>
        <w:t>t is possible to lock credit for an auction that exceeds a</w:t>
      </w:r>
      <w:r w:rsidR="00752003">
        <w:t xml:space="preserve"> subsequently</w:t>
      </w:r>
      <w:r>
        <w:t xml:space="preserve"> updated ACLC. </w:t>
      </w:r>
      <w:r w:rsidR="00BE5BC1">
        <w:t>If</w:t>
      </w:r>
      <w:r>
        <w:t xml:space="preserve"> this happens, </w:t>
      </w:r>
      <w:r w:rsidR="00BE5BC1">
        <w:t xml:space="preserve">the </w:t>
      </w:r>
      <w:r>
        <w:t xml:space="preserve">locked credit </w:t>
      </w:r>
      <w:r w:rsidR="00BE5BC1">
        <w:t>amount is</w:t>
      </w:r>
      <w:r>
        <w:t xml:space="preserve"> reduced </w:t>
      </w:r>
      <w:r w:rsidR="00DC7C09">
        <w:t xml:space="preserve">to </w:t>
      </w:r>
      <w:r>
        <w:t>the ACLC at the time the bid window closes. If it is reduced for a Long</w:t>
      </w:r>
      <w:r w:rsidR="00DC7C09">
        <w:t>-</w:t>
      </w:r>
      <w:r>
        <w:t xml:space="preserve">Term Auction Sequence, </w:t>
      </w:r>
      <w:r w:rsidR="00BE5BC1">
        <w:t xml:space="preserve">credit allocated to </w:t>
      </w:r>
      <w:r>
        <w:t xml:space="preserve">each </w:t>
      </w:r>
      <w:r w:rsidR="00DC7C09">
        <w:t>TOU</w:t>
      </w:r>
      <w:r>
        <w:t xml:space="preserve"> </w:t>
      </w:r>
      <w:r w:rsidR="00DC7C09">
        <w:t>is</w:t>
      </w:r>
      <w:r>
        <w:t xml:space="preserve"> reduced proportionally.</w:t>
      </w:r>
    </w:p>
    <w:sectPr w:rsidR="000F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751"/>
    <w:multiLevelType w:val="hybridMultilevel"/>
    <w:tmpl w:val="C018C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6035E4"/>
    <w:multiLevelType w:val="hybridMultilevel"/>
    <w:tmpl w:val="E1121E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1A2F37"/>
    <w:multiLevelType w:val="hybridMultilevel"/>
    <w:tmpl w:val="FA74F24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1F708DB"/>
    <w:multiLevelType w:val="hybridMultilevel"/>
    <w:tmpl w:val="63B6BA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2C187B"/>
    <w:multiLevelType w:val="hybridMultilevel"/>
    <w:tmpl w:val="ABCA1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3C4BA5"/>
    <w:multiLevelType w:val="hybridMultilevel"/>
    <w:tmpl w:val="8940C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8C3FD1"/>
    <w:multiLevelType w:val="hybridMultilevel"/>
    <w:tmpl w:val="1D5A6DCC"/>
    <w:lvl w:ilvl="0" w:tplc="C70810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735F8"/>
    <w:multiLevelType w:val="hybridMultilevel"/>
    <w:tmpl w:val="25CC815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6E1158A2"/>
    <w:multiLevelType w:val="hybridMultilevel"/>
    <w:tmpl w:val="1200D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50331C"/>
    <w:multiLevelType w:val="hybridMultilevel"/>
    <w:tmpl w:val="7F50AD38"/>
    <w:lvl w:ilvl="0" w:tplc="BF2EFBE0">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6"/>
  </w:num>
  <w:num w:numId="4">
    <w:abstractNumId w:val="7"/>
  </w:num>
  <w:num w:numId="5">
    <w:abstractNumId w:val="0"/>
  </w:num>
  <w:num w:numId="6">
    <w:abstractNumId w:val="2"/>
  </w:num>
  <w:num w:numId="7">
    <w:abstractNumId w:val="8"/>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E0"/>
    <w:rsid w:val="00022618"/>
    <w:rsid w:val="0002363C"/>
    <w:rsid w:val="00047B16"/>
    <w:rsid w:val="00076F2D"/>
    <w:rsid w:val="00084EAF"/>
    <w:rsid w:val="00090207"/>
    <w:rsid w:val="000D0D5D"/>
    <w:rsid w:val="000E537D"/>
    <w:rsid w:val="000E58A3"/>
    <w:rsid w:val="000F0DBD"/>
    <w:rsid w:val="00126AF6"/>
    <w:rsid w:val="0015123D"/>
    <w:rsid w:val="00181205"/>
    <w:rsid w:val="0018237F"/>
    <w:rsid w:val="00197400"/>
    <w:rsid w:val="001B6409"/>
    <w:rsid w:val="001B6DCB"/>
    <w:rsid w:val="001C1354"/>
    <w:rsid w:val="001C2CF9"/>
    <w:rsid w:val="001C6A8E"/>
    <w:rsid w:val="001C6C51"/>
    <w:rsid w:val="001D0979"/>
    <w:rsid w:val="001E6F2A"/>
    <w:rsid w:val="002151F5"/>
    <w:rsid w:val="0021523F"/>
    <w:rsid w:val="002547CD"/>
    <w:rsid w:val="00261A69"/>
    <w:rsid w:val="002755A7"/>
    <w:rsid w:val="002909F9"/>
    <w:rsid w:val="002B080B"/>
    <w:rsid w:val="002B4F79"/>
    <w:rsid w:val="002C67C8"/>
    <w:rsid w:val="002F4E5E"/>
    <w:rsid w:val="002F78B7"/>
    <w:rsid w:val="003357B4"/>
    <w:rsid w:val="003804F6"/>
    <w:rsid w:val="00381FB6"/>
    <w:rsid w:val="003A0B0F"/>
    <w:rsid w:val="003F16AC"/>
    <w:rsid w:val="00401A66"/>
    <w:rsid w:val="00461097"/>
    <w:rsid w:val="004753E5"/>
    <w:rsid w:val="00486C50"/>
    <w:rsid w:val="004B52F1"/>
    <w:rsid w:val="004E23F7"/>
    <w:rsid w:val="00507922"/>
    <w:rsid w:val="005A7FA2"/>
    <w:rsid w:val="005C0ED6"/>
    <w:rsid w:val="005C24A0"/>
    <w:rsid w:val="005C7A90"/>
    <w:rsid w:val="005F715C"/>
    <w:rsid w:val="00603327"/>
    <w:rsid w:val="00632690"/>
    <w:rsid w:val="00635410"/>
    <w:rsid w:val="0067604E"/>
    <w:rsid w:val="006A3E11"/>
    <w:rsid w:val="006D0A51"/>
    <w:rsid w:val="00746683"/>
    <w:rsid w:val="00752003"/>
    <w:rsid w:val="00753E7B"/>
    <w:rsid w:val="00755D2B"/>
    <w:rsid w:val="00785C06"/>
    <w:rsid w:val="007903A3"/>
    <w:rsid w:val="007B501E"/>
    <w:rsid w:val="007E69BC"/>
    <w:rsid w:val="007F3804"/>
    <w:rsid w:val="00822C7E"/>
    <w:rsid w:val="00827772"/>
    <w:rsid w:val="00831697"/>
    <w:rsid w:val="00881986"/>
    <w:rsid w:val="00882169"/>
    <w:rsid w:val="0089723C"/>
    <w:rsid w:val="008B6322"/>
    <w:rsid w:val="008C26A0"/>
    <w:rsid w:val="0090156C"/>
    <w:rsid w:val="00904AC3"/>
    <w:rsid w:val="009738D9"/>
    <w:rsid w:val="00973D16"/>
    <w:rsid w:val="009774E1"/>
    <w:rsid w:val="00981F34"/>
    <w:rsid w:val="009970E0"/>
    <w:rsid w:val="009B3343"/>
    <w:rsid w:val="009D2004"/>
    <w:rsid w:val="009D56BE"/>
    <w:rsid w:val="009D5EC9"/>
    <w:rsid w:val="00A04118"/>
    <w:rsid w:val="00A07C70"/>
    <w:rsid w:val="00A16270"/>
    <w:rsid w:val="00A54EEC"/>
    <w:rsid w:val="00A609D5"/>
    <w:rsid w:val="00A66630"/>
    <w:rsid w:val="00A73C0C"/>
    <w:rsid w:val="00A87BA9"/>
    <w:rsid w:val="00AB2CE8"/>
    <w:rsid w:val="00AC0AF5"/>
    <w:rsid w:val="00AC53D2"/>
    <w:rsid w:val="00AF2C9C"/>
    <w:rsid w:val="00B37735"/>
    <w:rsid w:val="00B46BDC"/>
    <w:rsid w:val="00B54BFA"/>
    <w:rsid w:val="00B56CB9"/>
    <w:rsid w:val="00B64EBC"/>
    <w:rsid w:val="00B861C3"/>
    <w:rsid w:val="00B872E6"/>
    <w:rsid w:val="00BA4046"/>
    <w:rsid w:val="00BB1C7E"/>
    <w:rsid w:val="00BE5BC1"/>
    <w:rsid w:val="00BF5B76"/>
    <w:rsid w:val="00C067D1"/>
    <w:rsid w:val="00C70F1C"/>
    <w:rsid w:val="00C7422B"/>
    <w:rsid w:val="00C86A22"/>
    <w:rsid w:val="00CC236D"/>
    <w:rsid w:val="00CD13C0"/>
    <w:rsid w:val="00D037E7"/>
    <w:rsid w:val="00D04F1B"/>
    <w:rsid w:val="00D108AD"/>
    <w:rsid w:val="00D2412A"/>
    <w:rsid w:val="00D36AB8"/>
    <w:rsid w:val="00D47439"/>
    <w:rsid w:val="00D65C7C"/>
    <w:rsid w:val="00D673C4"/>
    <w:rsid w:val="00DA5F85"/>
    <w:rsid w:val="00DC5115"/>
    <w:rsid w:val="00DC7C09"/>
    <w:rsid w:val="00E049F0"/>
    <w:rsid w:val="00E11D6B"/>
    <w:rsid w:val="00E253E0"/>
    <w:rsid w:val="00E26A29"/>
    <w:rsid w:val="00E431ED"/>
    <w:rsid w:val="00E53EB0"/>
    <w:rsid w:val="00E71426"/>
    <w:rsid w:val="00EC57E9"/>
    <w:rsid w:val="00EE0801"/>
    <w:rsid w:val="00EF18E5"/>
    <w:rsid w:val="00F01CBB"/>
    <w:rsid w:val="00F50E1A"/>
    <w:rsid w:val="00F64B90"/>
    <w:rsid w:val="00F67529"/>
    <w:rsid w:val="00FA4319"/>
    <w:rsid w:val="00FC6F7D"/>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A719"/>
  <w15:chartTrackingRefBased/>
  <w15:docId w15:val="{2230F952-828D-4C7C-ABC7-B3D15FBF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0E1A"/>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rPr>
  </w:style>
  <w:style w:type="paragraph" w:styleId="Heading3">
    <w:name w:val="heading 3"/>
    <w:basedOn w:val="Normal"/>
    <w:next w:val="Normal"/>
    <w:link w:val="Heading3Char"/>
    <w:uiPriority w:val="9"/>
    <w:unhideWhenUsed/>
    <w:qFormat/>
    <w:rsid w:val="00F50E1A"/>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3E0"/>
    <w:pPr>
      <w:ind w:left="720"/>
      <w:contextualSpacing/>
    </w:pPr>
  </w:style>
  <w:style w:type="character" w:styleId="Hyperlink">
    <w:name w:val="Hyperlink"/>
    <w:basedOn w:val="DefaultParagraphFont"/>
    <w:uiPriority w:val="99"/>
    <w:unhideWhenUsed/>
    <w:rsid w:val="000F0DBD"/>
    <w:rPr>
      <w:color w:val="0563C1" w:themeColor="hyperlink"/>
      <w:u w:val="single"/>
    </w:rPr>
  </w:style>
  <w:style w:type="paragraph" w:customStyle="1" w:styleId="BodyTextNumbered">
    <w:name w:val="Body Text Numbered"/>
    <w:basedOn w:val="BodyText"/>
    <w:link w:val="BodyTextNumberedChar"/>
    <w:rsid w:val="006A3E11"/>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
    <w:name w:val="Body Text Numbered Char"/>
    <w:link w:val="BodyTextNumbered"/>
    <w:rsid w:val="006A3E11"/>
    <w:rPr>
      <w:rFonts w:ascii="Times New Roman" w:eastAsia="Times New Roman" w:hAnsi="Times New Roman" w:cs="Times New Roman"/>
      <w:iCs/>
      <w:sz w:val="24"/>
      <w:szCs w:val="20"/>
    </w:rPr>
  </w:style>
  <w:style w:type="paragraph" w:styleId="BodyText">
    <w:name w:val="Body Text"/>
    <w:basedOn w:val="Normal"/>
    <w:link w:val="BodyTextChar"/>
    <w:uiPriority w:val="99"/>
    <w:semiHidden/>
    <w:unhideWhenUsed/>
    <w:rsid w:val="006A3E11"/>
    <w:pPr>
      <w:spacing w:after="120"/>
    </w:pPr>
  </w:style>
  <w:style w:type="character" w:customStyle="1" w:styleId="BodyTextChar">
    <w:name w:val="Body Text Char"/>
    <w:basedOn w:val="DefaultParagraphFont"/>
    <w:link w:val="BodyText"/>
    <w:uiPriority w:val="99"/>
    <w:semiHidden/>
    <w:rsid w:val="006A3E11"/>
  </w:style>
  <w:style w:type="character" w:customStyle="1" w:styleId="Heading2Char">
    <w:name w:val="Heading 2 Char"/>
    <w:basedOn w:val="DefaultParagraphFont"/>
    <w:link w:val="Heading2"/>
    <w:uiPriority w:val="9"/>
    <w:rsid w:val="00F50E1A"/>
    <w:rPr>
      <w:rFonts w:ascii="Cambria" w:eastAsia="Times New Roman" w:hAnsi="Cambria" w:cs="Times New Roman"/>
      <w:b/>
      <w:bCs/>
      <w:i/>
      <w:iCs/>
      <w:color w:val="943634"/>
    </w:rPr>
  </w:style>
  <w:style w:type="character" w:customStyle="1" w:styleId="Heading3Char">
    <w:name w:val="Heading 3 Char"/>
    <w:basedOn w:val="DefaultParagraphFont"/>
    <w:link w:val="Heading3"/>
    <w:uiPriority w:val="9"/>
    <w:rsid w:val="00F50E1A"/>
    <w:rPr>
      <w:rFonts w:ascii="Cambria" w:eastAsia="Times New Roman" w:hAnsi="Cambria" w:cs="Times New Roman"/>
      <w:b/>
      <w:bCs/>
      <w:i/>
      <w:iCs/>
      <w:color w:val="943634"/>
    </w:rPr>
  </w:style>
  <w:style w:type="character" w:customStyle="1" w:styleId="Heading1Char">
    <w:name w:val="Heading 1 Char"/>
    <w:basedOn w:val="DefaultParagraphFont"/>
    <w:link w:val="Heading1"/>
    <w:uiPriority w:val="9"/>
    <w:rsid w:val="00F50E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F50E1A"/>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i/>
      <w:iCs/>
      <w:color w:val="622423"/>
      <w:sz w:val="22"/>
      <w:szCs w:val="22"/>
      <w:lang w:bidi="en-US"/>
    </w:rPr>
  </w:style>
  <w:style w:type="paragraph" w:customStyle="1" w:styleId="TableBody">
    <w:name w:val="Table Body"/>
    <w:basedOn w:val="BodyText"/>
    <w:rsid w:val="00F50E1A"/>
    <w:pPr>
      <w:spacing w:after="60" w:line="240" w:lineRule="auto"/>
    </w:pPr>
    <w:rPr>
      <w:rFonts w:ascii="Times New Roman" w:eastAsia="Times New Roman" w:hAnsi="Times New Roman" w:cs="Times New Roman"/>
      <w:i/>
      <w:sz w:val="20"/>
      <w:szCs w:val="20"/>
    </w:rPr>
  </w:style>
  <w:style w:type="paragraph" w:styleId="List">
    <w:name w:val="List"/>
    <w:basedOn w:val="Normal"/>
    <w:rsid w:val="00F50E1A"/>
    <w:pPr>
      <w:spacing w:before="240" w:after="240" w:line="240" w:lineRule="auto"/>
      <w:ind w:left="360" w:hanging="360"/>
      <w:contextualSpacing/>
      <w:jc w:val="both"/>
    </w:pPr>
    <w:rPr>
      <w:rFonts w:ascii="Arial" w:eastAsia="Times New Roman" w:hAnsi="Arial" w:cs="Times New Roman"/>
      <w:i/>
      <w:iCs/>
      <w:sz w:val="20"/>
      <w:szCs w:val="20"/>
    </w:rPr>
  </w:style>
  <w:style w:type="character" w:styleId="FollowedHyperlink">
    <w:name w:val="FollowedHyperlink"/>
    <w:basedOn w:val="DefaultParagraphFont"/>
    <w:uiPriority w:val="99"/>
    <w:semiHidden/>
    <w:unhideWhenUsed/>
    <w:rsid w:val="00C70F1C"/>
    <w:rPr>
      <w:color w:val="954F72" w:themeColor="followedHyperlink"/>
      <w:u w:val="single"/>
    </w:rPr>
  </w:style>
  <w:style w:type="paragraph" w:customStyle="1" w:styleId="Default">
    <w:name w:val="Default"/>
    <w:rsid w:val="00B872E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0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5488">
      <w:bodyDiv w:val="1"/>
      <w:marLeft w:val="0"/>
      <w:marRight w:val="0"/>
      <w:marTop w:val="0"/>
      <w:marBottom w:val="0"/>
      <w:divBdr>
        <w:top w:val="none" w:sz="0" w:space="0" w:color="auto"/>
        <w:left w:val="none" w:sz="0" w:space="0" w:color="auto"/>
        <w:bottom w:val="none" w:sz="0" w:space="0" w:color="auto"/>
        <w:right w:val="none" w:sz="0" w:space="0" w:color="auto"/>
      </w:divBdr>
    </w:div>
    <w:div w:id="917981898">
      <w:bodyDiv w:val="1"/>
      <w:marLeft w:val="0"/>
      <w:marRight w:val="0"/>
      <w:marTop w:val="0"/>
      <w:marBottom w:val="0"/>
      <w:divBdr>
        <w:top w:val="none" w:sz="0" w:space="0" w:color="auto"/>
        <w:left w:val="none" w:sz="0" w:space="0" w:color="auto"/>
        <w:bottom w:val="none" w:sz="0" w:space="0" w:color="auto"/>
        <w:right w:val="none" w:sz="0" w:space="0" w:color="auto"/>
      </w:divBdr>
    </w:div>
    <w:div w:id="1620993515">
      <w:bodyDiv w:val="1"/>
      <w:marLeft w:val="0"/>
      <w:marRight w:val="0"/>
      <w:marTop w:val="0"/>
      <w:marBottom w:val="0"/>
      <w:divBdr>
        <w:top w:val="none" w:sz="0" w:space="0" w:color="auto"/>
        <w:left w:val="none" w:sz="0" w:space="0" w:color="auto"/>
        <w:bottom w:val="none" w:sz="0" w:space="0" w:color="auto"/>
        <w:right w:val="none" w:sz="0" w:space="0" w:color="auto"/>
      </w:divBdr>
    </w:div>
    <w:div w:id="1835221109">
      <w:bodyDiv w:val="1"/>
      <w:marLeft w:val="0"/>
      <w:marRight w:val="0"/>
      <w:marTop w:val="0"/>
      <w:marBottom w:val="0"/>
      <w:divBdr>
        <w:top w:val="none" w:sz="0" w:space="0" w:color="auto"/>
        <w:left w:val="none" w:sz="0" w:space="0" w:color="auto"/>
        <w:bottom w:val="none" w:sz="0" w:space="0" w:color="auto"/>
        <w:right w:val="none" w:sz="0" w:space="0" w:color="auto"/>
      </w:divBdr>
    </w:div>
    <w:div w:id="1839147225">
      <w:bodyDiv w:val="1"/>
      <w:marLeft w:val="0"/>
      <w:marRight w:val="0"/>
      <w:marTop w:val="0"/>
      <w:marBottom w:val="0"/>
      <w:divBdr>
        <w:top w:val="none" w:sz="0" w:space="0" w:color="auto"/>
        <w:left w:val="none" w:sz="0" w:space="0" w:color="auto"/>
        <w:bottom w:val="none" w:sz="0" w:space="0" w:color="auto"/>
        <w:right w:val="none" w:sz="0" w:space="0" w:color="auto"/>
      </w:divBdr>
    </w:div>
    <w:div w:id="20332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4630</TotalTime>
  <Pages>15</Pages>
  <Words>3454</Words>
  <Characters>19690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Findley, Samantha</dc:creator>
  <cp:keywords/>
  <dc:description/>
  <cp:lastModifiedBy>Findley, Samantha</cp:lastModifiedBy>
  <cp:revision>21</cp:revision>
  <dcterms:created xsi:type="dcterms:W3CDTF">2021-12-23T15:35:00Z</dcterms:created>
  <dcterms:modified xsi:type="dcterms:W3CDTF">2022-05-24T13:18:00Z</dcterms:modified>
</cp:coreProperties>
</file>