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EA4905" w:rsidP="00EA490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EA4905">
                <w:rPr>
                  <w:rStyle w:val="Hyperlink"/>
                </w:rPr>
                <w:t>030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1038B8" w:rsidP="00EC438B">
            <w:pPr>
              <w:pStyle w:val="Header"/>
            </w:pPr>
            <w:r>
              <w:t>VCM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EA490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EA4905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EA490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EA4905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1038B8">
              <w:t xml:space="preserve">Verifiable Cost Manual Revision Request (VCMRR)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EA4905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1038B8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1038B8">
              <w:t>VCM</w:t>
            </w:r>
            <w:r>
              <w:t>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EA4905">
              <w:t>NPRR1039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EA490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030VCMRR-02 Impact Analysis 081820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790"/>
    <w:rsid w:val="000E092F"/>
    <w:rsid w:val="000E735D"/>
    <w:rsid w:val="000F657B"/>
    <w:rsid w:val="001038B8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7665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A4905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VCMRR03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95413D8-A04B-4703-8123-A92B4D47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2020-08-19T00:17:00Z</dcterms:created>
  <dcterms:modified xsi:type="dcterms:W3CDTF">2020-08-19T00:18:00Z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