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833"/>
        <w:gridCol w:w="1350"/>
        <w:gridCol w:w="6750"/>
      </w:tblGrid>
      <w:tr w:rsidR="00067FE2" w:rsidTr="00CF42C7">
        <w:tc>
          <w:tcPr>
            <w:tcW w:w="1507" w:type="dxa"/>
            <w:tcBorders>
              <w:bottom w:val="single" w:sz="4" w:space="0" w:color="auto"/>
            </w:tcBorders>
            <w:shd w:val="clear" w:color="auto" w:fill="FFFFFF"/>
            <w:vAlign w:val="center"/>
          </w:tcPr>
          <w:p w:rsidR="00067FE2" w:rsidRDefault="00B815FD" w:rsidP="00573610">
            <w:pPr>
              <w:pStyle w:val="Header"/>
            </w:pPr>
            <w:r>
              <w:t>Key Topic</w:t>
            </w:r>
            <w:r w:rsidR="00573610">
              <w:t xml:space="preserve"> </w:t>
            </w:r>
            <w:r>
              <w:t xml:space="preserve">Concept (KTC) </w:t>
            </w:r>
            <w:r w:rsidR="00067FE2">
              <w:t>Number</w:t>
            </w:r>
          </w:p>
        </w:tc>
        <w:tc>
          <w:tcPr>
            <w:tcW w:w="833" w:type="dxa"/>
            <w:tcBorders>
              <w:bottom w:val="single" w:sz="4" w:space="0" w:color="auto"/>
            </w:tcBorders>
            <w:vAlign w:val="center"/>
          </w:tcPr>
          <w:p w:rsidR="00067FE2" w:rsidRPr="00073E79" w:rsidRDefault="00CF42C7" w:rsidP="00D90D1A">
            <w:pPr>
              <w:pStyle w:val="Header"/>
              <w:jc w:val="center"/>
            </w:pPr>
            <w:r>
              <w:t>15.</w:t>
            </w:r>
            <w:r w:rsidR="00972B54">
              <w:t>8</w:t>
            </w:r>
          </w:p>
        </w:tc>
        <w:tc>
          <w:tcPr>
            <w:tcW w:w="1350" w:type="dxa"/>
            <w:tcBorders>
              <w:bottom w:val="single" w:sz="4" w:space="0" w:color="auto"/>
            </w:tcBorders>
            <w:shd w:val="clear" w:color="auto" w:fill="FFFFFF"/>
            <w:vAlign w:val="center"/>
          </w:tcPr>
          <w:p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rsidR="00067FE2" w:rsidRPr="00073E79" w:rsidRDefault="005663FC" w:rsidP="00D7513A">
            <w:pPr>
              <w:pStyle w:val="Header"/>
            </w:pPr>
            <w:r>
              <w:t xml:space="preserve">15.8 </w:t>
            </w:r>
            <w:r w:rsidR="00941C2F">
              <w:t>Grandfathering for Reactive Power Requirements</w:t>
            </w:r>
            <w:r w:rsidR="00D7513A">
              <w:t xml:space="preserve"> specified in</w:t>
            </w:r>
            <w:r w:rsidR="00941C2F">
              <w:t xml:space="preserve"> NPRR 989 (Energy Storage Resource Technical Requirements)</w:t>
            </w:r>
          </w:p>
        </w:tc>
      </w:tr>
      <w:tr w:rsidR="00067FE2" w:rsidRPr="00E01925" w:rsidTr="006F0498">
        <w:trPr>
          <w:trHeight w:val="518"/>
        </w:trPr>
        <w:tc>
          <w:tcPr>
            <w:tcW w:w="2340" w:type="dxa"/>
            <w:gridSpan w:val="2"/>
            <w:shd w:val="clear" w:color="auto" w:fill="FFFFFF"/>
            <w:vAlign w:val="center"/>
          </w:tcPr>
          <w:p w:rsidR="00067FE2" w:rsidRPr="00073E79" w:rsidRDefault="00067FE2" w:rsidP="00F44236">
            <w:pPr>
              <w:pStyle w:val="Header"/>
              <w:rPr>
                <w:bCs w:val="0"/>
              </w:rPr>
            </w:pPr>
            <w:r w:rsidRPr="00073E79">
              <w:rPr>
                <w:bCs w:val="0"/>
              </w:rPr>
              <w:t>Date Posted</w:t>
            </w:r>
          </w:p>
        </w:tc>
        <w:tc>
          <w:tcPr>
            <w:tcW w:w="8100" w:type="dxa"/>
            <w:gridSpan w:val="2"/>
            <w:vAlign w:val="center"/>
          </w:tcPr>
          <w:p w:rsidR="00067FE2" w:rsidRPr="00073E79" w:rsidRDefault="005663FC" w:rsidP="000730E5">
            <w:pPr>
              <w:pStyle w:val="NormalArial"/>
            </w:pPr>
            <w:r>
              <w:t>July 29</w:t>
            </w:r>
            <w:r w:rsidR="00FF584A">
              <w:t>, 2020</w:t>
            </w:r>
          </w:p>
        </w:tc>
      </w:tr>
      <w:tr w:rsidR="00067FE2" w:rsidTr="006F0498">
        <w:trPr>
          <w:trHeight w:val="323"/>
        </w:trPr>
        <w:tc>
          <w:tcPr>
            <w:tcW w:w="234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8100" w:type="dxa"/>
            <w:gridSpan w:val="2"/>
            <w:tcBorders>
              <w:top w:val="nil"/>
              <w:left w:val="nil"/>
              <w:bottom w:val="nil"/>
              <w:right w:val="nil"/>
            </w:tcBorders>
            <w:vAlign w:val="center"/>
          </w:tcPr>
          <w:p w:rsidR="00067FE2" w:rsidRDefault="00067FE2" w:rsidP="00F44236">
            <w:pPr>
              <w:pStyle w:val="NormalArial"/>
            </w:pPr>
          </w:p>
        </w:tc>
      </w:tr>
      <w:tr w:rsidR="009D17F0" w:rsidTr="006F0498">
        <w:trPr>
          <w:trHeight w:val="773"/>
        </w:trPr>
        <w:tc>
          <w:tcPr>
            <w:tcW w:w="2340" w:type="dxa"/>
            <w:gridSpan w:val="2"/>
            <w:tcBorders>
              <w:top w:val="single" w:sz="4" w:space="0" w:color="auto"/>
              <w:bottom w:val="single" w:sz="4" w:space="0" w:color="auto"/>
            </w:tcBorders>
            <w:shd w:val="clear" w:color="auto" w:fill="FFFFFF"/>
            <w:vAlign w:val="center"/>
          </w:tcPr>
          <w:p w:rsidR="009D17F0" w:rsidRDefault="00273AE9" w:rsidP="0066370F">
            <w:pPr>
              <w:pStyle w:val="Header"/>
            </w:pPr>
            <w:r>
              <w:t>Executive Summary</w:t>
            </w:r>
          </w:p>
        </w:tc>
        <w:tc>
          <w:tcPr>
            <w:tcW w:w="8100" w:type="dxa"/>
            <w:gridSpan w:val="2"/>
            <w:tcBorders>
              <w:top w:val="single" w:sz="4" w:space="0" w:color="auto"/>
            </w:tcBorders>
            <w:vAlign w:val="center"/>
          </w:tcPr>
          <w:p w:rsidR="00D90D1A" w:rsidRPr="00520C4C" w:rsidRDefault="00941C2F" w:rsidP="00682D42">
            <w:pPr>
              <w:pStyle w:val="NormalArial"/>
              <w:spacing w:before="120" w:after="120"/>
              <w:rPr>
                <w:color w:val="000000"/>
              </w:rPr>
            </w:pPr>
            <w:r>
              <w:rPr>
                <w:color w:val="000000"/>
              </w:rPr>
              <w:t xml:space="preserve">NPRR 989 </w:t>
            </w:r>
            <w:r>
              <w:t xml:space="preserve">(Energy Storage Resource Technical </w:t>
            </w:r>
            <w:r w:rsidR="00D7513A">
              <w:t>Requirements) broadened</w:t>
            </w:r>
            <w:r>
              <w:t xml:space="preserve"> the scope of existing Generation Resource VSS requirements to apply to ESRs and would also require ESRs to have the Reactive Power capability available at all MW levels when charging or discharging.  </w:t>
            </w:r>
            <w:r w:rsidR="006F0498">
              <w:rPr>
                <w:color w:val="000000"/>
              </w:rPr>
              <w:t>Th</w:t>
            </w:r>
            <w:r w:rsidR="00755849">
              <w:rPr>
                <w:color w:val="000000"/>
              </w:rPr>
              <w:t>is</w:t>
            </w:r>
            <w:r w:rsidR="006F0498">
              <w:rPr>
                <w:color w:val="000000"/>
              </w:rPr>
              <w:t xml:space="preserve"> KTC </w:t>
            </w:r>
            <w:r>
              <w:rPr>
                <w:color w:val="000000"/>
              </w:rPr>
              <w:t xml:space="preserve">recommends that ESRs </w:t>
            </w:r>
            <w:r w:rsidR="00682D42">
              <w:rPr>
                <w:color w:val="000000"/>
              </w:rPr>
              <w:t xml:space="preserve">that achieved Initial Synchronization before December 16, 2019 </w:t>
            </w:r>
            <w:r>
              <w:rPr>
                <w:color w:val="000000"/>
              </w:rPr>
              <w:t>whose current design or implementation does not allow them to meet the Reactive Power requirements when charging</w:t>
            </w:r>
            <w:r w:rsidR="00D7513A">
              <w:rPr>
                <w:color w:val="000000"/>
              </w:rPr>
              <w:t xml:space="preserve"> are</w:t>
            </w:r>
            <w:r w:rsidR="00682D42">
              <w:rPr>
                <w:color w:val="000000"/>
              </w:rPr>
              <w:t>, to the extent of that inability,</w:t>
            </w:r>
            <w:r w:rsidR="00D7513A">
              <w:rPr>
                <w:color w:val="000000"/>
              </w:rPr>
              <w:t xml:space="preserve"> </w:t>
            </w:r>
            <w:r w:rsidR="00682D42">
              <w:rPr>
                <w:color w:val="000000"/>
              </w:rPr>
              <w:t xml:space="preserve">excused from providing Reactive Power capability </w:t>
            </w:r>
            <w:r w:rsidR="00D7513A">
              <w:rPr>
                <w:color w:val="000000"/>
              </w:rPr>
              <w:t>when charging.</w:t>
            </w:r>
            <w:r>
              <w:rPr>
                <w:color w:val="000000"/>
              </w:rPr>
              <w:t xml:space="preserve"> </w:t>
            </w:r>
            <w:r w:rsidR="007166DE">
              <w:t xml:space="preserve"> </w:t>
            </w:r>
          </w:p>
        </w:tc>
      </w:tr>
      <w:tr w:rsidR="00032100" w:rsidTr="006F0498">
        <w:trPr>
          <w:trHeight w:val="773"/>
        </w:trPr>
        <w:tc>
          <w:tcPr>
            <w:tcW w:w="2340" w:type="dxa"/>
            <w:gridSpan w:val="2"/>
            <w:tcBorders>
              <w:top w:val="single" w:sz="4" w:space="0" w:color="auto"/>
              <w:bottom w:val="single" w:sz="4" w:space="0" w:color="auto"/>
            </w:tcBorders>
            <w:shd w:val="clear" w:color="auto" w:fill="FFFFFF"/>
            <w:vAlign w:val="center"/>
          </w:tcPr>
          <w:p w:rsidR="00032100" w:rsidRDefault="00032100" w:rsidP="00032100">
            <w:pPr>
              <w:pStyle w:val="Header"/>
            </w:pPr>
            <w:r>
              <w:t>Recommendation Description</w:t>
            </w:r>
          </w:p>
        </w:tc>
        <w:tc>
          <w:tcPr>
            <w:tcW w:w="8100" w:type="dxa"/>
            <w:gridSpan w:val="2"/>
            <w:tcBorders>
              <w:top w:val="single" w:sz="4" w:space="0" w:color="auto"/>
            </w:tcBorders>
            <w:vAlign w:val="center"/>
          </w:tcPr>
          <w:p w:rsidR="007166DE" w:rsidRPr="00520C4C" w:rsidRDefault="0095793E" w:rsidP="00682D42">
            <w:pPr>
              <w:pStyle w:val="NormalArial"/>
              <w:spacing w:before="120" w:after="120"/>
              <w:rPr>
                <w:color w:val="000000"/>
              </w:rPr>
            </w:pPr>
            <w:r>
              <w:rPr>
                <w:rFonts w:cs="Arial"/>
                <w:iCs/>
              </w:rPr>
              <w:t xml:space="preserve">This KTC recommends that </w:t>
            </w:r>
            <w:r w:rsidRPr="00F97F3D">
              <w:rPr>
                <w:rFonts w:cs="Arial"/>
                <w:iCs/>
              </w:rPr>
              <w:t>Protocol language should be added so that the</w:t>
            </w:r>
            <w:r>
              <w:rPr>
                <w:rFonts w:cs="Arial"/>
                <w:iCs/>
              </w:rPr>
              <w:t xml:space="preserve"> requirement for ESRs to have</w:t>
            </w:r>
            <w:r w:rsidRPr="00F97F3D">
              <w:rPr>
                <w:rFonts w:cs="Arial"/>
                <w:iCs/>
              </w:rPr>
              <w:t xml:space="preserve"> Reactive P</w:t>
            </w:r>
            <w:r>
              <w:rPr>
                <w:rFonts w:cs="Arial"/>
                <w:iCs/>
              </w:rPr>
              <w:t xml:space="preserve">ower capability when charging does not apply </w:t>
            </w:r>
            <w:r w:rsidR="00682D42">
              <w:rPr>
                <w:rFonts w:cs="Arial"/>
                <w:iCs/>
              </w:rPr>
              <w:t>to</w:t>
            </w:r>
            <w:r w:rsidR="00682D42" w:rsidRPr="00F97F3D">
              <w:rPr>
                <w:rFonts w:cs="Arial"/>
                <w:iCs/>
              </w:rPr>
              <w:t xml:space="preserve"> </w:t>
            </w:r>
            <w:r w:rsidRPr="00F97F3D">
              <w:rPr>
                <w:rFonts w:cs="Arial"/>
                <w:iCs/>
              </w:rPr>
              <w:t xml:space="preserve">ESRs </w:t>
            </w:r>
            <w:r w:rsidR="00682D42">
              <w:rPr>
                <w:rFonts w:cs="Arial"/>
                <w:iCs/>
              </w:rPr>
              <w:t>that achieved Initial Synchronization</w:t>
            </w:r>
            <w:r w:rsidRPr="00F97F3D">
              <w:rPr>
                <w:rFonts w:cs="Arial"/>
                <w:iCs/>
              </w:rPr>
              <w:t xml:space="preserve"> </w:t>
            </w:r>
            <w:r>
              <w:rPr>
                <w:rFonts w:cs="Arial"/>
                <w:iCs/>
              </w:rPr>
              <w:t>before</w:t>
            </w:r>
            <w:r w:rsidR="00FE4107">
              <w:rPr>
                <w:rFonts w:cs="Arial"/>
                <w:iCs/>
              </w:rPr>
              <w:t xml:space="preserve"> December 16, 2019 (date</w:t>
            </w:r>
            <w:r w:rsidRPr="00F97F3D">
              <w:rPr>
                <w:rFonts w:cs="Arial"/>
                <w:iCs/>
              </w:rPr>
              <w:t xml:space="preserve"> NPRR 989</w:t>
            </w:r>
            <w:r w:rsidR="00FE4107">
              <w:rPr>
                <w:rFonts w:cs="Arial"/>
                <w:iCs/>
              </w:rPr>
              <w:t xml:space="preserve"> was submitted</w:t>
            </w:r>
            <w:r w:rsidRPr="00F97F3D">
              <w:rPr>
                <w:rFonts w:cs="Arial"/>
                <w:iCs/>
              </w:rPr>
              <w:t xml:space="preserve">) </w:t>
            </w:r>
            <w:r w:rsidR="00682D42">
              <w:rPr>
                <w:rFonts w:cs="Arial"/>
                <w:iCs/>
              </w:rPr>
              <w:t>to the extent they have demonstrated to ERCOT an inability to comply with that requirement</w:t>
            </w:r>
            <w:r>
              <w:rPr>
                <w:rFonts w:cs="Arial"/>
                <w:iCs/>
              </w:rPr>
              <w:t>.</w:t>
            </w:r>
          </w:p>
        </w:tc>
      </w:tr>
      <w:tr w:rsidR="00032100" w:rsidTr="006F0498">
        <w:trPr>
          <w:trHeight w:val="773"/>
        </w:trPr>
        <w:tc>
          <w:tcPr>
            <w:tcW w:w="2340" w:type="dxa"/>
            <w:gridSpan w:val="2"/>
            <w:tcBorders>
              <w:top w:val="single" w:sz="4" w:space="0" w:color="auto"/>
              <w:bottom w:val="single" w:sz="4" w:space="0" w:color="auto"/>
            </w:tcBorders>
            <w:shd w:val="clear" w:color="auto" w:fill="FFFFFF"/>
            <w:vAlign w:val="center"/>
          </w:tcPr>
          <w:p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rsidR="009C0863" w:rsidRPr="00BC3662" w:rsidRDefault="00097508" w:rsidP="00EF6848">
            <w:pPr>
              <w:pStyle w:val="NormalArial"/>
              <w:spacing w:before="120" w:after="120"/>
            </w:pPr>
            <w:r>
              <w:rPr>
                <w:rFonts w:cs="Arial"/>
              </w:rPr>
              <w:t>On 7/23</w:t>
            </w:r>
            <w:r w:rsidRPr="00DE2FAC">
              <w:rPr>
                <w:rFonts w:cs="Arial"/>
              </w:rPr>
              <w:t>/2020, ERCOT s</w:t>
            </w:r>
            <w:r>
              <w:rPr>
                <w:rFonts w:cs="Arial"/>
              </w:rPr>
              <w:t xml:space="preserve">taff presented the </w:t>
            </w:r>
            <w:r w:rsidRPr="00DE2FAC">
              <w:rPr>
                <w:rFonts w:cs="Arial"/>
              </w:rPr>
              <w:t xml:space="preserve">KTC document on the topic of </w:t>
            </w:r>
            <w:r w:rsidRPr="00097508">
              <w:rPr>
                <w:rFonts w:cs="Arial"/>
              </w:rPr>
              <w:t>Grandfathering for Reactive Power Requirements specified in NPRR 989 (Energy Storage Resource Technical Requirements)</w:t>
            </w:r>
            <w:r w:rsidR="00EF6848">
              <w:rPr>
                <w:rFonts w:cs="Arial"/>
              </w:rPr>
              <w:t>.</w:t>
            </w:r>
            <w:r>
              <w:rPr>
                <w:rFonts w:cs="Arial"/>
              </w:rPr>
              <w:t xml:space="preserve">  </w:t>
            </w:r>
            <w:r w:rsidR="00EF6848">
              <w:rPr>
                <w:rFonts w:cs="Arial"/>
              </w:rPr>
              <w:t>The B</w:t>
            </w:r>
            <w:r w:rsidR="00EF6848" w:rsidRPr="00DE2FAC">
              <w:rPr>
                <w:rFonts w:cs="Arial"/>
              </w:rPr>
              <w:t>ES</w:t>
            </w:r>
            <w:r w:rsidR="00EF6848">
              <w:rPr>
                <w:rFonts w:cs="Arial"/>
              </w:rPr>
              <w:t>TF reached consensus a</w:t>
            </w:r>
            <w:r>
              <w:rPr>
                <w:rFonts w:cs="Arial"/>
              </w:rPr>
              <w:t>fter a short discussion</w:t>
            </w:r>
            <w:r w:rsidRPr="00DE2FAC">
              <w:rPr>
                <w:rFonts w:cs="Arial"/>
              </w:rPr>
              <w:t>.</w:t>
            </w:r>
          </w:p>
        </w:tc>
      </w:tr>
      <w:tr w:rsidR="00032100" w:rsidTr="006F0498">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Requested</w:t>
            </w:r>
          </w:p>
        </w:tc>
        <w:tc>
          <w:tcPr>
            <w:tcW w:w="8100" w:type="dxa"/>
            <w:gridSpan w:val="2"/>
            <w:tcBorders>
              <w:bottom w:val="single" w:sz="4" w:space="0" w:color="auto"/>
            </w:tcBorders>
            <w:vAlign w:val="center"/>
          </w:tcPr>
          <w:p w:rsidR="00514E96" w:rsidRPr="00BC3662" w:rsidRDefault="00097508" w:rsidP="00AA739F">
            <w:pPr>
              <w:pStyle w:val="NormalArial"/>
              <w:spacing w:before="120" w:after="120"/>
            </w:pPr>
            <w:r>
              <w:t>BESTF plans to request at the 07/29/20 TAC meeting a vote to approve KTC 15-8.</w:t>
            </w:r>
          </w:p>
        </w:tc>
      </w:tr>
      <w:tr w:rsidR="00032100" w:rsidTr="006F0498">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Summary</w:t>
            </w:r>
          </w:p>
        </w:tc>
        <w:tc>
          <w:tcPr>
            <w:tcW w:w="8100" w:type="dxa"/>
            <w:gridSpan w:val="2"/>
            <w:tcBorders>
              <w:bottom w:val="single" w:sz="4" w:space="0" w:color="auto"/>
            </w:tcBorders>
            <w:vAlign w:val="center"/>
          </w:tcPr>
          <w:p w:rsidR="00FC1CB1" w:rsidRPr="00BC3662" w:rsidRDefault="005663FC" w:rsidP="007334AB">
            <w:pPr>
              <w:pStyle w:val="NormalArial"/>
              <w:spacing w:before="120" w:after="120"/>
            </w:pPr>
            <w:r>
              <w:t>On 7/29/2020, TAC approved KTC 15.</w:t>
            </w:r>
            <w:r>
              <w:t>8</w:t>
            </w:r>
          </w:p>
        </w:tc>
      </w:tr>
    </w:tbl>
    <w:p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rsidR="00BC2D06" w:rsidRPr="00957573" w:rsidRDefault="00BC2D06" w:rsidP="00BC2D06">
      <w:pPr>
        <w:ind w:left="360"/>
        <w:rPr>
          <w:rFonts w:ascii="Arial" w:hAnsi="Arial" w:cs="Arial"/>
        </w:rPr>
      </w:pPr>
    </w:p>
    <w:p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rsidR="005663FC" w:rsidRDefault="005663FC" w:rsidP="005663FC">
      <w:pPr>
        <w:spacing w:before="120" w:after="120"/>
        <w:rPr>
          <w:rFonts w:ascii="Arial" w:hAnsi="Arial" w:cs="Arial"/>
          <w:iCs/>
        </w:rPr>
      </w:pPr>
      <w:r w:rsidRPr="00EF6848">
        <w:rPr>
          <w:rFonts w:ascii="Arial" w:hAnsi="Arial" w:cs="Arial"/>
          <w:iCs/>
        </w:rPr>
        <w:t>None.</w:t>
      </w:r>
    </w:p>
    <w:p w:rsidR="005663FC" w:rsidRDefault="005663FC" w:rsidP="005663FC">
      <w:pPr>
        <w:spacing w:before="120" w:after="120"/>
        <w:rPr>
          <w:rFonts w:ascii="Arial" w:hAnsi="Arial" w:cs="Arial"/>
          <w:iCs/>
        </w:rPr>
      </w:pPr>
    </w:p>
    <w:p w:rsidR="005663FC" w:rsidRDefault="005663FC" w:rsidP="005663FC">
      <w:pPr>
        <w:spacing w:before="120" w:after="120"/>
        <w:rPr>
          <w:rFonts w:ascii="Arial" w:hAnsi="Arial" w:cs="Arial"/>
          <w:iCs/>
        </w:rPr>
      </w:pPr>
    </w:p>
    <w:p w:rsidR="005663FC" w:rsidRPr="00073E79" w:rsidRDefault="005663FC" w:rsidP="005663FC">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recommendation Language Previously </w:t>
      </w:r>
      <w:r>
        <w:rPr>
          <w:rFonts w:ascii="Arial" w:hAnsi="Arial" w:cs="Arial"/>
          <w:i/>
          <w:sz w:val="22"/>
          <w:szCs w:val="22"/>
        </w:rPr>
        <w:t>APProved</w:t>
      </w:r>
      <w:r w:rsidRPr="00073E79">
        <w:rPr>
          <w:rFonts w:ascii="Arial" w:hAnsi="Arial" w:cs="Arial"/>
          <w:i/>
          <w:sz w:val="22"/>
          <w:szCs w:val="22"/>
        </w:rPr>
        <w:t xml:space="preserve"> by tac</w:t>
      </w:r>
    </w:p>
    <w:p w:rsidR="00EF6848" w:rsidRDefault="00EF6848" w:rsidP="00EF6848">
      <w:pPr>
        <w:spacing w:before="120" w:after="120"/>
        <w:rPr>
          <w:rFonts w:ascii="Arial" w:hAnsi="Arial" w:cs="Arial"/>
          <w:iCs/>
          <w:u w:val="single"/>
        </w:rPr>
      </w:pPr>
      <w:r w:rsidRPr="00EF6848">
        <w:rPr>
          <w:rFonts w:ascii="Arial" w:hAnsi="Arial" w:cs="Arial"/>
          <w:iCs/>
          <w:u w:val="single"/>
        </w:rPr>
        <w:t>07/29/20 TAC Meeting: (Consensus from 07/23/20 BESTF meeting):</w:t>
      </w:r>
    </w:p>
    <w:p w:rsidR="005663FC" w:rsidRPr="005663FC" w:rsidRDefault="005663FC" w:rsidP="00EF6848">
      <w:pPr>
        <w:spacing w:before="120" w:after="120"/>
        <w:rPr>
          <w:rFonts w:ascii="Arial" w:hAnsi="Arial" w:cs="Arial"/>
          <w:iCs/>
        </w:rPr>
      </w:pPr>
      <w:r w:rsidRPr="005663FC">
        <w:rPr>
          <w:rFonts w:ascii="Arial" w:hAnsi="Arial" w:cs="Arial"/>
          <w:iCs/>
        </w:rPr>
        <w:t>KTC15 Item 8:</w:t>
      </w:r>
    </w:p>
    <w:p w:rsidR="00EF6848" w:rsidRDefault="00EF6848" w:rsidP="00EF6848">
      <w:pPr>
        <w:pStyle w:val="ListParagraph"/>
        <w:numPr>
          <w:ilvl w:val="0"/>
          <w:numId w:val="15"/>
        </w:numPr>
        <w:spacing w:before="120" w:after="120"/>
        <w:rPr>
          <w:rFonts w:cs="Arial"/>
          <w:iCs/>
          <w:color w:val="auto"/>
        </w:rPr>
      </w:pPr>
      <w:r>
        <w:rPr>
          <w:rFonts w:cs="Arial"/>
          <w:iCs/>
          <w:color w:val="auto"/>
        </w:rPr>
        <w:t xml:space="preserve">Per </w:t>
      </w:r>
      <w:r w:rsidRPr="00EF6848">
        <w:rPr>
          <w:rFonts w:cs="Arial"/>
          <w:iCs/>
          <w:color w:val="auto"/>
        </w:rPr>
        <w:t>NPR</w:t>
      </w:r>
      <w:r>
        <w:rPr>
          <w:rFonts w:cs="Arial"/>
          <w:iCs/>
          <w:color w:val="auto"/>
        </w:rPr>
        <w:t xml:space="preserve">R 989;  </w:t>
      </w:r>
      <w:r w:rsidRPr="00830161">
        <w:rPr>
          <w:rFonts w:cs="Arial"/>
          <w:iCs/>
          <w:color w:val="auto"/>
          <w:u w:val="single"/>
        </w:rPr>
        <w:t>Section 3.15 Voltage Support paragraph (2)</w:t>
      </w:r>
      <w:r>
        <w:rPr>
          <w:rFonts w:cs="Arial"/>
          <w:iCs/>
          <w:color w:val="auto"/>
        </w:rPr>
        <w:t>:  “</w:t>
      </w:r>
      <w:r w:rsidRPr="0091754B">
        <w:rPr>
          <w:iCs/>
          <w:szCs w:val="20"/>
        </w:rPr>
        <w:t xml:space="preserve">All Generation Resources (including self-serve generating units) </w:t>
      </w:r>
      <w:r>
        <w:t>and Energy Storage Resources (ESRs)</w:t>
      </w:r>
      <w:r w:rsidRPr="0078794F">
        <w:rPr>
          <w:iCs/>
          <w:szCs w:val="20"/>
        </w:rPr>
        <w:t xml:space="preserve"> </w:t>
      </w:r>
      <w:r w:rsidRPr="0091754B">
        <w:rPr>
          <w:iCs/>
          <w:szCs w:val="20"/>
        </w:rPr>
        <w:t>that have a gross unit rating greater than 20 MVA or those units connected at the same Point of Interconnection (POI) that have gross unit ratings aggregating to greater than 20 MVA, that supply power to the ERCOT Transmission Grid, shall provide Voltage Support Service (VSS).</w:t>
      </w:r>
      <w:r>
        <w:rPr>
          <w:iCs/>
          <w:szCs w:val="20"/>
        </w:rPr>
        <w:t>”</w:t>
      </w:r>
      <w:r>
        <w:rPr>
          <w:rFonts w:cs="Arial"/>
          <w:iCs/>
          <w:color w:val="auto"/>
        </w:rPr>
        <w:t xml:space="preserve"> </w:t>
      </w:r>
    </w:p>
    <w:p w:rsidR="00EF6848" w:rsidRDefault="00EF6848" w:rsidP="00EF6848">
      <w:pPr>
        <w:pStyle w:val="ListParagraph"/>
        <w:spacing w:before="120" w:after="120"/>
        <w:ind w:left="1080"/>
        <w:rPr>
          <w:rFonts w:cs="Arial"/>
          <w:iCs/>
          <w:color w:val="auto"/>
        </w:rPr>
      </w:pPr>
    </w:p>
    <w:p w:rsidR="00EF6848" w:rsidRPr="00F97F3D" w:rsidRDefault="00EF6848" w:rsidP="00EF6848">
      <w:pPr>
        <w:pStyle w:val="ListParagraph"/>
        <w:numPr>
          <w:ilvl w:val="0"/>
          <w:numId w:val="15"/>
        </w:numPr>
        <w:spacing w:before="120" w:after="120"/>
        <w:rPr>
          <w:iCs/>
          <w:szCs w:val="20"/>
        </w:rPr>
      </w:pPr>
      <w:r>
        <w:rPr>
          <w:rFonts w:cs="Arial"/>
          <w:iCs/>
          <w:color w:val="auto"/>
        </w:rPr>
        <w:t xml:space="preserve">Also per NPRR 989;  </w:t>
      </w:r>
      <w:r w:rsidRPr="00830161">
        <w:rPr>
          <w:rFonts w:cs="Arial"/>
          <w:iCs/>
          <w:color w:val="auto"/>
          <w:u w:val="single"/>
        </w:rPr>
        <w:t>Section 3</w:t>
      </w:r>
      <w:r>
        <w:rPr>
          <w:rFonts w:cs="Arial"/>
          <w:iCs/>
          <w:color w:val="auto"/>
          <w:u w:val="single"/>
        </w:rPr>
        <w:t>.15 Voltage Support paragraph (4</w:t>
      </w:r>
      <w:r w:rsidRPr="00830161">
        <w:rPr>
          <w:rFonts w:cs="Arial"/>
          <w:iCs/>
          <w:color w:val="auto"/>
          <w:u w:val="single"/>
        </w:rPr>
        <w:t>)</w:t>
      </w:r>
      <w:r>
        <w:rPr>
          <w:rFonts w:cs="Arial"/>
          <w:iCs/>
          <w:color w:val="auto"/>
          <w:u w:val="single"/>
        </w:rPr>
        <w:t>(e)</w:t>
      </w:r>
      <w:r>
        <w:rPr>
          <w:rFonts w:cs="Arial"/>
          <w:iCs/>
          <w:color w:val="auto"/>
        </w:rPr>
        <w:t xml:space="preserve">: </w:t>
      </w:r>
      <w:r w:rsidRPr="00F97F3D">
        <w:rPr>
          <w:iCs/>
          <w:szCs w:val="20"/>
        </w:rPr>
        <w:t>“For ESRs, the Reactive Power capability shall be available at all MW levels, when charging or discharging, and may be met through a combination of the ESR’s CURL, and/or dynamic VAr-capable devices.</w:t>
      </w:r>
      <w:r>
        <w:rPr>
          <w:iCs/>
          <w:szCs w:val="20"/>
        </w:rPr>
        <w:t>”</w:t>
      </w:r>
    </w:p>
    <w:p w:rsidR="00EF6848" w:rsidRDefault="00EF6848" w:rsidP="00EF6848">
      <w:pPr>
        <w:pStyle w:val="ListParagraph"/>
      </w:pPr>
    </w:p>
    <w:p w:rsidR="00EF6848" w:rsidRPr="005C1952" w:rsidRDefault="00EF6848" w:rsidP="00EF6848">
      <w:pPr>
        <w:pStyle w:val="ListParagraph"/>
        <w:numPr>
          <w:ilvl w:val="0"/>
          <w:numId w:val="15"/>
        </w:numPr>
        <w:spacing w:before="120" w:after="120"/>
        <w:rPr>
          <w:rFonts w:cs="Arial"/>
          <w:iCs/>
          <w:color w:val="auto"/>
        </w:rPr>
      </w:pPr>
      <w:r w:rsidRPr="00F97F3D">
        <w:rPr>
          <w:rFonts w:cs="Arial"/>
          <w:iCs/>
          <w:color w:val="auto"/>
        </w:rPr>
        <w:t>Protocol language should be added so that the</w:t>
      </w:r>
      <w:r>
        <w:rPr>
          <w:rFonts w:cs="Arial"/>
          <w:iCs/>
          <w:color w:val="auto"/>
        </w:rPr>
        <w:t xml:space="preserve"> requirement for ESRs to have</w:t>
      </w:r>
      <w:r w:rsidRPr="00F97F3D">
        <w:rPr>
          <w:rFonts w:cs="Arial"/>
          <w:iCs/>
          <w:color w:val="auto"/>
        </w:rPr>
        <w:t xml:space="preserve"> Reactive P</w:t>
      </w:r>
      <w:r>
        <w:rPr>
          <w:rFonts w:cs="Arial"/>
          <w:iCs/>
          <w:color w:val="auto"/>
        </w:rPr>
        <w:t>ower capability when charging does not apply to</w:t>
      </w:r>
      <w:r w:rsidRPr="00F97F3D">
        <w:rPr>
          <w:rFonts w:cs="Arial"/>
          <w:iCs/>
          <w:color w:val="auto"/>
        </w:rPr>
        <w:t xml:space="preserve"> ESRs </w:t>
      </w:r>
      <w:r>
        <w:rPr>
          <w:rFonts w:cs="Arial"/>
          <w:iCs/>
          <w:color w:val="auto"/>
        </w:rPr>
        <w:t>that achieved Initial Synchronization before</w:t>
      </w:r>
      <w:r w:rsidRPr="00F97F3D">
        <w:rPr>
          <w:rFonts w:cs="Arial"/>
          <w:iCs/>
          <w:color w:val="auto"/>
        </w:rPr>
        <w:t xml:space="preserve"> </w:t>
      </w:r>
      <w:r w:rsidRPr="00054B39">
        <w:rPr>
          <w:rFonts w:cs="Arial"/>
          <w:iCs/>
          <w:color w:val="auto"/>
        </w:rPr>
        <w:t xml:space="preserve">December 16, 2019 (date NPRR 989 was submitted) to the extent they </w:t>
      </w:r>
      <w:r w:rsidRPr="005C1952">
        <w:rPr>
          <w:rFonts w:cs="Arial"/>
          <w:iCs/>
          <w:color w:val="auto"/>
        </w:rPr>
        <w:t xml:space="preserve">have established via a notarized attestation to ERCOT that, </w:t>
      </w:r>
      <w:r w:rsidRPr="005C1952">
        <w:rPr>
          <w:color w:val="auto"/>
        </w:rPr>
        <w:t>since the date of Initial Synchronization, the ESR has been unable</w:t>
      </w:r>
      <w:r w:rsidRPr="005C1952">
        <w:rPr>
          <w:rFonts w:cs="Arial"/>
          <w:iCs/>
          <w:color w:val="auto"/>
        </w:rPr>
        <w:t xml:space="preserve"> to comply with that requirement </w:t>
      </w:r>
      <w:r w:rsidRPr="005C1952">
        <w:rPr>
          <w:color w:val="auto"/>
        </w:rPr>
        <w:t>without physical or software changes/modifications</w:t>
      </w:r>
      <w:r w:rsidRPr="005C1952">
        <w:rPr>
          <w:rFonts w:cs="Arial"/>
          <w:iCs/>
          <w:color w:val="auto"/>
        </w:rPr>
        <w:t>.</w:t>
      </w:r>
    </w:p>
    <w:p w:rsidR="00D05BB9" w:rsidRPr="00073E79" w:rsidRDefault="00D05BB9" w:rsidP="00073E79">
      <w:pPr>
        <w:pStyle w:val="ListParagraph"/>
        <w:spacing w:before="120" w:after="120"/>
        <w:ind w:left="0"/>
        <w:contextualSpacing w:val="0"/>
        <w:rPr>
          <w:rFonts w:cs="Arial"/>
          <w:iCs/>
          <w:color w:val="auto"/>
        </w:rPr>
      </w:pPr>
    </w:p>
    <w:p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rsidR="00EF6848" w:rsidRDefault="00EF6848" w:rsidP="00EF6848">
      <w:pPr>
        <w:spacing w:before="120" w:after="120"/>
        <w:rPr>
          <w:rFonts w:ascii="Arial" w:hAnsi="Arial" w:cs="Arial"/>
          <w:iCs/>
        </w:rPr>
      </w:pPr>
      <w:r w:rsidRPr="00EF6848">
        <w:rPr>
          <w:rFonts w:ascii="Arial" w:hAnsi="Arial" w:cs="Arial"/>
          <w:iCs/>
        </w:rPr>
        <w:t>None.</w:t>
      </w:r>
    </w:p>
    <w:p w:rsidR="005663FC" w:rsidRPr="00EF6848" w:rsidRDefault="005663FC" w:rsidP="00EF6848">
      <w:pPr>
        <w:spacing w:before="120" w:after="120"/>
        <w:rPr>
          <w:rFonts w:ascii="Arial" w:hAnsi="Arial" w:cs="Arial"/>
          <w:iCs/>
        </w:rPr>
      </w:pPr>
      <w:bookmarkStart w:id="0" w:name="_GoBack"/>
      <w:bookmarkEnd w:id="0"/>
    </w:p>
    <w:p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rsidR="00BE67D9" w:rsidRPr="00EF6848" w:rsidRDefault="00EF6848" w:rsidP="00EF6848">
      <w:pPr>
        <w:spacing w:before="120" w:after="120"/>
        <w:rPr>
          <w:rFonts w:ascii="Arial" w:hAnsi="Arial" w:cs="Arial"/>
          <w:iCs/>
        </w:rPr>
      </w:pPr>
      <w:r w:rsidRPr="00EF6848">
        <w:rPr>
          <w:rFonts w:ascii="Arial" w:hAnsi="Arial" w:cs="Arial"/>
          <w:i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Tr="0050618E">
        <w:trPr>
          <w:cantSplit/>
          <w:trHeight w:val="432"/>
        </w:trPr>
        <w:tc>
          <w:tcPr>
            <w:tcW w:w="2880" w:type="dxa"/>
            <w:shd w:val="clear" w:color="auto" w:fill="FFFFFF"/>
            <w:vAlign w:val="center"/>
          </w:tcPr>
          <w:p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rsidR="004A490A" w:rsidRDefault="004A490A" w:rsidP="0050618E">
            <w:pPr>
              <w:pStyle w:val="NormalArial"/>
            </w:pPr>
          </w:p>
          <w:p w:rsidR="004A490A" w:rsidRDefault="004A490A" w:rsidP="00383B4E">
            <w:pPr>
              <w:pStyle w:val="NormalArial"/>
            </w:pPr>
          </w:p>
        </w:tc>
      </w:tr>
      <w:tr w:rsidR="004A490A" w:rsidTr="00273AE9">
        <w:trPr>
          <w:cantSplit/>
          <w:trHeight w:val="782"/>
        </w:trPr>
        <w:tc>
          <w:tcPr>
            <w:tcW w:w="2880" w:type="dxa"/>
            <w:shd w:val="clear" w:color="auto" w:fill="FFFFFF"/>
            <w:vAlign w:val="center"/>
          </w:tcPr>
          <w:p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rsidR="004A490A" w:rsidRPr="00D1439B" w:rsidRDefault="004A490A" w:rsidP="00BC7ACB">
            <w:pPr>
              <w:pStyle w:val="NormalArial"/>
              <w:rPr>
                <w:color w:val="FF0000"/>
              </w:rPr>
            </w:pPr>
          </w:p>
        </w:tc>
      </w:tr>
    </w:tbl>
    <w:p w:rsidR="00B15817" w:rsidRDefault="00B15817" w:rsidP="00BC2D06"/>
    <w:sectPr w:rsidR="00B15817">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2D" w:rsidRDefault="00837A2D">
      <w:r>
        <w:separator/>
      </w:r>
    </w:p>
  </w:endnote>
  <w:endnote w:type="continuationSeparator" w:id="0">
    <w:p w:rsidR="00837A2D" w:rsidRDefault="0083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Pr="00412DCA" w:rsidRDefault="0083016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Default="00EF6848">
    <w:pPr>
      <w:pStyle w:val="Footer"/>
      <w:tabs>
        <w:tab w:val="clear" w:pos="4320"/>
        <w:tab w:val="clear" w:pos="8640"/>
        <w:tab w:val="right" w:pos="9360"/>
      </w:tabs>
      <w:rPr>
        <w:rFonts w:ascii="Arial" w:hAnsi="Arial" w:cs="Arial"/>
        <w:sz w:val="18"/>
      </w:rPr>
    </w:pPr>
    <w:r>
      <w:rPr>
        <w:rFonts w:ascii="Arial" w:hAnsi="Arial" w:cs="Arial"/>
        <w:sz w:val="18"/>
      </w:rPr>
      <w:t>K</w:t>
    </w:r>
    <w:r w:rsidR="005663FC">
      <w:rPr>
        <w:rFonts w:ascii="Arial" w:hAnsi="Arial" w:cs="Arial"/>
        <w:sz w:val="18"/>
      </w:rPr>
      <w:t xml:space="preserve">TC 15.8 </w:t>
    </w:r>
    <w:r>
      <w:rPr>
        <w:rFonts w:ascii="Arial" w:hAnsi="Arial" w:cs="Arial"/>
        <w:sz w:val="18"/>
      </w:rPr>
      <w:t>(</w:t>
    </w:r>
    <w:r w:rsidR="005663FC">
      <w:rPr>
        <w:rFonts w:ascii="Arial" w:hAnsi="Arial" w:cs="Arial"/>
        <w:sz w:val="18"/>
      </w:rPr>
      <w:t>TAC Approved</w:t>
    </w:r>
    <w:r w:rsidR="006B0303">
      <w:rPr>
        <w:rFonts w:ascii="Arial" w:hAnsi="Arial" w:cs="Arial"/>
        <w:sz w:val="18"/>
      </w:rPr>
      <w:t xml:space="preserve"> 7-2</w:t>
    </w:r>
    <w:r w:rsidR="005663FC">
      <w:rPr>
        <w:rFonts w:ascii="Arial" w:hAnsi="Arial" w:cs="Arial"/>
        <w:sz w:val="18"/>
      </w:rPr>
      <w:t>9</w:t>
    </w:r>
    <w:r>
      <w:rPr>
        <w:rFonts w:ascii="Arial" w:hAnsi="Arial" w:cs="Arial"/>
        <w:sz w:val="18"/>
      </w:rPr>
      <w:t>-</w:t>
    </w:r>
    <w:r w:rsidR="005663FC">
      <w:rPr>
        <w:rFonts w:ascii="Arial" w:hAnsi="Arial" w:cs="Arial"/>
        <w:sz w:val="18"/>
      </w:rPr>
      <w:t>2020)</w:t>
    </w:r>
    <w:r w:rsidR="00830161">
      <w:rPr>
        <w:rFonts w:ascii="Arial" w:hAnsi="Arial" w:cs="Arial"/>
        <w:sz w:val="18"/>
      </w:rPr>
      <w:tab/>
      <w:t>Pa</w:t>
    </w:r>
    <w:r w:rsidR="00830161" w:rsidRPr="00412DCA">
      <w:rPr>
        <w:rFonts w:ascii="Arial" w:hAnsi="Arial" w:cs="Arial"/>
        <w:sz w:val="18"/>
      </w:rPr>
      <w:t xml:space="preserve">ge </w:t>
    </w:r>
    <w:r w:rsidR="00830161" w:rsidRPr="00412DCA">
      <w:rPr>
        <w:rFonts w:ascii="Arial" w:hAnsi="Arial" w:cs="Arial"/>
        <w:sz w:val="18"/>
      </w:rPr>
      <w:fldChar w:fldCharType="begin"/>
    </w:r>
    <w:r w:rsidR="00830161" w:rsidRPr="00412DCA">
      <w:rPr>
        <w:rFonts w:ascii="Arial" w:hAnsi="Arial" w:cs="Arial"/>
        <w:sz w:val="18"/>
      </w:rPr>
      <w:instrText xml:space="preserve"> PAGE </w:instrText>
    </w:r>
    <w:r w:rsidR="00830161" w:rsidRPr="00412DCA">
      <w:rPr>
        <w:rFonts w:ascii="Arial" w:hAnsi="Arial" w:cs="Arial"/>
        <w:sz w:val="18"/>
      </w:rPr>
      <w:fldChar w:fldCharType="separate"/>
    </w:r>
    <w:r w:rsidR="005663FC">
      <w:rPr>
        <w:rFonts w:ascii="Arial" w:hAnsi="Arial" w:cs="Arial"/>
        <w:noProof/>
        <w:sz w:val="18"/>
      </w:rPr>
      <w:t>2</w:t>
    </w:r>
    <w:r w:rsidR="00830161" w:rsidRPr="00412DCA">
      <w:rPr>
        <w:rFonts w:ascii="Arial" w:hAnsi="Arial" w:cs="Arial"/>
        <w:sz w:val="18"/>
      </w:rPr>
      <w:fldChar w:fldCharType="end"/>
    </w:r>
    <w:r w:rsidR="00830161" w:rsidRPr="00412DCA">
      <w:rPr>
        <w:rFonts w:ascii="Arial" w:hAnsi="Arial" w:cs="Arial"/>
        <w:sz w:val="18"/>
      </w:rPr>
      <w:t xml:space="preserve"> of </w:t>
    </w:r>
    <w:r w:rsidR="00830161" w:rsidRPr="00412DCA">
      <w:rPr>
        <w:rFonts w:ascii="Arial" w:hAnsi="Arial" w:cs="Arial"/>
        <w:sz w:val="18"/>
      </w:rPr>
      <w:fldChar w:fldCharType="begin"/>
    </w:r>
    <w:r w:rsidR="00830161" w:rsidRPr="00412DCA">
      <w:rPr>
        <w:rFonts w:ascii="Arial" w:hAnsi="Arial" w:cs="Arial"/>
        <w:sz w:val="18"/>
      </w:rPr>
      <w:instrText xml:space="preserve"> NUMPAGES </w:instrText>
    </w:r>
    <w:r w:rsidR="00830161" w:rsidRPr="00412DCA">
      <w:rPr>
        <w:rFonts w:ascii="Arial" w:hAnsi="Arial" w:cs="Arial"/>
        <w:sz w:val="18"/>
      </w:rPr>
      <w:fldChar w:fldCharType="separate"/>
    </w:r>
    <w:r w:rsidR="005663FC">
      <w:rPr>
        <w:rFonts w:ascii="Arial" w:hAnsi="Arial" w:cs="Arial"/>
        <w:noProof/>
        <w:sz w:val="18"/>
      </w:rPr>
      <w:t>2</w:t>
    </w:r>
    <w:r w:rsidR="00830161" w:rsidRPr="00412DCA">
      <w:rPr>
        <w:rFonts w:ascii="Arial" w:hAnsi="Arial" w:cs="Arial"/>
        <w:sz w:val="18"/>
      </w:rPr>
      <w:fldChar w:fldCharType="end"/>
    </w:r>
  </w:p>
  <w:p w:rsidR="00830161" w:rsidRPr="00412DCA" w:rsidRDefault="0083016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Pr="00412DCA" w:rsidRDefault="0083016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2D" w:rsidRDefault="00837A2D">
      <w:r>
        <w:separator/>
      </w:r>
    </w:p>
  </w:footnote>
  <w:footnote w:type="continuationSeparator" w:id="0">
    <w:p w:rsidR="00837A2D" w:rsidRDefault="0083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Default="00830161"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46F589F"/>
    <w:multiLevelType w:val="hybridMultilevel"/>
    <w:tmpl w:val="08AE715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440BB0"/>
    <w:multiLevelType w:val="hybridMultilevel"/>
    <w:tmpl w:val="007E2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B831CD"/>
    <w:multiLevelType w:val="hybridMultilevel"/>
    <w:tmpl w:val="D142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81F1F"/>
    <w:multiLevelType w:val="hybridMultilevel"/>
    <w:tmpl w:val="3BB4C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63B5F"/>
    <w:multiLevelType w:val="hybridMultilevel"/>
    <w:tmpl w:val="DA50C4F6"/>
    <w:lvl w:ilvl="0" w:tplc="A74A48C4">
      <w:start w:val="1"/>
      <w:numFmt w:val="bullet"/>
      <w:lvlText w:val=""/>
      <w:lvlJc w:val="left"/>
      <w:pPr>
        <w:tabs>
          <w:tab w:val="num" w:pos="720"/>
        </w:tabs>
        <w:ind w:left="720" w:hanging="360"/>
      </w:pPr>
      <w:rPr>
        <w:rFonts w:ascii="Wingdings" w:hAnsi="Wingdings" w:hint="default"/>
      </w:rPr>
    </w:lvl>
    <w:lvl w:ilvl="1" w:tplc="F4004A8E" w:tentative="1">
      <w:start w:val="1"/>
      <w:numFmt w:val="bullet"/>
      <w:lvlText w:val=""/>
      <w:lvlJc w:val="left"/>
      <w:pPr>
        <w:tabs>
          <w:tab w:val="num" w:pos="1440"/>
        </w:tabs>
        <w:ind w:left="1440" w:hanging="360"/>
      </w:pPr>
      <w:rPr>
        <w:rFonts w:ascii="Wingdings" w:hAnsi="Wingdings" w:hint="default"/>
      </w:rPr>
    </w:lvl>
    <w:lvl w:ilvl="2" w:tplc="7D9AE038">
      <w:start w:val="1"/>
      <w:numFmt w:val="bullet"/>
      <w:lvlText w:val=""/>
      <w:lvlJc w:val="left"/>
      <w:pPr>
        <w:tabs>
          <w:tab w:val="num" w:pos="2160"/>
        </w:tabs>
        <w:ind w:left="2160" w:hanging="360"/>
      </w:pPr>
      <w:rPr>
        <w:rFonts w:ascii="Wingdings" w:hAnsi="Wingdings" w:hint="default"/>
      </w:rPr>
    </w:lvl>
    <w:lvl w:ilvl="3" w:tplc="5B2638B0" w:tentative="1">
      <w:start w:val="1"/>
      <w:numFmt w:val="bullet"/>
      <w:lvlText w:val=""/>
      <w:lvlJc w:val="left"/>
      <w:pPr>
        <w:tabs>
          <w:tab w:val="num" w:pos="2880"/>
        </w:tabs>
        <w:ind w:left="2880" w:hanging="360"/>
      </w:pPr>
      <w:rPr>
        <w:rFonts w:ascii="Wingdings" w:hAnsi="Wingdings" w:hint="default"/>
      </w:rPr>
    </w:lvl>
    <w:lvl w:ilvl="4" w:tplc="3BC6894E" w:tentative="1">
      <w:start w:val="1"/>
      <w:numFmt w:val="bullet"/>
      <w:lvlText w:val=""/>
      <w:lvlJc w:val="left"/>
      <w:pPr>
        <w:tabs>
          <w:tab w:val="num" w:pos="3600"/>
        </w:tabs>
        <w:ind w:left="3600" w:hanging="360"/>
      </w:pPr>
      <w:rPr>
        <w:rFonts w:ascii="Wingdings" w:hAnsi="Wingdings" w:hint="default"/>
      </w:rPr>
    </w:lvl>
    <w:lvl w:ilvl="5" w:tplc="FD66FBD0" w:tentative="1">
      <w:start w:val="1"/>
      <w:numFmt w:val="bullet"/>
      <w:lvlText w:val=""/>
      <w:lvlJc w:val="left"/>
      <w:pPr>
        <w:tabs>
          <w:tab w:val="num" w:pos="4320"/>
        </w:tabs>
        <w:ind w:left="4320" w:hanging="360"/>
      </w:pPr>
      <w:rPr>
        <w:rFonts w:ascii="Wingdings" w:hAnsi="Wingdings" w:hint="default"/>
      </w:rPr>
    </w:lvl>
    <w:lvl w:ilvl="6" w:tplc="DD525510" w:tentative="1">
      <w:start w:val="1"/>
      <w:numFmt w:val="bullet"/>
      <w:lvlText w:val=""/>
      <w:lvlJc w:val="left"/>
      <w:pPr>
        <w:tabs>
          <w:tab w:val="num" w:pos="5040"/>
        </w:tabs>
        <w:ind w:left="5040" w:hanging="360"/>
      </w:pPr>
      <w:rPr>
        <w:rFonts w:ascii="Wingdings" w:hAnsi="Wingdings" w:hint="default"/>
      </w:rPr>
    </w:lvl>
    <w:lvl w:ilvl="7" w:tplc="B5FAA91A" w:tentative="1">
      <w:start w:val="1"/>
      <w:numFmt w:val="bullet"/>
      <w:lvlText w:val=""/>
      <w:lvlJc w:val="left"/>
      <w:pPr>
        <w:tabs>
          <w:tab w:val="num" w:pos="5760"/>
        </w:tabs>
        <w:ind w:left="5760" w:hanging="360"/>
      </w:pPr>
      <w:rPr>
        <w:rFonts w:ascii="Wingdings" w:hAnsi="Wingdings" w:hint="default"/>
      </w:rPr>
    </w:lvl>
    <w:lvl w:ilvl="8" w:tplc="E90285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463C86"/>
    <w:multiLevelType w:val="hybridMultilevel"/>
    <w:tmpl w:val="2A205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405F"/>
    <w:multiLevelType w:val="hybridMultilevel"/>
    <w:tmpl w:val="FACAD5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845AD"/>
    <w:multiLevelType w:val="hybridMultilevel"/>
    <w:tmpl w:val="A6AA6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648FA"/>
    <w:multiLevelType w:val="hybridMultilevel"/>
    <w:tmpl w:val="D06079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6C1F60"/>
    <w:multiLevelType w:val="hybridMultilevel"/>
    <w:tmpl w:val="D3DE6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75A51"/>
    <w:multiLevelType w:val="hybridMultilevel"/>
    <w:tmpl w:val="1CDC7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B554A2"/>
    <w:multiLevelType w:val="hybridMultilevel"/>
    <w:tmpl w:val="693A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42718"/>
    <w:multiLevelType w:val="hybridMultilevel"/>
    <w:tmpl w:val="029ECEAE"/>
    <w:lvl w:ilvl="0" w:tplc="7FA8CD7A">
      <w:start w:val="1"/>
      <w:numFmt w:val="bullet"/>
      <w:lvlText w:val="•"/>
      <w:lvlJc w:val="left"/>
      <w:pPr>
        <w:tabs>
          <w:tab w:val="num" w:pos="720"/>
        </w:tabs>
        <w:ind w:left="720" w:hanging="360"/>
      </w:pPr>
      <w:rPr>
        <w:rFonts w:ascii="Arial" w:hAnsi="Arial" w:hint="default"/>
      </w:rPr>
    </w:lvl>
    <w:lvl w:ilvl="1" w:tplc="36FA7C50">
      <w:start w:val="178"/>
      <w:numFmt w:val="bullet"/>
      <w:lvlText w:val="–"/>
      <w:lvlJc w:val="left"/>
      <w:pPr>
        <w:tabs>
          <w:tab w:val="num" w:pos="1440"/>
        </w:tabs>
        <w:ind w:left="1440" w:hanging="360"/>
      </w:pPr>
      <w:rPr>
        <w:rFonts w:ascii="Arial" w:hAnsi="Arial" w:hint="default"/>
      </w:rPr>
    </w:lvl>
    <w:lvl w:ilvl="2" w:tplc="AAEE1182" w:tentative="1">
      <w:start w:val="1"/>
      <w:numFmt w:val="bullet"/>
      <w:lvlText w:val="•"/>
      <w:lvlJc w:val="left"/>
      <w:pPr>
        <w:tabs>
          <w:tab w:val="num" w:pos="2160"/>
        </w:tabs>
        <w:ind w:left="2160" w:hanging="360"/>
      </w:pPr>
      <w:rPr>
        <w:rFonts w:ascii="Arial" w:hAnsi="Arial" w:hint="default"/>
      </w:rPr>
    </w:lvl>
    <w:lvl w:ilvl="3" w:tplc="FA24FD38" w:tentative="1">
      <w:start w:val="1"/>
      <w:numFmt w:val="bullet"/>
      <w:lvlText w:val="•"/>
      <w:lvlJc w:val="left"/>
      <w:pPr>
        <w:tabs>
          <w:tab w:val="num" w:pos="2880"/>
        </w:tabs>
        <w:ind w:left="2880" w:hanging="360"/>
      </w:pPr>
      <w:rPr>
        <w:rFonts w:ascii="Arial" w:hAnsi="Arial" w:hint="default"/>
      </w:rPr>
    </w:lvl>
    <w:lvl w:ilvl="4" w:tplc="DFD24008" w:tentative="1">
      <w:start w:val="1"/>
      <w:numFmt w:val="bullet"/>
      <w:lvlText w:val="•"/>
      <w:lvlJc w:val="left"/>
      <w:pPr>
        <w:tabs>
          <w:tab w:val="num" w:pos="3600"/>
        </w:tabs>
        <w:ind w:left="3600" w:hanging="360"/>
      </w:pPr>
      <w:rPr>
        <w:rFonts w:ascii="Arial" w:hAnsi="Arial" w:hint="default"/>
      </w:rPr>
    </w:lvl>
    <w:lvl w:ilvl="5" w:tplc="07CEDA18" w:tentative="1">
      <w:start w:val="1"/>
      <w:numFmt w:val="bullet"/>
      <w:lvlText w:val="•"/>
      <w:lvlJc w:val="left"/>
      <w:pPr>
        <w:tabs>
          <w:tab w:val="num" w:pos="4320"/>
        </w:tabs>
        <w:ind w:left="4320" w:hanging="360"/>
      </w:pPr>
      <w:rPr>
        <w:rFonts w:ascii="Arial" w:hAnsi="Arial" w:hint="default"/>
      </w:rPr>
    </w:lvl>
    <w:lvl w:ilvl="6" w:tplc="5378AABC" w:tentative="1">
      <w:start w:val="1"/>
      <w:numFmt w:val="bullet"/>
      <w:lvlText w:val="•"/>
      <w:lvlJc w:val="left"/>
      <w:pPr>
        <w:tabs>
          <w:tab w:val="num" w:pos="5040"/>
        </w:tabs>
        <w:ind w:left="5040" w:hanging="360"/>
      </w:pPr>
      <w:rPr>
        <w:rFonts w:ascii="Arial" w:hAnsi="Arial" w:hint="default"/>
      </w:rPr>
    </w:lvl>
    <w:lvl w:ilvl="7" w:tplc="817615C8" w:tentative="1">
      <w:start w:val="1"/>
      <w:numFmt w:val="bullet"/>
      <w:lvlText w:val="•"/>
      <w:lvlJc w:val="left"/>
      <w:pPr>
        <w:tabs>
          <w:tab w:val="num" w:pos="5760"/>
        </w:tabs>
        <w:ind w:left="5760" w:hanging="360"/>
      </w:pPr>
      <w:rPr>
        <w:rFonts w:ascii="Arial" w:hAnsi="Arial" w:hint="default"/>
      </w:rPr>
    </w:lvl>
    <w:lvl w:ilvl="8" w:tplc="F9A833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0D1EB3"/>
    <w:multiLevelType w:val="hybridMultilevel"/>
    <w:tmpl w:val="F2C4CC20"/>
    <w:lvl w:ilvl="0" w:tplc="0409000F">
      <w:start w:val="1"/>
      <w:numFmt w:val="decimal"/>
      <w:lvlText w:val="%1."/>
      <w:lvlJc w:val="left"/>
      <w:pPr>
        <w:ind w:left="720" w:hanging="360"/>
      </w:pPr>
      <w:rPr>
        <w:rFonts w:hint="default"/>
      </w:rPr>
    </w:lvl>
    <w:lvl w:ilvl="1" w:tplc="DE9220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0"/>
  </w:num>
  <w:num w:numId="3">
    <w:abstractNumId w:val="2"/>
  </w:num>
  <w:num w:numId="4">
    <w:abstractNumId w:val="9"/>
  </w:num>
  <w:num w:numId="5">
    <w:abstractNumId w:val="15"/>
  </w:num>
  <w:num w:numId="6">
    <w:abstractNumId w:val="13"/>
  </w:num>
  <w:num w:numId="7">
    <w:abstractNumId w:val="14"/>
  </w:num>
  <w:num w:numId="8">
    <w:abstractNumId w:val="5"/>
  </w:num>
  <w:num w:numId="9">
    <w:abstractNumId w:val="11"/>
  </w:num>
  <w:num w:numId="10">
    <w:abstractNumId w:val="12"/>
  </w:num>
  <w:num w:numId="11">
    <w:abstractNumId w:val="6"/>
  </w:num>
  <w:num w:numId="12">
    <w:abstractNumId w:val="7"/>
  </w:num>
  <w:num w:numId="13">
    <w:abstractNumId w:val="4"/>
  </w:num>
  <w:num w:numId="14">
    <w:abstractNumId w:val="8"/>
  </w:num>
  <w:num w:numId="15">
    <w:abstractNumId w:val="3"/>
  </w:num>
  <w:num w:numId="16">
    <w:abstractNumId w:val="10"/>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2043"/>
    <w:rsid w:val="000044F4"/>
    <w:rsid w:val="00006711"/>
    <w:rsid w:val="00016A32"/>
    <w:rsid w:val="000173B2"/>
    <w:rsid w:val="00017417"/>
    <w:rsid w:val="00032100"/>
    <w:rsid w:val="00035E25"/>
    <w:rsid w:val="00042BC7"/>
    <w:rsid w:val="00043936"/>
    <w:rsid w:val="00050616"/>
    <w:rsid w:val="00054B39"/>
    <w:rsid w:val="0005511D"/>
    <w:rsid w:val="000556F3"/>
    <w:rsid w:val="00060A5A"/>
    <w:rsid w:val="000629A5"/>
    <w:rsid w:val="00064B44"/>
    <w:rsid w:val="00067219"/>
    <w:rsid w:val="00067FE2"/>
    <w:rsid w:val="000730E5"/>
    <w:rsid w:val="00073E79"/>
    <w:rsid w:val="000743B0"/>
    <w:rsid w:val="0007682E"/>
    <w:rsid w:val="0008084B"/>
    <w:rsid w:val="00083364"/>
    <w:rsid w:val="000849FF"/>
    <w:rsid w:val="0009111B"/>
    <w:rsid w:val="00097508"/>
    <w:rsid w:val="000B4575"/>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2069F"/>
    <w:rsid w:val="001313B4"/>
    <w:rsid w:val="0014546D"/>
    <w:rsid w:val="0014561B"/>
    <w:rsid w:val="001500D9"/>
    <w:rsid w:val="001507C7"/>
    <w:rsid w:val="00155C47"/>
    <w:rsid w:val="00156DB7"/>
    <w:rsid w:val="00157228"/>
    <w:rsid w:val="00160C3C"/>
    <w:rsid w:val="00161490"/>
    <w:rsid w:val="0016203C"/>
    <w:rsid w:val="001724BE"/>
    <w:rsid w:val="00172A98"/>
    <w:rsid w:val="00174C84"/>
    <w:rsid w:val="0017783C"/>
    <w:rsid w:val="0018159C"/>
    <w:rsid w:val="0019314C"/>
    <w:rsid w:val="001A7A9B"/>
    <w:rsid w:val="001B47E3"/>
    <w:rsid w:val="001B67E6"/>
    <w:rsid w:val="001B6827"/>
    <w:rsid w:val="001C1790"/>
    <w:rsid w:val="001C23AA"/>
    <w:rsid w:val="001C2B1C"/>
    <w:rsid w:val="001C4FAB"/>
    <w:rsid w:val="001C575C"/>
    <w:rsid w:val="001C6C4E"/>
    <w:rsid w:val="001E15A0"/>
    <w:rsid w:val="001E44C8"/>
    <w:rsid w:val="001E5EB4"/>
    <w:rsid w:val="001E6C1F"/>
    <w:rsid w:val="001F2A7E"/>
    <w:rsid w:val="001F38F0"/>
    <w:rsid w:val="001F3E41"/>
    <w:rsid w:val="001F3E90"/>
    <w:rsid w:val="00203012"/>
    <w:rsid w:val="00210802"/>
    <w:rsid w:val="00237426"/>
    <w:rsid w:val="00237430"/>
    <w:rsid w:val="00242AA1"/>
    <w:rsid w:val="00243D17"/>
    <w:rsid w:val="0025413A"/>
    <w:rsid w:val="00263AC9"/>
    <w:rsid w:val="002716F2"/>
    <w:rsid w:val="00273AE9"/>
    <w:rsid w:val="002762FB"/>
    <w:rsid w:val="00276A99"/>
    <w:rsid w:val="00284E7E"/>
    <w:rsid w:val="00286AD9"/>
    <w:rsid w:val="00290376"/>
    <w:rsid w:val="00292AC2"/>
    <w:rsid w:val="00293403"/>
    <w:rsid w:val="002966F3"/>
    <w:rsid w:val="002A4DD6"/>
    <w:rsid w:val="002A7ACE"/>
    <w:rsid w:val="002B21FF"/>
    <w:rsid w:val="002B27E4"/>
    <w:rsid w:val="002B5DD7"/>
    <w:rsid w:val="002B62BF"/>
    <w:rsid w:val="002B69F3"/>
    <w:rsid w:val="002B763A"/>
    <w:rsid w:val="002C0AE6"/>
    <w:rsid w:val="002D382A"/>
    <w:rsid w:val="002D4395"/>
    <w:rsid w:val="002E106A"/>
    <w:rsid w:val="002E4BE8"/>
    <w:rsid w:val="002E4FC9"/>
    <w:rsid w:val="002E72C9"/>
    <w:rsid w:val="002F1EDD"/>
    <w:rsid w:val="0030064A"/>
    <w:rsid w:val="003013F2"/>
    <w:rsid w:val="0030232A"/>
    <w:rsid w:val="00302BA7"/>
    <w:rsid w:val="00302C16"/>
    <w:rsid w:val="0030694A"/>
    <w:rsid w:val="003069F4"/>
    <w:rsid w:val="003103B4"/>
    <w:rsid w:val="00312789"/>
    <w:rsid w:val="0031655A"/>
    <w:rsid w:val="00325A5A"/>
    <w:rsid w:val="00331E71"/>
    <w:rsid w:val="003419ED"/>
    <w:rsid w:val="0035063F"/>
    <w:rsid w:val="00353267"/>
    <w:rsid w:val="00360920"/>
    <w:rsid w:val="00363D6D"/>
    <w:rsid w:val="0036537E"/>
    <w:rsid w:val="0037360A"/>
    <w:rsid w:val="003742F5"/>
    <w:rsid w:val="00383B4E"/>
    <w:rsid w:val="00384709"/>
    <w:rsid w:val="00386C35"/>
    <w:rsid w:val="00386E28"/>
    <w:rsid w:val="0038717E"/>
    <w:rsid w:val="00397E45"/>
    <w:rsid w:val="003A3BD3"/>
    <w:rsid w:val="003A3D77"/>
    <w:rsid w:val="003A496A"/>
    <w:rsid w:val="003B4E19"/>
    <w:rsid w:val="003B578F"/>
    <w:rsid w:val="003B5AED"/>
    <w:rsid w:val="003B7F6A"/>
    <w:rsid w:val="003C6B7B"/>
    <w:rsid w:val="003E54CA"/>
    <w:rsid w:val="00403E6B"/>
    <w:rsid w:val="00404698"/>
    <w:rsid w:val="0040588D"/>
    <w:rsid w:val="00410DE1"/>
    <w:rsid w:val="004135BD"/>
    <w:rsid w:val="00421767"/>
    <w:rsid w:val="00422077"/>
    <w:rsid w:val="00422571"/>
    <w:rsid w:val="0042743C"/>
    <w:rsid w:val="00427C6E"/>
    <w:rsid w:val="004302A4"/>
    <w:rsid w:val="00431F26"/>
    <w:rsid w:val="00444CFA"/>
    <w:rsid w:val="004463BA"/>
    <w:rsid w:val="0045031C"/>
    <w:rsid w:val="0045690E"/>
    <w:rsid w:val="00457D66"/>
    <w:rsid w:val="00467BAA"/>
    <w:rsid w:val="0047515C"/>
    <w:rsid w:val="0048001F"/>
    <w:rsid w:val="00480563"/>
    <w:rsid w:val="004822D4"/>
    <w:rsid w:val="0049290B"/>
    <w:rsid w:val="004A0BBF"/>
    <w:rsid w:val="004A4451"/>
    <w:rsid w:val="004A490A"/>
    <w:rsid w:val="004C511A"/>
    <w:rsid w:val="004C5A57"/>
    <w:rsid w:val="004D3958"/>
    <w:rsid w:val="004F1207"/>
    <w:rsid w:val="005008DF"/>
    <w:rsid w:val="0050435C"/>
    <w:rsid w:val="005045D0"/>
    <w:rsid w:val="0050618E"/>
    <w:rsid w:val="005079E3"/>
    <w:rsid w:val="0051245F"/>
    <w:rsid w:val="005126B0"/>
    <w:rsid w:val="00512CED"/>
    <w:rsid w:val="00514E96"/>
    <w:rsid w:val="0052049A"/>
    <w:rsid w:val="00520C4C"/>
    <w:rsid w:val="00521342"/>
    <w:rsid w:val="005224EF"/>
    <w:rsid w:val="00534C6C"/>
    <w:rsid w:val="005442F3"/>
    <w:rsid w:val="0056001D"/>
    <w:rsid w:val="005639FC"/>
    <w:rsid w:val="005663FC"/>
    <w:rsid w:val="00573610"/>
    <w:rsid w:val="0057433C"/>
    <w:rsid w:val="005750F8"/>
    <w:rsid w:val="00576B47"/>
    <w:rsid w:val="005841C0"/>
    <w:rsid w:val="005858B5"/>
    <w:rsid w:val="00586936"/>
    <w:rsid w:val="00591B7F"/>
    <w:rsid w:val="0059260F"/>
    <w:rsid w:val="00593B5D"/>
    <w:rsid w:val="00596109"/>
    <w:rsid w:val="00596D50"/>
    <w:rsid w:val="00596D9F"/>
    <w:rsid w:val="005A2268"/>
    <w:rsid w:val="005A29B0"/>
    <w:rsid w:val="005A5D6E"/>
    <w:rsid w:val="005B1F3A"/>
    <w:rsid w:val="005B6B3D"/>
    <w:rsid w:val="005C1952"/>
    <w:rsid w:val="005C21BC"/>
    <w:rsid w:val="005D4AA7"/>
    <w:rsid w:val="005E11FA"/>
    <w:rsid w:val="005E5074"/>
    <w:rsid w:val="005E712E"/>
    <w:rsid w:val="005E77AF"/>
    <w:rsid w:val="005F7D05"/>
    <w:rsid w:val="00601DD8"/>
    <w:rsid w:val="00602E52"/>
    <w:rsid w:val="00612E4F"/>
    <w:rsid w:val="00615D5E"/>
    <w:rsid w:val="00622C9C"/>
    <w:rsid w:val="00622E99"/>
    <w:rsid w:val="006236AB"/>
    <w:rsid w:val="00624F7F"/>
    <w:rsid w:val="00625E5D"/>
    <w:rsid w:val="006274DA"/>
    <w:rsid w:val="00627A4E"/>
    <w:rsid w:val="00627F3F"/>
    <w:rsid w:val="006347D8"/>
    <w:rsid w:val="006369B2"/>
    <w:rsid w:val="00637F4C"/>
    <w:rsid w:val="00641012"/>
    <w:rsid w:val="00644923"/>
    <w:rsid w:val="00645F3F"/>
    <w:rsid w:val="00650843"/>
    <w:rsid w:val="006601C2"/>
    <w:rsid w:val="0066370F"/>
    <w:rsid w:val="006819E0"/>
    <w:rsid w:val="00682CB6"/>
    <w:rsid w:val="00682D42"/>
    <w:rsid w:val="00683711"/>
    <w:rsid w:val="00685CC4"/>
    <w:rsid w:val="00697778"/>
    <w:rsid w:val="006A0784"/>
    <w:rsid w:val="006A0EC3"/>
    <w:rsid w:val="006A697B"/>
    <w:rsid w:val="006A7BA3"/>
    <w:rsid w:val="006B0303"/>
    <w:rsid w:val="006B035E"/>
    <w:rsid w:val="006B4DDE"/>
    <w:rsid w:val="006C03AE"/>
    <w:rsid w:val="006C2B15"/>
    <w:rsid w:val="006C3F68"/>
    <w:rsid w:val="006C4EE0"/>
    <w:rsid w:val="006C55AF"/>
    <w:rsid w:val="006D282E"/>
    <w:rsid w:val="006D6028"/>
    <w:rsid w:val="006D62C2"/>
    <w:rsid w:val="006E37BE"/>
    <w:rsid w:val="006E450B"/>
    <w:rsid w:val="006E6E17"/>
    <w:rsid w:val="006F0498"/>
    <w:rsid w:val="006F105E"/>
    <w:rsid w:val="006F4B16"/>
    <w:rsid w:val="006F7DA4"/>
    <w:rsid w:val="00700035"/>
    <w:rsid w:val="007166DE"/>
    <w:rsid w:val="0071683C"/>
    <w:rsid w:val="007208A1"/>
    <w:rsid w:val="00724158"/>
    <w:rsid w:val="007334AB"/>
    <w:rsid w:val="007367E2"/>
    <w:rsid w:val="00743968"/>
    <w:rsid w:val="00755849"/>
    <w:rsid w:val="00765A16"/>
    <w:rsid w:val="00782371"/>
    <w:rsid w:val="0078452B"/>
    <w:rsid w:val="007852B1"/>
    <w:rsid w:val="00785415"/>
    <w:rsid w:val="007854F5"/>
    <w:rsid w:val="0079116E"/>
    <w:rsid w:val="00791CB9"/>
    <w:rsid w:val="00793130"/>
    <w:rsid w:val="00794B59"/>
    <w:rsid w:val="007A230B"/>
    <w:rsid w:val="007A453E"/>
    <w:rsid w:val="007A626C"/>
    <w:rsid w:val="007B3233"/>
    <w:rsid w:val="007B3F82"/>
    <w:rsid w:val="007B5A42"/>
    <w:rsid w:val="007C199B"/>
    <w:rsid w:val="007C2764"/>
    <w:rsid w:val="007D3073"/>
    <w:rsid w:val="007D4909"/>
    <w:rsid w:val="007D64B9"/>
    <w:rsid w:val="007D72D4"/>
    <w:rsid w:val="007E0452"/>
    <w:rsid w:val="007E3C76"/>
    <w:rsid w:val="007F147C"/>
    <w:rsid w:val="007F3611"/>
    <w:rsid w:val="00800D69"/>
    <w:rsid w:val="008070C0"/>
    <w:rsid w:val="00807E0E"/>
    <w:rsid w:val="008101BE"/>
    <w:rsid w:val="00811C12"/>
    <w:rsid w:val="008135B6"/>
    <w:rsid w:val="0082104D"/>
    <w:rsid w:val="00823417"/>
    <w:rsid w:val="00830161"/>
    <w:rsid w:val="00837A2D"/>
    <w:rsid w:val="00842BDB"/>
    <w:rsid w:val="00845778"/>
    <w:rsid w:val="008513F0"/>
    <w:rsid w:val="008722BD"/>
    <w:rsid w:val="00872DE2"/>
    <w:rsid w:val="0088226F"/>
    <w:rsid w:val="00884B6C"/>
    <w:rsid w:val="00885C9D"/>
    <w:rsid w:val="0088730E"/>
    <w:rsid w:val="00887E28"/>
    <w:rsid w:val="0089171F"/>
    <w:rsid w:val="008A11D0"/>
    <w:rsid w:val="008A167A"/>
    <w:rsid w:val="008B2FAA"/>
    <w:rsid w:val="008C0A99"/>
    <w:rsid w:val="008D4742"/>
    <w:rsid w:val="008D5C3A"/>
    <w:rsid w:val="008D701E"/>
    <w:rsid w:val="008D7B10"/>
    <w:rsid w:val="008E32EA"/>
    <w:rsid w:val="008E5AE0"/>
    <w:rsid w:val="008E6CCE"/>
    <w:rsid w:val="008E6DA2"/>
    <w:rsid w:val="008F727F"/>
    <w:rsid w:val="00905691"/>
    <w:rsid w:val="00907B1E"/>
    <w:rsid w:val="00914574"/>
    <w:rsid w:val="00917057"/>
    <w:rsid w:val="0092393A"/>
    <w:rsid w:val="00927785"/>
    <w:rsid w:val="009342DC"/>
    <w:rsid w:val="00941C2F"/>
    <w:rsid w:val="00943AFD"/>
    <w:rsid w:val="0094541A"/>
    <w:rsid w:val="00957573"/>
    <w:rsid w:val="0095793E"/>
    <w:rsid w:val="00961879"/>
    <w:rsid w:val="00963A51"/>
    <w:rsid w:val="009700A1"/>
    <w:rsid w:val="00972B54"/>
    <w:rsid w:val="009731C9"/>
    <w:rsid w:val="00974D41"/>
    <w:rsid w:val="00975F6C"/>
    <w:rsid w:val="009777EB"/>
    <w:rsid w:val="00983B6E"/>
    <w:rsid w:val="009936F8"/>
    <w:rsid w:val="00994434"/>
    <w:rsid w:val="00996BB5"/>
    <w:rsid w:val="009A3772"/>
    <w:rsid w:val="009A379E"/>
    <w:rsid w:val="009B03FE"/>
    <w:rsid w:val="009B590D"/>
    <w:rsid w:val="009C0863"/>
    <w:rsid w:val="009C190C"/>
    <w:rsid w:val="009C6C48"/>
    <w:rsid w:val="009D0B1D"/>
    <w:rsid w:val="009D17F0"/>
    <w:rsid w:val="009E0E5E"/>
    <w:rsid w:val="009E3C91"/>
    <w:rsid w:val="00A05934"/>
    <w:rsid w:val="00A11595"/>
    <w:rsid w:val="00A13170"/>
    <w:rsid w:val="00A20E77"/>
    <w:rsid w:val="00A212BC"/>
    <w:rsid w:val="00A22659"/>
    <w:rsid w:val="00A320B1"/>
    <w:rsid w:val="00A42796"/>
    <w:rsid w:val="00A5311D"/>
    <w:rsid w:val="00A53345"/>
    <w:rsid w:val="00A65FBF"/>
    <w:rsid w:val="00A70665"/>
    <w:rsid w:val="00A842FD"/>
    <w:rsid w:val="00A84487"/>
    <w:rsid w:val="00A95272"/>
    <w:rsid w:val="00AA0C79"/>
    <w:rsid w:val="00AA521F"/>
    <w:rsid w:val="00AA5DC4"/>
    <w:rsid w:val="00AA739F"/>
    <w:rsid w:val="00AB6538"/>
    <w:rsid w:val="00AB6C7A"/>
    <w:rsid w:val="00AC71E0"/>
    <w:rsid w:val="00AD11DC"/>
    <w:rsid w:val="00AD2323"/>
    <w:rsid w:val="00AD2736"/>
    <w:rsid w:val="00AD3B58"/>
    <w:rsid w:val="00AE23FC"/>
    <w:rsid w:val="00AF1DCF"/>
    <w:rsid w:val="00AF56C6"/>
    <w:rsid w:val="00B021C2"/>
    <w:rsid w:val="00B032E8"/>
    <w:rsid w:val="00B122F1"/>
    <w:rsid w:val="00B15817"/>
    <w:rsid w:val="00B17B62"/>
    <w:rsid w:val="00B220DF"/>
    <w:rsid w:val="00B23D8E"/>
    <w:rsid w:val="00B26B72"/>
    <w:rsid w:val="00B3562F"/>
    <w:rsid w:val="00B356C8"/>
    <w:rsid w:val="00B379B0"/>
    <w:rsid w:val="00B51470"/>
    <w:rsid w:val="00B5476B"/>
    <w:rsid w:val="00B554E9"/>
    <w:rsid w:val="00B57F96"/>
    <w:rsid w:val="00B66B91"/>
    <w:rsid w:val="00B67892"/>
    <w:rsid w:val="00B732F2"/>
    <w:rsid w:val="00B73E40"/>
    <w:rsid w:val="00B7441D"/>
    <w:rsid w:val="00B758D7"/>
    <w:rsid w:val="00B815FD"/>
    <w:rsid w:val="00B85148"/>
    <w:rsid w:val="00B86EC4"/>
    <w:rsid w:val="00B90C7C"/>
    <w:rsid w:val="00BA4D33"/>
    <w:rsid w:val="00BA7614"/>
    <w:rsid w:val="00BB715A"/>
    <w:rsid w:val="00BC2D06"/>
    <w:rsid w:val="00BC3662"/>
    <w:rsid w:val="00BC7ACB"/>
    <w:rsid w:val="00BD42E7"/>
    <w:rsid w:val="00BD43BA"/>
    <w:rsid w:val="00BD590C"/>
    <w:rsid w:val="00BE0177"/>
    <w:rsid w:val="00BE0CA7"/>
    <w:rsid w:val="00BE67D9"/>
    <w:rsid w:val="00BE7A7A"/>
    <w:rsid w:val="00BF0DB2"/>
    <w:rsid w:val="00C007C2"/>
    <w:rsid w:val="00C05E0B"/>
    <w:rsid w:val="00C17AD7"/>
    <w:rsid w:val="00C33F35"/>
    <w:rsid w:val="00C34F97"/>
    <w:rsid w:val="00C4001B"/>
    <w:rsid w:val="00C52620"/>
    <w:rsid w:val="00C5561A"/>
    <w:rsid w:val="00C564DA"/>
    <w:rsid w:val="00C61D99"/>
    <w:rsid w:val="00C6523C"/>
    <w:rsid w:val="00C65A82"/>
    <w:rsid w:val="00C744EB"/>
    <w:rsid w:val="00C76252"/>
    <w:rsid w:val="00C90702"/>
    <w:rsid w:val="00C912F6"/>
    <w:rsid w:val="00C917FF"/>
    <w:rsid w:val="00C93A7D"/>
    <w:rsid w:val="00C9766A"/>
    <w:rsid w:val="00CB7596"/>
    <w:rsid w:val="00CC2B31"/>
    <w:rsid w:val="00CC4F39"/>
    <w:rsid w:val="00CC5A6C"/>
    <w:rsid w:val="00CC6AD1"/>
    <w:rsid w:val="00CC7629"/>
    <w:rsid w:val="00CC7C49"/>
    <w:rsid w:val="00CD544C"/>
    <w:rsid w:val="00CD7A74"/>
    <w:rsid w:val="00CF1450"/>
    <w:rsid w:val="00CF4256"/>
    <w:rsid w:val="00CF42C7"/>
    <w:rsid w:val="00D020EF"/>
    <w:rsid w:val="00D04FE8"/>
    <w:rsid w:val="00D05BB9"/>
    <w:rsid w:val="00D1439B"/>
    <w:rsid w:val="00D176CF"/>
    <w:rsid w:val="00D271E3"/>
    <w:rsid w:val="00D2766E"/>
    <w:rsid w:val="00D31904"/>
    <w:rsid w:val="00D32C7F"/>
    <w:rsid w:val="00D34EC7"/>
    <w:rsid w:val="00D3575D"/>
    <w:rsid w:val="00D4139A"/>
    <w:rsid w:val="00D42690"/>
    <w:rsid w:val="00D47A80"/>
    <w:rsid w:val="00D50E0A"/>
    <w:rsid w:val="00D51807"/>
    <w:rsid w:val="00D60E2E"/>
    <w:rsid w:val="00D63BF5"/>
    <w:rsid w:val="00D67D14"/>
    <w:rsid w:val="00D702D1"/>
    <w:rsid w:val="00D713D0"/>
    <w:rsid w:val="00D7258C"/>
    <w:rsid w:val="00D74F0B"/>
    <w:rsid w:val="00D7513A"/>
    <w:rsid w:val="00D83BEF"/>
    <w:rsid w:val="00D85807"/>
    <w:rsid w:val="00D87349"/>
    <w:rsid w:val="00D90D1A"/>
    <w:rsid w:val="00D91EE9"/>
    <w:rsid w:val="00D94355"/>
    <w:rsid w:val="00D97220"/>
    <w:rsid w:val="00DC562D"/>
    <w:rsid w:val="00DC5C90"/>
    <w:rsid w:val="00DE316A"/>
    <w:rsid w:val="00E00CA6"/>
    <w:rsid w:val="00E039F0"/>
    <w:rsid w:val="00E06390"/>
    <w:rsid w:val="00E067E8"/>
    <w:rsid w:val="00E103DF"/>
    <w:rsid w:val="00E110A3"/>
    <w:rsid w:val="00E140C4"/>
    <w:rsid w:val="00E14D47"/>
    <w:rsid w:val="00E1553D"/>
    <w:rsid w:val="00E1641C"/>
    <w:rsid w:val="00E26708"/>
    <w:rsid w:val="00E30CEB"/>
    <w:rsid w:val="00E344A2"/>
    <w:rsid w:val="00E34958"/>
    <w:rsid w:val="00E349E9"/>
    <w:rsid w:val="00E354AD"/>
    <w:rsid w:val="00E37AB0"/>
    <w:rsid w:val="00E37F0B"/>
    <w:rsid w:val="00E431CA"/>
    <w:rsid w:val="00E53846"/>
    <w:rsid w:val="00E63496"/>
    <w:rsid w:val="00E66906"/>
    <w:rsid w:val="00E6717A"/>
    <w:rsid w:val="00E71C39"/>
    <w:rsid w:val="00E828CD"/>
    <w:rsid w:val="00E86681"/>
    <w:rsid w:val="00E9379E"/>
    <w:rsid w:val="00EA049A"/>
    <w:rsid w:val="00EA0BF3"/>
    <w:rsid w:val="00EA56E6"/>
    <w:rsid w:val="00EA7703"/>
    <w:rsid w:val="00EC335F"/>
    <w:rsid w:val="00EC36A1"/>
    <w:rsid w:val="00EC48FB"/>
    <w:rsid w:val="00EC5001"/>
    <w:rsid w:val="00EE6D11"/>
    <w:rsid w:val="00EE74B0"/>
    <w:rsid w:val="00EF232A"/>
    <w:rsid w:val="00EF6848"/>
    <w:rsid w:val="00EF6934"/>
    <w:rsid w:val="00F003F7"/>
    <w:rsid w:val="00F04072"/>
    <w:rsid w:val="00F05A69"/>
    <w:rsid w:val="00F22851"/>
    <w:rsid w:val="00F235C3"/>
    <w:rsid w:val="00F26858"/>
    <w:rsid w:val="00F27BFE"/>
    <w:rsid w:val="00F3293E"/>
    <w:rsid w:val="00F378FB"/>
    <w:rsid w:val="00F3791A"/>
    <w:rsid w:val="00F43FFD"/>
    <w:rsid w:val="00F44236"/>
    <w:rsid w:val="00F5104F"/>
    <w:rsid w:val="00F52517"/>
    <w:rsid w:val="00F52FD3"/>
    <w:rsid w:val="00F61490"/>
    <w:rsid w:val="00F625DA"/>
    <w:rsid w:val="00F6458D"/>
    <w:rsid w:val="00F7350B"/>
    <w:rsid w:val="00F7426F"/>
    <w:rsid w:val="00F75635"/>
    <w:rsid w:val="00F95822"/>
    <w:rsid w:val="00F976D0"/>
    <w:rsid w:val="00F97F3D"/>
    <w:rsid w:val="00FA18DE"/>
    <w:rsid w:val="00FA2852"/>
    <w:rsid w:val="00FA3D64"/>
    <w:rsid w:val="00FA57B2"/>
    <w:rsid w:val="00FA6297"/>
    <w:rsid w:val="00FB22BE"/>
    <w:rsid w:val="00FB509B"/>
    <w:rsid w:val="00FC1CB1"/>
    <w:rsid w:val="00FC1F37"/>
    <w:rsid w:val="00FC3D4B"/>
    <w:rsid w:val="00FC560C"/>
    <w:rsid w:val="00FC5A91"/>
    <w:rsid w:val="00FC6312"/>
    <w:rsid w:val="00FC6B06"/>
    <w:rsid w:val="00FD02DB"/>
    <w:rsid w:val="00FE2337"/>
    <w:rsid w:val="00FE36E3"/>
    <w:rsid w:val="00FE4107"/>
    <w:rsid w:val="00FE425D"/>
    <w:rsid w:val="00FE6B01"/>
    <w:rsid w:val="00FE7267"/>
    <w:rsid w:val="00FF31B3"/>
    <w:rsid w:val="00FF584A"/>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4870910">
      <w:bodyDiv w:val="1"/>
      <w:marLeft w:val="0"/>
      <w:marRight w:val="0"/>
      <w:marTop w:val="0"/>
      <w:marBottom w:val="0"/>
      <w:divBdr>
        <w:top w:val="none" w:sz="0" w:space="0" w:color="auto"/>
        <w:left w:val="none" w:sz="0" w:space="0" w:color="auto"/>
        <w:bottom w:val="none" w:sz="0" w:space="0" w:color="auto"/>
        <w:right w:val="none" w:sz="0" w:space="0" w:color="auto"/>
      </w:divBdr>
      <w:divsChild>
        <w:div w:id="28453186">
          <w:marLeft w:val="1166"/>
          <w:marRight w:val="0"/>
          <w:marTop w:val="77"/>
          <w:marBottom w:val="0"/>
          <w:divBdr>
            <w:top w:val="none" w:sz="0" w:space="0" w:color="auto"/>
            <w:left w:val="none" w:sz="0" w:space="0" w:color="auto"/>
            <w:bottom w:val="none" w:sz="0" w:space="0" w:color="auto"/>
            <w:right w:val="none" w:sz="0" w:space="0" w:color="auto"/>
          </w:divBdr>
        </w:div>
        <w:div w:id="1294554036">
          <w:marLeft w:val="1166"/>
          <w:marRight w:val="0"/>
          <w:marTop w:val="77"/>
          <w:marBottom w:val="0"/>
          <w:divBdr>
            <w:top w:val="none" w:sz="0" w:space="0" w:color="auto"/>
            <w:left w:val="none" w:sz="0" w:space="0" w:color="auto"/>
            <w:bottom w:val="none" w:sz="0" w:space="0" w:color="auto"/>
            <w:right w:val="none" w:sz="0" w:space="0" w:color="auto"/>
          </w:divBdr>
        </w:div>
        <w:div w:id="1805350503">
          <w:marLeft w:val="1800"/>
          <w:marRight w:val="0"/>
          <w:marTop w:val="77"/>
          <w:marBottom w:val="0"/>
          <w:divBdr>
            <w:top w:val="none" w:sz="0" w:space="0" w:color="auto"/>
            <w:left w:val="none" w:sz="0" w:space="0" w:color="auto"/>
            <w:bottom w:val="none" w:sz="0" w:space="0" w:color="auto"/>
            <w:right w:val="none" w:sz="0" w:space="0" w:color="auto"/>
          </w:divBdr>
        </w:div>
        <w:div w:id="970089089">
          <w:marLeft w:val="1800"/>
          <w:marRight w:val="0"/>
          <w:marTop w:val="7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5262433">
      <w:bodyDiv w:val="1"/>
      <w:marLeft w:val="0"/>
      <w:marRight w:val="0"/>
      <w:marTop w:val="0"/>
      <w:marBottom w:val="0"/>
      <w:divBdr>
        <w:top w:val="none" w:sz="0" w:space="0" w:color="auto"/>
        <w:left w:val="none" w:sz="0" w:space="0" w:color="auto"/>
        <w:bottom w:val="none" w:sz="0" w:space="0" w:color="auto"/>
        <w:right w:val="none" w:sz="0" w:space="0" w:color="auto"/>
      </w:divBdr>
    </w:div>
    <w:div w:id="640227777">
      <w:bodyDiv w:val="1"/>
      <w:marLeft w:val="0"/>
      <w:marRight w:val="0"/>
      <w:marTop w:val="0"/>
      <w:marBottom w:val="0"/>
      <w:divBdr>
        <w:top w:val="none" w:sz="0" w:space="0" w:color="auto"/>
        <w:left w:val="none" w:sz="0" w:space="0" w:color="auto"/>
        <w:bottom w:val="none" w:sz="0" w:space="0" w:color="auto"/>
        <w:right w:val="none" w:sz="0" w:space="0" w:color="auto"/>
      </w:divBdr>
      <w:divsChild>
        <w:div w:id="1420641815">
          <w:marLeft w:val="547"/>
          <w:marRight w:val="0"/>
          <w:marTop w:val="115"/>
          <w:marBottom w:val="0"/>
          <w:divBdr>
            <w:top w:val="none" w:sz="0" w:space="0" w:color="auto"/>
            <w:left w:val="none" w:sz="0" w:space="0" w:color="auto"/>
            <w:bottom w:val="none" w:sz="0" w:space="0" w:color="auto"/>
            <w:right w:val="none" w:sz="0" w:space="0" w:color="auto"/>
          </w:divBdr>
        </w:div>
        <w:div w:id="1811360072">
          <w:marLeft w:val="1166"/>
          <w:marRight w:val="0"/>
          <w:marTop w:val="96"/>
          <w:marBottom w:val="0"/>
          <w:divBdr>
            <w:top w:val="none" w:sz="0" w:space="0" w:color="auto"/>
            <w:left w:val="none" w:sz="0" w:space="0" w:color="auto"/>
            <w:bottom w:val="none" w:sz="0" w:space="0" w:color="auto"/>
            <w:right w:val="none" w:sz="0" w:space="0" w:color="auto"/>
          </w:divBdr>
        </w:div>
        <w:div w:id="1735159156">
          <w:marLeft w:val="1166"/>
          <w:marRight w:val="0"/>
          <w:marTop w:val="96"/>
          <w:marBottom w:val="0"/>
          <w:divBdr>
            <w:top w:val="none" w:sz="0" w:space="0" w:color="auto"/>
            <w:left w:val="none" w:sz="0" w:space="0" w:color="auto"/>
            <w:bottom w:val="none" w:sz="0" w:space="0" w:color="auto"/>
            <w:right w:val="none" w:sz="0" w:space="0" w:color="auto"/>
          </w:divBdr>
        </w:div>
      </w:divsChild>
    </w:div>
    <w:div w:id="1001204655">
      <w:bodyDiv w:val="1"/>
      <w:marLeft w:val="0"/>
      <w:marRight w:val="0"/>
      <w:marTop w:val="0"/>
      <w:marBottom w:val="0"/>
      <w:divBdr>
        <w:top w:val="none" w:sz="0" w:space="0" w:color="auto"/>
        <w:left w:val="none" w:sz="0" w:space="0" w:color="auto"/>
        <w:bottom w:val="none" w:sz="0" w:space="0" w:color="auto"/>
        <w:right w:val="none" w:sz="0" w:space="0" w:color="auto"/>
      </w:divBdr>
      <w:divsChild>
        <w:div w:id="1769619171">
          <w:marLeft w:val="547"/>
          <w:marRight w:val="0"/>
          <w:marTop w:val="106"/>
          <w:marBottom w:val="0"/>
          <w:divBdr>
            <w:top w:val="none" w:sz="0" w:space="0" w:color="auto"/>
            <w:left w:val="none" w:sz="0" w:space="0" w:color="auto"/>
            <w:bottom w:val="none" w:sz="0" w:space="0" w:color="auto"/>
            <w:right w:val="none" w:sz="0" w:space="0" w:color="auto"/>
          </w:divBdr>
        </w:div>
        <w:div w:id="1244143761">
          <w:marLeft w:val="1166"/>
          <w:marRight w:val="0"/>
          <w:marTop w:val="86"/>
          <w:marBottom w:val="0"/>
          <w:divBdr>
            <w:top w:val="none" w:sz="0" w:space="0" w:color="auto"/>
            <w:left w:val="none" w:sz="0" w:space="0" w:color="auto"/>
            <w:bottom w:val="none" w:sz="0" w:space="0" w:color="auto"/>
            <w:right w:val="none" w:sz="0" w:space="0" w:color="auto"/>
          </w:divBdr>
        </w:div>
        <w:div w:id="131943787">
          <w:marLeft w:val="1166"/>
          <w:marRight w:val="0"/>
          <w:marTop w:val="86"/>
          <w:marBottom w:val="0"/>
          <w:divBdr>
            <w:top w:val="none" w:sz="0" w:space="0" w:color="auto"/>
            <w:left w:val="none" w:sz="0" w:space="0" w:color="auto"/>
            <w:bottom w:val="none" w:sz="0" w:space="0" w:color="auto"/>
            <w:right w:val="none" w:sz="0" w:space="0" w:color="auto"/>
          </w:divBdr>
        </w:div>
        <w:div w:id="694775259">
          <w:marLeft w:val="1166"/>
          <w:marRight w:val="0"/>
          <w:marTop w:val="86"/>
          <w:marBottom w:val="0"/>
          <w:divBdr>
            <w:top w:val="none" w:sz="0" w:space="0" w:color="auto"/>
            <w:left w:val="none" w:sz="0" w:space="0" w:color="auto"/>
            <w:bottom w:val="none" w:sz="0" w:space="0" w:color="auto"/>
            <w:right w:val="none" w:sz="0" w:space="0" w:color="auto"/>
          </w:divBdr>
        </w:div>
        <w:div w:id="1482036027">
          <w:marLeft w:val="547"/>
          <w:marRight w:val="0"/>
          <w:marTop w:val="106"/>
          <w:marBottom w:val="0"/>
          <w:divBdr>
            <w:top w:val="none" w:sz="0" w:space="0" w:color="auto"/>
            <w:left w:val="none" w:sz="0" w:space="0" w:color="auto"/>
            <w:bottom w:val="none" w:sz="0" w:space="0" w:color="auto"/>
            <w:right w:val="none" w:sz="0" w:space="0" w:color="auto"/>
          </w:divBdr>
        </w:div>
        <w:div w:id="1846169016">
          <w:marLeft w:val="547"/>
          <w:marRight w:val="0"/>
          <w:marTop w:val="106"/>
          <w:marBottom w:val="0"/>
          <w:divBdr>
            <w:top w:val="none" w:sz="0" w:space="0" w:color="auto"/>
            <w:left w:val="none" w:sz="0" w:space="0" w:color="auto"/>
            <w:bottom w:val="none" w:sz="0" w:space="0" w:color="auto"/>
            <w:right w:val="none" w:sz="0" w:space="0" w:color="auto"/>
          </w:divBdr>
        </w:div>
      </w:divsChild>
    </w:div>
    <w:div w:id="1383823129">
      <w:bodyDiv w:val="1"/>
      <w:marLeft w:val="0"/>
      <w:marRight w:val="0"/>
      <w:marTop w:val="0"/>
      <w:marBottom w:val="0"/>
      <w:divBdr>
        <w:top w:val="none" w:sz="0" w:space="0" w:color="auto"/>
        <w:left w:val="none" w:sz="0" w:space="0" w:color="auto"/>
        <w:bottom w:val="none" w:sz="0" w:space="0" w:color="auto"/>
        <w:right w:val="none" w:sz="0" w:space="0" w:color="auto"/>
      </w:divBdr>
      <w:divsChild>
        <w:div w:id="1684285454">
          <w:marLeft w:val="1800"/>
          <w:marRight w:val="0"/>
          <w:marTop w:val="77"/>
          <w:marBottom w:val="0"/>
          <w:divBdr>
            <w:top w:val="none" w:sz="0" w:space="0" w:color="auto"/>
            <w:left w:val="none" w:sz="0" w:space="0" w:color="auto"/>
            <w:bottom w:val="none" w:sz="0" w:space="0" w:color="auto"/>
            <w:right w:val="none" w:sz="0" w:space="0" w:color="auto"/>
          </w:divBdr>
        </w:div>
        <w:div w:id="724522519">
          <w:marLeft w:val="1800"/>
          <w:marRight w:val="0"/>
          <w:marTop w:val="77"/>
          <w:marBottom w:val="0"/>
          <w:divBdr>
            <w:top w:val="none" w:sz="0" w:space="0" w:color="auto"/>
            <w:left w:val="none" w:sz="0" w:space="0" w:color="auto"/>
            <w:bottom w:val="none" w:sz="0" w:space="0" w:color="auto"/>
            <w:right w:val="none" w:sz="0" w:space="0" w:color="auto"/>
          </w:divBdr>
        </w:div>
      </w:divsChild>
    </w:div>
    <w:div w:id="1402293498">
      <w:bodyDiv w:val="1"/>
      <w:marLeft w:val="0"/>
      <w:marRight w:val="0"/>
      <w:marTop w:val="0"/>
      <w:marBottom w:val="0"/>
      <w:divBdr>
        <w:top w:val="none" w:sz="0" w:space="0" w:color="auto"/>
        <w:left w:val="none" w:sz="0" w:space="0" w:color="auto"/>
        <w:bottom w:val="none" w:sz="0" w:space="0" w:color="auto"/>
        <w:right w:val="none" w:sz="0" w:space="0" w:color="auto"/>
      </w:divBdr>
      <w:divsChild>
        <w:div w:id="422647886">
          <w:marLeft w:val="547"/>
          <w:marRight w:val="0"/>
          <w:marTop w:val="96"/>
          <w:marBottom w:val="0"/>
          <w:divBdr>
            <w:top w:val="none" w:sz="0" w:space="0" w:color="auto"/>
            <w:left w:val="none" w:sz="0" w:space="0" w:color="auto"/>
            <w:bottom w:val="none" w:sz="0" w:space="0" w:color="auto"/>
            <w:right w:val="none" w:sz="0" w:space="0" w:color="auto"/>
          </w:divBdr>
        </w:div>
        <w:div w:id="740368643">
          <w:marLeft w:val="1166"/>
          <w:marRight w:val="0"/>
          <w:marTop w:val="77"/>
          <w:marBottom w:val="0"/>
          <w:divBdr>
            <w:top w:val="none" w:sz="0" w:space="0" w:color="auto"/>
            <w:left w:val="none" w:sz="0" w:space="0" w:color="auto"/>
            <w:bottom w:val="none" w:sz="0" w:space="0" w:color="auto"/>
            <w:right w:val="none" w:sz="0" w:space="0" w:color="auto"/>
          </w:divBdr>
        </w:div>
        <w:div w:id="681979819">
          <w:marLeft w:val="1166"/>
          <w:marRight w:val="0"/>
          <w:marTop w:val="77"/>
          <w:marBottom w:val="0"/>
          <w:divBdr>
            <w:top w:val="none" w:sz="0" w:space="0" w:color="auto"/>
            <w:left w:val="none" w:sz="0" w:space="0" w:color="auto"/>
            <w:bottom w:val="none" w:sz="0" w:space="0" w:color="auto"/>
            <w:right w:val="none" w:sz="0" w:space="0" w:color="auto"/>
          </w:divBdr>
        </w:div>
      </w:divsChild>
    </w:div>
    <w:div w:id="1467308800">
      <w:bodyDiv w:val="1"/>
      <w:marLeft w:val="0"/>
      <w:marRight w:val="0"/>
      <w:marTop w:val="0"/>
      <w:marBottom w:val="0"/>
      <w:divBdr>
        <w:top w:val="none" w:sz="0" w:space="0" w:color="auto"/>
        <w:left w:val="none" w:sz="0" w:space="0" w:color="auto"/>
        <w:bottom w:val="none" w:sz="0" w:space="0" w:color="auto"/>
        <w:right w:val="none" w:sz="0" w:space="0" w:color="auto"/>
      </w:divBdr>
      <w:divsChild>
        <w:div w:id="143471301">
          <w:marLeft w:val="547"/>
          <w:marRight w:val="0"/>
          <w:marTop w:val="115"/>
          <w:marBottom w:val="0"/>
          <w:divBdr>
            <w:top w:val="none" w:sz="0" w:space="0" w:color="auto"/>
            <w:left w:val="none" w:sz="0" w:space="0" w:color="auto"/>
            <w:bottom w:val="none" w:sz="0" w:space="0" w:color="auto"/>
            <w:right w:val="none" w:sz="0" w:space="0" w:color="auto"/>
          </w:divBdr>
        </w:div>
      </w:divsChild>
    </w:div>
    <w:div w:id="1475293170">
      <w:bodyDiv w:val="1"/>
      <w:marLeft w:val="0"/>
      <w:marRight w:val="0"/>
      <w:marTop w:val="0"/>
      <w:marBottom w:val="0"/>
      <w:divBdr>
        <w:top w:val="none" w:sz="0" w:space="0" w:color="auto"/>
        <w:left w:val="none" w:sz="0" w:space="0" w:color="auto"/>
        <w:bottom w:val="none" w:sz="0" w:space="0" w:color="auto"/>
        <w:right w:val="none" w:sz="0" w:space="0" w:color="auto"/>
      </w:divBdr>
      <w:divsChild>
        <w:div w:id="1932275175">
          <w:marLeft w:val="547"/>
          <w:marRight w:val="0"/>
          <w:marTop w:val="115"/>
          <w:marBottom w:val="0"/>
          <w:divBdr>
            <w:top w:val="none" w:sz="0" w:space="0" w:color="auto"/>
            <w:left w:val="none" w:sz="0" w:space="0" w:color="auto"/>
            <w:bottom w:val="none" w:sz="0" w:space="0" w:color="auto"/>
            <w:right w:val="none" w:sz="0" w:space="0" w:color="auto"/>
          </w:divBdr>
        </w:div>
        <w:div w:id="591594468">
          <w:marLeft w:val="1166"/>
          <w:marRight w:val="0"/>
          <w:marTop w:val="9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9138946">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45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B3A7D63-4708-427D-BB47-D467B9ED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2020-10-16T14:45:00Z</dcterms:created>
  <dcterms:modified xsi:type="dcterms:W3CDTF">2020-10-16T14:53:00Z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