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E150E8" w:rsidRDefault="00BB051A" w:rsidP="00194F37">
      <w:pPr>
        <w:spacing w:after="0" w:line="240" w:lineRule="auto"/>
        <w:jc w:val="center"/>
        <w:rPr>
          <w:b/>
          <w:sz w:val="28"/>
          <w:szCs w:val="28"/>
          <w:u w:val="single"/>
        </w:rPr>
      </w:pPr>
      <w:bookmarkStart w:id="0" w:name="_GoBack"/>
      <w:bookmarkEnd w:id="0"/>
      <w:r>
        <w:rPr>
          <w:b/>
          <w:sz w:val="28"/>
          <w:szCs w:val="28"/>
          <w:u w:val="single"/>
        </w:rPr>
        <w:t xml:space="preserve">BUSIDRRQ to </w:t>
      </w:r>
      <w:r w:rsidR="00804DC4">
        <w:rPr>
          <w:b/>
          <w:sz w:val="28"/>
          <w:szCs w:val="28"/>
          <w:u w:val="single"/>
        </w:rPr>
        <w:t xml:space="preserve">AMS </w:t>
      </w:r>
      <w:r w:rsidR="002A0EB0">
        <w:rPr>
          <w:b/>
          <w:sz w:val="28"/>
          <w:szCs w:val="28"/>
          <w:u w:val="single"/>
        </w:rPr>
        <w:t>PROPOSAL</w:t>
      </w:r>
    </w:p>
    <w:p w:rsidR="00F0735A" w:rsidRDefault="00F0735A" w:rsidP="00194F3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804DC4" w:rsidRDefault="00804DC4" w:rsidP="00194F37">
      <w:pPr>
        <w:spacing w:after="0" w:line="240" w:lineRule="auto"/>
        <w:jc w:val="center"/>
        <w:rPr>
          <w:b/>
          <w:sz w:val="28"/>
          <w:szCs w:val="28"/>
          <w:u w:val="single"/>
        </w:rPr>
      </w:pPr>
    </w:p>
    <w:p w:rsidR="00194F37" w:rsidRDefault="00D873A0" w:rsidP="00194F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Add two</w:t>
      </w:r>
      <w:r w:rsidR="00194F37">
        <w:rPr>
          <w:sz w:val="24"/>
          <w:szCs w:val="24"/>
        </w:rPr>
        <w:t xml:space="preserve"> new PROFILETYPECODE</w:t>
      </w:r>
      <w:r>
        <w:rPr>
          <w:sz w:val="24"/>
          <w:szCs w:val="24"/>
        </w:rPr>
        <w:t xml:space="preserve">s </w:t>
      </w:r>
      <w:r w:rsidR="00194F37">
        <w:rPr>
          <w:sz w:val="24"/>
          <w:szCs w:val="24"/>
        </w:rPr>
        <w:t xml:space="preserve">to be used for &gt; 700 kW/kVA premises where the TDSP can support a 4CP billing rate with an AMS profile.  </w:t>
      </w:r>
      <w:r>
        <w:rPr>
          <w:sz w:val="24"/>
          <w:szCs w:val="24"/>
        </w:rPr>
        <w:t xml:space="preserve">BUSLRG will be created for premises that do not have distributed generation and BUSLRGDG will be created for those premises that do have distributed generation.  </w:t>
      </w:r>
      <w:r w:rsidR="00194F37">
        <w:rPr>
          <w:sz w:val="24"/>
          <w:szCs w:val="24"/>
        </w:rPr>
        <w:t>This wou</w:t>
      </w:r>
      <w:r>
        <w:rPr>
          <w:sz w:val="24"/>
          <w:szCs w:val="24"/>
        </w:rPr>
        <w:t>ld lead to the addition of sixteen</w:t>
      </w:r>
      <w:r w:rsidR="00194F37">
        <w:rPr>
          <w:sz w:val="24"/>
          <w:szCs w:val="24"/>
        </w:rPr>
        <w:t xml:space="preserve"> PROFILEC</w:t>
      </w:r>
      <w:r>
        <w:rPr>
          <w:sz w:val="24"/>
          <w:szCs w:val="24"/>
        </w:rPr>
        <w:t>ODES</w:t>
      </w:r>
      <w:r w:rsidR="00194F37">
        <w:rPr>
          <w:sz w:val="24"/>
          <w:szCs w:val="24"/>
        </w:rPr>
        <w:t>:</w:t>
      </w:r>
    </w:p>
    <w:p w:rsidR="00194F37" w:rsidRPr="00194F37" w:rsidRDefault="00194F37" w:rsidP="005639E0">
      <w:pPr>
        <w:spacing w:after="0" w:line="240" w:lineRule="auto"/>
        <w:ind w:left="720" w:firstLine="720"/>
        <w:rPr>
          <w:sz w:val="24"/>
          <w:szCs w:val="24"/>
        </w:rPr>
      </w:pPr>
      <w:r w:rsidRPr="00D873A0">
        <w:rPr>
          <w:color w:val="0000FF"/>
          <w:sz w:val="24"/>
          <w:szCs w:val="24"/>
        </w:rPr>
        <w:t>BUSLRG</w:t>
      </w:r>
      <w:r w:rsidRPr="00194F37">
        <w:rPr>
          <w:sz w:val="24"/>
          <w:szCs w:val="24"/>
        </w:rPr>
        <w:t>_COAST_IDR_WS_NOTOU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0000FF"/>
          <w:sz w:val="24"/>
          <w:szCs w:val="24"/>
        </w:rPr>
        <w:t>BUSLRG</w:t>
      </w:r>
      <w:r w:rsidRPr="00194F37">
        <w:rPr>
          <w:sz w:val="24"/>
          <w:szCs w:val="24"/>
        </w:rPr>
        <w:t>_EAST_IDR_WS_NOTOU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0000FF"/>
          <w:sz w:val="24"/>
          <w:szCs w:val="24"/>
        </w:rPr>
        <w:t>BUSLRG</w:t>
      </w:r>
      <w:r w:rsidRPr="00194F37">
        <w:rPr>
          <w:sz w:val="24"/>
          <w:szCs w:val="24"/>
        </w:rPr>
        <w:t>_FWEST_IDR_WS_NOTOU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0000FF"/>
          <w:sz w:val="24"/>
          <w:szCs w:val="24"/>
        </w:rPr>
        <w:t>BUSLRG</w:t>
      </w:r>
      <w:r w:rsidRPr="00194F37">
        <w:rPr>
          <w:sz w:val="24"/>
          <w:szCs w:val="24"/>
        </w:rPr>
        <w:t>_NCENT_IDR_WS_NOTOU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0000FF"/>
          <w:sz w:val="24"/>
          <w:szCs w:val="24"/>
        </w:rPr>
        <w:t>BUSLRG</w:t>
      </w:r>
      <w:r w:rsidRPr="00194F37">
        <w:rPr>
          <w:sz w:val="24"/>
          <w:szCs w:val="24"/>
        </w:rPr>
        <w:t>_NORTH_IDR_WS_NOTOU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0000FF"/>
          <w:sz w:val="24"/>
          <w:szCs w:val="24"/>
        </w:rPr>
        <w:t>BUSLRG</w:t>
      </w:r>
      <w:r w:rsidRPr="00194F37">
        <w:rPr>
          <w:sz w:val="24"/>
          <w:szCs w:val="24"/>
        </w:rPr>
        <w:t>_SCENT_IDR_WS_NOTOU</w:t>
      </w:r>
    </w:p>
    <w:p w:rsidR="00194F37" w:rsidRP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0000FF"/>
          <w:sz w:val="24"/>
          <w:szCs w:val="24"/>
        </w:rPr>
        <w:t>BUSLRG</w:t>
      </w:r>
      <w:r w:rsidRPr="00194F37">
        <w:rPr>
          <w:sz w:val="24"/>
          <w:szCs w:val="24"/>
        </w:rPr>
        <w:t>_SOUTH_IDR_WS_NOTOU</w:t>
      </w:r>
    </w:p>
    <w:p w:rsidR="00194F37" w:rsidRDefault="00194F37" w:rsidP="00194F37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0000FF"/>
          <w:sz w:val="24"/>
          <w:szCs w:val="24"/>
        </w:rPr>
        <w:t>BUSLRG</w:t>
      </w:r>
      <w:r w:rsidRPr="00194F37">
        <w:rPr>
          <w:sz w:val="24"/>
          <w:szCs w:val="24"/>
        </w:rPr>
        <w:t>_WEST_IDR_WS_NOTOU</w:t>
      </w:r>
    </w:p>
    <w:p w:rsidR="00D873A0" w:rsidRPr="00194F37" w:rsidRDefault="00D873A0" w:rsidP="00D873A0">
      <w:pPr>
        <w:spacing w:after="0" w:line="240" w:lineRule="auto"/>
        <w:ind w:left="720" w:firstLine="720"/>
        <w:rPr>
          <w:sz w:val="24"/>
          <w:szCs w:val="24"/>
        </w:rPr>
      </w:pPr>
      <w:r w:rsidRPr="00D873A0">
        <w:rPr>
          <w:color w:val="FF0000"/>
          <w:sz w:val="24"/>
          <w:szCs w:val="24"/>
        </w:rPr>
        <w:t>BUSLRGDG</w:t>
      </w:r>
      <w:r w:rsidRPr="00194F37">
        <w:rPr>
          <w:sz w:val="24"/>
          <w:szCs w:val="24"/>
        </w:rPr>
        <w:t>_COAST_IDR_WS_NOTOU</w:t>
      </w:r>
    </w:p>
    <w:p w:rsidR="00D873A0" w:rsidRPr="00194F37" w:rsidRDefault="00D873A0" w:rsidP="00D873A0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FF0000"/>
          <w:sz w:val="24"/>
          <w:szCs w:val="24"/>
        </w:rPr>
        <w:t>BUSLRGDG</w:t>
      </w:r>
      <w:r w:rsidRPr="00194F37">
        <w:rPr>
          <w:sz w:val="24"/>
          <w:szCs w:val="24"/>
        </w:rPr>
        <w:t>_EAST_IDR_WS_NOTOU</w:t>
      </w:r>
    </w:p>
    <w:p w:rsidR="00D873A0" w:rsidRPr="00194F37" w:rsidRDefault="00D873A0" w:rsidP="00D873A0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FF0000"/>
          <w:sz w:val="24"/>
          <w:szCs w:val="24"/>
        </w:rPr>
        <w:t>BUSLRGDG</w:t>
      </w:r>
      <w:r w:rsidRPr="00194F37">
        <w:rPr>
          <w:sz w:val="24"/>
          <w:szCs w:val="24"/>
        </w:rPr>
        <w:t>_FWEST_IDR_WS_NOTOU</w:t>
      </w:r>
    </w:p>
    <w:p w:rsidR="00D873A0" w:rsidRPr="00194F37" w:rsidRDefault="00D873A0" w:rsidP="00D873A0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FF0000"/>
          <w:sz w:val="24"/>
          <w:szCs w:val="24"/>
        </w:rPr>
        <w:t>BUSLRGDG</w:t>
      </w:r>
      <w:r w:rsidRPr="00194F37">
        <w:rPr>
          <w:sz w:val="24"/>
          <w:szCs w:val="24"/>
        </w:rPr>
        <w:t>_NCENT_IDR_WS_NOTOU</w:t>
      </w:r>
    </w:p>
    <w:p w:rsidR="00D873A0" w:rsidRPr="00194F37" w:rsidRDefault="00D873A0" w:rsidP="00D873A0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FF0000"/>
          <w:sz w:val="24"/>
          <w:szCs w:val="24"/>
        </w:rPr>
        <w:t>BUSLRGDG</w:t>
      </w:r>
      <w:r w:rsidRPr="00194F37">
        <w:rPr>
          <w:sz w:val="24"/>
          <w:szCs w:val="24"/>
        </w:rPr>
        <w:t>_NORTH_IDR_WS_NOTOU</w:t>
      </w:r>
    </w:p>
    <w:p w:rsidR="00D873A0" w:rsidRPr="00194F37" w:rsidRDefault="00D873A0" w:rsidP="00D873A0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FF0000"/>
          <w:sz w:val="24"/>
          <w:szCs w:val="24"/>
        </w:rPr>
        <w:t>BUSLRGDG</w:t>
      </w:r>
      <w:r w:rsidRPr="00194F37">
        <w:rPr>
          <w:sz w:val="24"/>
          <w:szCs w:val="24"/>
        </w:rPr>
        <w:t>_SCENT_IDR_WS_NOTOU</w:t>
      </w:r>
    </w:p>
    <w:p w:rsidR="00D873A0" w:rsidRPr="00194F37" w:rsidRDefault="00D873A0" w:rsidP="00D873A0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FF0000"/>
          <w:sz w:val="24"/>
          <w:szCs w:val="24"/>
        </w:rPr>
        <w:t>BUSLRGDG</w:t>
      </w:r>
      <w:r w:rsidRPr="00194F37">
        <w:rPr>
          <w:sz w:val="24"/>
          <w:szCs w:val="24"/>
        </w:rPr>
        <w:t>_SOUTH_IDR_WS_NOTOU</w:t>
      </w:r>
    </w:p>
    <w:p w:rsidR="00D873A0" w:rsidRPr="00194F37" w:rsidRDefault="00D873A0" w:rsidP="00D873A0">
      <w:pPr>
        <w:spacing w:after="0" w:line="240" w:lineRule="auto"/>
        <w:ind w:left="1440"/>
        <w:rPr>
          <w:sz w:val="24"/>
          <w:szCs w:val="24"/>
        </w:rPr>
      </w:pPr>
      <w:r w:rsidRPr="00D873A0">
        <w:rPr>
          <w:color w:val="FF0000"/>
          <w:sz w:val="24"/>
          <w:szCs w:val="24"/>
        </w:rPr>
        <w:t>BUSLRGDG</w:t>
      </w:r>
      <w:r w:rsidRPr="00194F37">
        <w:rPr>
          <w:sz w:val="24"/>
          <w:szCs w:val="24"/>
        </w:rPr>
        <w:t>_WEST_IDR_WS_NOTOU</w:t>
      </w:r>
    </w:p>
    <w:p w:rsidR="00D873A0" w:rsidRPr="00194F37" w:rsidRDefault="00D873A0" w:rsidP="00194F37">
      <w:pPr>
        <w:spacing w:after="0" w:line="240" w:lineRule="auto"/>
        <w:ind w:left="1440"/>
        <w:rPr>
          <w:sz w:val="24"/>
          <w:szCs w:val="24"/>
        </w:rPr>
      </w:pPr>
    </w:p>
    <w:p w:rsidR="00194F37" w:rsidRDefault="00194F37" w:rsidP="00194F37">
      <w:pPr>
        <w:spacing w:after="0" w:line="240" w:lineRule="auto"/>
        <w:rPr>
          <w:sz w:val="24"/>
          <w:szCs w:val="24"/>
        </w:rPr>
      </w:pPr>
    </w:p>
    <w:p w:rsidR="00194F37" w:rsidRDefault="002E1933" w:rsidP="00194F37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Existing BUSIDRRQ will remain</w:t>
      </w:r>
      <w:r w:rsidR="00BB051A">
        <w:rPr>
          <w:sz w:val="24"/>
          <w:szCs w:val="24"/>
        </w:rPr>
        <w:t xml:space="preserve"> an option for &gt; 700 kW/kVA premises</w:t>
      </w:r>
      <w:r>
        <w:rPr>
          <w:sz w:val="24"/>
          <w:szCs w:val="24"/>
        </w:rPr>
        <w:t>.</w:t>
      </w:r>
    </w:p>
    <w:p w:rsidR="002E1933" w:rsidRPr="002E1933" w:rsidRDefault="002E1933" w:rsidP="002E1933">
      <w:pPr>
        <w:spacing w:after="0" w:line="240" w:lineRule="auto"/>
        <w:rPr>
          <w:sz w:val="24"/>
          <w:szCs w:val="24"/>
        </w:rPr>
      </w:pPr>
    </w:p>
    <w:p w:rsidR="003B6837" w:rsidRDefault="002E1933" w:rsidP="002A138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3B6837">
        <w:rPr>
          <w:sz w:val="24"/>
          <w:szCs w:val="24"/>
        </w:rPr>
        <w:t>Profile Decision Tree will allow BUSLRG</w:t>
      </w:r>
      <w:r w:rsidR="00753178" w:rsidRPr="003B6837">
        <w:rPr>
          <w:sz w:val="24"/>
          <w:szCs w:val="24"/>
        </w:rPr>
        <w:t>, BUSLRGDG</w:t>
      </w:r>
      <w:r w:rsidRPr="003B6837">
        <w:rPr>
          <w:sz w:val="24"/>
          <w:szCs w:val="24"/>
        </w:rPr>
        <w:t xml:space="preserve"> or BUSIDRRQ for </w:t>
      </w:r>
      <w:r w:rsidR="005639E0" w:rsidRPr="003B6837">
        <w:rPr>
          <w:sz w:val="24"/>
          <w:szCs w:val="24"/>
        </w:rPr>
        <w:t>&gt;</w:t>
      </w:r>
      <w:r w:rsidR="00D301EC" w:rsidRPr="003B6837">
        <w:rPr>
          <w:sz w:val="24"/>
          <w:szCs w:val="24"/>
        </w:rPr>
        <w:t xml:space="preserve"> </w:t>
      </w:r>
      <w:r w:rsidR="005639E0" w:rsidRPr="003B6837">
        <w:rPr>
          <w:sz w:val="24"/>
          <w:szCs w:val="24"/>
        </w:rPr>
        <w:t>700 kW/kVA premises.</w:t>
      </w:r>
    </w:p>
    <w:p w:rsidR="003B6837" w:rsidRPr="003B6837" w:rsidRDefault="003B6837" w:rsidP="003B6837">
      <w:pPr>
        <w:pStyle w:val="ListParagraph"/>
        <w:rPr>
          <w:sz w:val="24"/>
          <w:szCs w:val="24"/>
        </w:rPr>
      </w:pPr>
    </w:p>
    <w:p w:rsidR="005639E0" w:rsidRPr="003B6837" w:rsidRDefault="005639E0" w:rsidP="003B6837">
      <w:pPr>
        <w:pStyle w:val="ListParagraph"/>
        <w:numPr>
          <w:ilvl w:val="1"/>
          <w:numId w:val="1"/>
        </w:numPr>
        <w:spacing w:after="0" w:line="240" w:lineRule="auto"/>
        <w:rPr>
          <w:sz w:val="24"/>
          <w:szCs w:val="24"/>
        </w:rPr>
      </w:pPr>
      <w:r w:rsidRPr="003B6837">
        <w:rPr>
          <w:sz w:val="24"/>
          <w:szCs w:val="24"/>
        </w:rPr>
        <w:t>Profile Decision Tree, Segment Assignment, III. Business (BUS), A. – Assign LRG</w:t>
      </w:r>
      <w:r w:rsidR="00753178" w:rsidRPr="003B6837">
        <w:rPr>
          <w:sz w:val="24"/>
          <w:szCs w:val="24"/>
        </w:rPr>
        <w:t>, LRGDG</w:t>
      </w:r>
      <w:r w:rsidRPr="003B6837">
        <w:rPr>
          <w:sz w:val="24"/>
          <w:szCs w:val="24"/>
        </w:rPr>
        <w:t xml:space="preserve"> or IDRRQ Profile Segment to all BUS ESI IDs </w:t>
      </w:r>
      <w:r w:rsidR="00D301EC" w:rsidRPr="003B6837">
        <w:rPr>
          <w:sz w:val="24"/>
          <w:szCs w:val="24"/>
        </w:rPr>
        <w:t>with a peak demand &gt; 700 kW/kVA.</w:t>
      </w:r>
    </w:p>
    <w:p w:rsidR="005639E0" w:rsidRDefault="005639E0" w:rsidP="005639E0">
      <w:pPr>
        <w:spacing w:after="0" w:line="240" w:lineRule="auto"/>
        <w:ind w:left="720"/>
        <w:rPr>
          <w:sz w:val="24"/>
          <w:szCs w:val="24"/>
        </w:rPr>
      </w:pPr>
    </w:p>
    <w:p w:rsidR="001A0B88" w:rsidRPr="001A0B88" w:rsidRDefault="005639E0" w:rsidP="001A0B88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 xml:space="preserve">ERCOT will setup the </w:t>
      </w:r>
      <w:r w:rsidRPr="00D301EC">
        <w:rPr>
          <w:color w:val="FF0000"/>
          <w:sz w:val="24"/>
          <w:szCs w:val="24"/>
        </w:rPr>
        <w:t>BUSLRG</w:t>
      </w:r>
      <w:r w:rsidR="00753178" w:rsidRPr="00D301EC">
        <w:rPr>
          <w:color w:val="FF0000"/>
          <w:sz w:val="24"/>
          <w:szCs w:val="24"/>
        </w:rPr>
        <w:t>DG</w:t>
      </w:r>
      <w:r>
        <w:rPr>
          <w:sz w:val="24"/>
          <w:szCs w:val="24"/>
        </w:rPr>
        <w:t xml:space="preserve"> </w:t>
      </w:r>
      <w:proofErr w:type="spellStart"/>
      <w:r>
        <w:rPr>
          <w:sz w:val="24"/>
          <w:szCs w:val="24"/>
        </w:rPr>
        <w:t>profiletyp</w:t>
      </w:r>
      <w:r w:rsidR="007E6495">
        <w:rPr>
          <w:sz w:val="24"/>
          <w:szCs w:val="24"/>
        </w:rPr>
        <w:t>e</w:t>
      </w:r>
      <w:proofErr w:type="spellEnd"/>
      <w:r w:rsidR="007E6495">
        <w:rPr>
          <w:sz w:val="24"/>
          <w:szCs w:val="24"/>
        </w:rPr>
        <w:t xml:space="preserve"> to allow for loading of generation (export)</w:t>
      </w:r>
      <w:r>
        <w:rPr>
          <w:sz w:val="24"/>
          <w:szCs w:val="24"/>
        </w:rPr>
        <w:t xml:space="preserve"> data if submitted to ERCOT.  </w:t>
      </w:r>
      <w:r w:rsidR="007E6495">
        <w:rPr>
          <w:sz w:val="24"/>
          <w:szCs w:val="24"/>
        </w:rPr>
        <w:t xml:space="preserve">Generation </w:t>
      </w:r>
      <w:r>
        <w:rPr>
          <w:sz w:val="24"/>
          <w:szCs w:val="24"/>
        </w:rPr>
        <w:t>data will be treated as a LSE load reduction in the same manner as all of the other distributed generation AMS profile types.</w:t>
      </w:r>
    </w:p>
    <w:p w:rsidR="006D3FF9" w:rsidRDefault="001A0B88" w:rsidP="006D3FF9">
      <w:pPr>
        <w:pStyle w:val="ListParagraph"/>
        <w:spacing w:after="0" w:line="240" w:lineRule="auto"/>
        <w:rPr>
          <w:sz w:val="24"/>
          <w:szCs w:val="24"/>
        </w:rPr>
      </w:pPr>
      <w:r w:rsidRPr="001A0B88">
        <w:rPr>
          <w:b/>
          <w:sz w:val="24"/>
          <w:szCs w:val="24"/>
        </w:rPr>
        <w:t>NOTE</w:t>
      </w:r>
      <w:r>
        <w:rPr>
          <w:sz w:val="24"/>
          <w:szCs w:val="24"/>
        </w:rPr>
        <w:t>: If the premise is registered with ERCOT as a Settlement Only Generator, the ESI ID should be set to BUSLRG and ERCOT will use the</w:t>
      </w:r>
      <w:r w:rsidRPr="001A0B88">
        <w:rPr>
          <w:sz w:val="24"/>
          <w:szCs w:val="24"/>
        </w:rPr>
        <w:t xml:space="preserve"> RID data in the generation aggregation process, not as a load reduction.</w:t>
      </w:r>
    </w:p>
    <w:p w:rsidR="001A0B88" w:rsidRDefault="001A0B88" w:rsidP="006D3FF9">
      <w:pPr>
        <w:pStyle w:val="ListParagraph"/>
        <w:spacing w:after="0" w:line="240" w:lineRule="auto"/>
        <w:rPr>
          <w:sz w:val="24"/>
          <w:szCs w:val="24"/>
        </w:rPr>
      </w:pPr>
    </w:p>
    <w:p w:rsidR="006D3FF9" w:rsidRDefault="006D3FF9" w:rsidP="005639E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ERCOT will populate the BUSLRG</w:t>
      </w:r>
      <w:r w:rsidR="00D301EC">
        <w:rPr>
          <w:sz w:val="24"/>
          <w:szCs w:val="24"/>
        </w:rPr>
        <w:t xml:space="preserve"> and BUSLRGDG</w:t>
      </w:r>
      <w:r>
        <w:rPr>
          <w:sz w:val="24"/>
          <w:szCs w:val="24"/>
        </w:rPr>
        <w:t xml:space="preserve"> forecasted and backcasted load profiles with the same values as are in the BUSIDRRQ load profiles.</w:t>
      </w:r>
    </w:p>
    <w:p w:rsidR="006D3FF9" w:rsidRPr="006D3FF9" w:rsidRDefault="006D3FF9" w:rsidP="006D3FF9">
      <w:pPr>
        <w:pStyle w:val="ListParagraph"/>
        <w:rPr>
          <w:sz w:val="24"/>
          <w:szCs w:val="24"/>
        </w:rPr>
      </w:pPr>
    </w:p>
    <w:p w:rsidR="006D3FF9" w:rsidRDefault="009A7B1A" w:rsidP="005639E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lastRenderedPageBreak/>
        <w:t>ERCOT Protocols will require 700 kW/kVA premises to have</w:t>
      </w:r>
      <w:r w:rsidR="002A0EB0">
        <w:rPr>
          <w:sz w:val="24"/>
          <w:szCs w:val="24"/>
        </w:rPr>
        <w:t xml:space="preserve"> IDRs</w:t>
      </w:r>
      <w:r w:rsidR="001015CC">
        <w:rPr>
          <w:sz w:val="24"/>
          <w:szCs w:val="24"/>
        </w:rPr>
        <w:t xml:space="preserve"> (instead of IDR Meters)</w:t>
      </w:r>
      <w:r w:rsidR="002A0EB0">
        <w:rPr>
          <w:sz w:val="24"/>
          <w:szCs w:val="24"/>
        </w:rPr>
        <w:t>.</w:t>
      </w:r>
      <w:r w:rsidR="00836E05">
        <w:rPr>
          <w:sz w:val="24"/>
          <w:szCs w:val="24"/>
        </w:rPr>
        <w:t xml:space="preserve">  </w:t>
      </w:r>
      <w:r w:rsidR="00836E05" w:rsidRPr="00836E05">
        <w:rPr>
          <w:b/>
          <w:sz w:val="24"/>
          <w:szCs w:val="24"/>
        </w:rPr>
        <w:t>Existing Drafted NPRR</w:t>
      </w:r>
    </w:p>
    <w:p w:rsidR="002A0EB0" w:rsidRPr="002A0EB0" w:rsidRDefault="002A0EB0" w:rsidP="002A0EB0">
      <w:pPr>
        <w:pStyle w:val="ListParagraph"/>
        <w:rPr>
          <w:sz w:val="24"/>
          <w:szCs w:val="24"/>
        </w:rPr>
      </w:pPr>
    </w:p>
    <w:p w:rsidR="002A0EB0" w:rsidRDefault="002A0EB0" w:rsidP="005639E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ERCOT will not produce an IDR Requirement report.</w:t>
      </w:r>
      <w:r w:rsidR="00836E05">
        <w:rPr>
          <w:sz w:val="24"/>
          <w:szCs w:val="24"/>
        </w:rPr>
        <w:t xml:space="preserve">  </w:t>
      </w:r>
      <w:r w:rsidR="00836E05" w:rsidRPr="00836E05">
        <w:rPr>
          <w:b/>
          <w:sz w:val="24"/>
          <w:szCs w:val="24"/>
        </w:rPr>
        <w:t>Existing Drafted NPRR</w:t>
      </w:r>
    </w:p>
    <w:p w:rsidR="00E4209C" w:rsidRPr="00E4209C" w:rsidRDefault="00E4209C" w:rsidP="00E4209C">
      <w:pPr>
        <w:pStyle w:val="ListParagraph"/>
        <w:rPr>
          <w:sz w:val="24"/>
          <w:szCs w:val="24"/>
        </w:rPr>
      </w:pPr>
    </w:p>
    <w:p w:rsidR="00E4209C" w:rsidRDefault="00E4209C" w:rsidP="005639E0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RMG Section 7.13</w:t>
      </w:r>
      <w:r w:rsidR="001015CC">
        <w:rPr>
          <w:sz w:val="24"/>
          <w:szCs w:val="24"/>
        </w:rPr>
        <w:t xml:space="preserve"> – Interval Data Recorder Meter Removal and Installation Process</w:t>
      </w:r>
      <w:r>
        <w:rPr>
          <w:sz w:val="24"/>
          <w:szCs w:val="24"/>
        </w:rPr>
        <w:t xml:space="preserve"> will be deleted in its entirety (see business case in RMGRR).</w:t>
      </w:r>
      <w:r w:rsidR="00836E05">
        <w:rPr>
          <w:sz w:val="24"/>
          <w:szCs w:val="24"/>
        </w:rPr>
        <w:t xml:space="preserve">  </w:t>
      </w:r>
      <w:r w:rsidR="00762BDB">
        <w:rPr>
          <w:b/>
          <w:sz w:val="24"/>
          <w:szCs w:val="24"/>
        </w:rPr>
        <w:t>Existing Drafted RMG</w:t>
      </w:r>
      <w:r w:rsidR="00836E05" w:rsidRPr="00836E05">
        <w:rPr>
          <w:b/>
          <w:sz w:val="24"/>
          <w:szCs w:val="24"/>
        </w:rPr>
        <w:t>RR</w:t>
      </w:r>
    </w:p>
    <w:p w:rsidR="009A7B1A" w:rsidRPr="009A7B1A" w:rsidRDefault="009A7B1A" w:rsidP="009A7B1A">
      <w:pPr>
        <w:pStyle w:val="ListParagraph"/>
        <w:rPr>
          <w:sz w:val="24"/>
          <w:szCs w:val="24"/>
        </w:rPr>
      </w:pPr>
    </w:p>
    <w:p w:rsidR="009A7B1A" w:rsidRDefault="009A7B1A" w:rsidP="00E42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ERCOT will exclude BUSLRG</w:t>
      </w:r>
      <w:r w:rsidR="00D301EC">
        <w:rPr>
          <w:sz w:val="24"/>
          <w:szCs w:val="24"/>
        </w:rPr>
        <w:t xml:space="preserve"> and BUSLRGDG</w:t>
      </w:r>
      <w:r>
        <w:rPr>
          <w:sz w:val="24"/>
          <w:szCs w:val="24"/>
        </w:rPr>
        <w:t xml:space="preserve"> from AMS data threshold check.</w:t>
      </w:r>
    </w:p>
    <w:p w:rsidR="00804DC4" w:rsidRPr="00804DC4" w:rsidRDefault="00804DC4" w:rsidP="00804DC4">
      <w:pPr>
        <w:pStyle w:val="ListParagraph"/>
        <w:rPr>
          <w:sz w:val="24"/>
          <w:szCs w:val="24"/>
        </w:rPr>
      </w:pPr>
    </w:p>
    <w:p w:rsidR="00804DC4" w:rsidRDefault="00804DC4" w:rsidP="00E4209C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>
        <w:rPr>
          <w:sz w:val="24"/>
          <w:szCs w:val="24"/>
        </w:rPr>
        <w:t>When an AMS premise surpasses 700 kW/kVA, TDSP will transition to BUSLRG</w:t>
      </w:r>
      <w:r w:rsidR="00D301EC">
        <w:rPr>
          <w:sz w:val="24"/>
          <w:szCs w:val="24"/>
        </w:rPr>
        <w:t>, BUSLRGDG</w:t>
      </w:r>
      <w:r>
        <w:rPr>
          <w:sz w:val="24"/>
          <w:szCs w:val="24"/>
        </w:rPr>
        <w:t xml:space="preserve"> or BUSIDRRQ</w:t>
      </w:r>
    </w:p>
    <w:p w:rsidR="00804DC4" w:rsidRPr="00804DC4" w:rsidRDefault="00804DC4" w:rsidP="00804DC4">
      <w:pPr>
        <w:pStyle w:val="ListParagraph"/>
        <w:rPr>
          <w:sz w:val="24"/>
          <w:szCs w:val="24"/>
        </w:rPr>
      </w:pPr>
    </w:p>
    <w:p w:rsidR="00BB051A" w:rsidRPr="00836E05" w:rsidRDefault="00804DC4" w:rsidP="00BB051A">
      <w:pPr>
        <w:pStyle w:val="ListParagraph"/>
        <w:numPr>
          <w:ilvl w:val="0"/>
          <w:numId w:val="1"/>
        </w:numPr>
        <w:spacing w:after="0" w:line="240" w:lineRule="auto"/>
        <w:rPr>
          <w:sz w:val="24"/>
          <w:szCs w:val="24"/>
        </w:rPr>
      </w:pPr>
      <w:r w:rsidRPr="00F0735A">
        <w:rPr>
          <w:sz w:val="24"/>
          <w:szCs w:val="24"/>
        </w:rPr>
        <w:t xml:space="preserve">Transition of existing IDR meters to AMS will be governed by </w:t>
      </w:r>
      <w:r w:rsidR="00B759BA" w:rsidRPr="00B759BA">
        <w:rPr>
          <w:b/>
          <w:sz w:val="24"/>
          <w:szCs w:val="24"/>
        </w:rPr>
        <w:t>new</w:t>
      </w:r>
      <w:r w:rsidR="00B759BA">
        <w:rPr>
          <w:sz w:val="24"/>
          <w:szCs w:val="24"/>
        </w:rPr>
        <w:t xml:space="preserve"> </w:t>
      </w:r>
      <w:r w:rsidRPr="00F0735A">
        <w:rPr>
          <w:sz w:val="24"/>
          <w:szCs w:val="24"/>
        </w:rPr>
        <w:t>Protoco</w:t>
      </w:r>
      <w:r w:rsidR="00F0735A" w:rsidRPr="00F0735A">
        <w:rPr>
          <w:sz w:val="24"/>
          <w:szCs w:val="24"/>
        </w:rPr>
        <w:t xml:space="preserve">l Section 18.7 </w:t>
      </w:r>
      <w:r w:rsidR="00E902F3">
        <w:rPr>
          <w:sz w:val="24"/>
          <w:szCs w:val="24"/>
        </w:rPr>
        <w:t>(</w:t>
      </w:r>
      <w:r w:rsidR="00E902F3" w:rsidRPr="00E902F3">
        <w:rPr>
          <w:b/>
          <w:sz w:val="24"/>
          <w:szCs w:val="24"/>
        </w:rPr>
        <w:t>Existing Drafted NPRR</w:t>
      </w:r>
      <w:r w:rsidR="00E902F3">
        <w:rPr>
          <w:sz w:val="24"/>
          <w:szCs w:val="24"/>
        </w:rPr>
        <w:t xml:space="preserve">) </w:t>
      </w:r>
      <w:r w:rsidR="00F0735A" w:rsidRPr="00F0735A">
        <w:rPr>
          <w:sz w:val="24"/>
          <w:szCs w:val="24"/>
        </w:rPr>
        <w:t>which allows for the use of BUSLRG</w:t>
      </w:r>
      <w:r w:rsidR="00D301EC">
        <w:rPr>
          <w:sz w:val="24"/>
          <w:szCs w:val="24"/>
        </w:rPr>
        <w:t xml:space="preserve"> or BUSLRGDG</w:t>
      </w:r>
      <w:r w:rsidR="00F0735A" w:rsidRPr="00F0735A">
        <w:rPr>
          <w:sz w:val="24"/>
          <w:szCs w:val="24"/>
        </w:rPr>
        <w:t xml:space="preserve"> (if &gt; 700 kW/kVA) or any of the other AMS profile types when &lt;= 700 kW/kVA.</w:t>
      </w:r>
    </w:p>
    <w:p w:rsidR="005639E0" w:rsidRDefault="005639E0" w:rsidP="00804DC4">
      <w:pPr>
        <w:spacing w:after="0" w:line="240" w:lineRule="auto"/>
        <w:rPr>
          <w:sz w:val="24"/>
          <w:szCs w:val="24"/>
        </w:rPr>
      </w:pPr>
    </w:p>
    <w:sectPr w:rsidR="005639E0" w:rsidSect="00E902F3">
      <w:pgSz w:w="12240" w:h="15840"/>
      <w:pgMar w:top="1008" w:right="1440" w:bottom="1008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0002A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35DA2B64"/>
    <w:multiLevelType w:val="hybridMultilevel"/>
    <w:tmpl w:val="25302F2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6B206DCB"/>
    <w:multiLevelType w:val="hybridMultilevel"/>
    <w:tmpl w:val="99CCB284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num w:numId="1">
    <w:abstractNumId w:val="0"/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2E25E5"/>
    <w:rsid w:val="001015CC"/>
    <w:rsid w:val="00194F37"/>
    <w:rsid w:val="001A0B88"/>
    <w:rsid w:val="002A0EB0"/>
    <w:rsid w:val="002E1933"/>
    <w:rsid w:val="002E25E5"/>
    <w:rsid w:val="003B6837"/>
    <w:rsid w:val="005639E0"/>
    <w:rsid w:val="006D3FF9"/>
    <w:rsid w:val="00753178"/>
    <w:rsid w:val="00762BDB"/>
    <w:rsid w:val="007E6495"/>
    <w:rsid w:val="00804DC4"/>
    <w:rsid w:val="00836E05"/>
    <w:rsid w:val="009A7B1A"/>
    <w:rsid w:val="00B759BA"/>
    <w:rsid w:val="00BB051A"/>
    <w:rsid w:val="00BF0A84"/>
    <w:rsid w:val="00D301EC"/>
    <w:rsid w:val="00D873A0"/>
    <w:rsid w:val="00E150E8"/>
    <w:rsid w:val="00E4209C"/>
    <w:rsid w:val="00E902F3"/>
    <w:rsid w:val="00F0735A"/>
    <w:rsid w:val="00FE2C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5:chartTrackingRefBased/>
  <w15:docId w15:val="{46559BCD-64A4-41BA-A3B1-CEF9E92339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194F37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3700346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372</Words>
  <Characters>2122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The Electric Reliability Council of Texas</Company>
  <LinksUpToDate>false</LinksUpToDate>
  <CharactersWithSpaces>2490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Roberts, Randy</dc:creator>
  <cp:keywords/>
  <dc:description/>
  <cp:lastModifiedBy>Boswell, Bill</cp:lastModifiedBy>
  <cp:revision>2</cp:revision>
  <dcterms:created xsi:type="dcterms:W3CDTF">2020-10-07T19:42:00Z</dcterms:created>
  <dcterms:modified xsi:type="dcterms:W3CDTF">2020-10-07T19:42:00Z</dcterms:modified>
</cp:coreProperties>
</file>