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B8C2" w14:textId="77777777" w:rsidR="0076617B" w:rsidRPr="004412D4" w:rsidRDefault="0076617B" w:rsidP="009E4B6F">
      <w:pPr>
        <w:pStyle w:val="NormalLarge"/>
        <w:jc w:val="center"/>
        <w:rPr>
          <w:rFonts w:cs="Arial"/>
          <w:b/>
          <w:sz w:val="30"/>
          <w:szCs w:val="30"/>
        </w:rPr>
      </w:pPr>
      <w:bookmarkStart w:id="0" w:name="_Toc97521511"/>
      <w:bookmarkStart w:id="1" w:name="_Toc97521941"/>
      <w:bookmarkStart w:id="2" w:name="_Toc100119981"/>
      <w:bookmarkStart w:id="3" w:name="_Toc93306753"/>
      <w:bookmarkStart w:id="4" w:name="_Toc93306903"/>
      <w:r w:rsidRPr="004412D4">
        <w:rPr>
          <w:rFonts w:cs="Arial"/>
          <w:b/>
          <w:sz w:val="30"/>
          <w:szCs w:val="30"/>
        </w:rPr>
        <w:t xml:space="preserve">ERCOT CORPORATE </w:t>
      </w:r>
      <w:r w:rsidR="00966F11" w:rsidRPr="004412D4">
        <w:rPr>
          <w:rFonts w:cs="Arial"/>
          <w:b/>
          <w:sz w:val="30"/>
          <w:szCs w:val="30"/>
        </w:rPr>
        <w:t>STANDARD</w:t>
      </w:r>
      <w:bookmarkEnd w:id="0"/>
      <w:bookmarkEnd w:id="1"/>
      <w:bookmarkEnd w:id="2"/>
    </w:p>
    <w:p w14:paraId="5522B8C3" w14:textId="77777777" w:rsidR="003F74B8" w:rsidRPr="004412D4" w:rsidRDefault="003F74B8" w:rsidP="009E4B6F">
      <w:pPr>
        <w:pStyle w:val="NormalLarge"/>
        <w:rPr>
          <w:rFonts w:cs="Arial"/>
          <w:sz w:val="36"/>
          <w:szCs w:val="36"/>
        </w:rPr>
      </w:pPr>
    </w:p>
    <w:tbl>
      <w:tblPr>
        <w:tblW w:w="864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6210"/>
      </w:tblGrid>
      <w:tr w:rsidR="0076617B" w:rsidRPr="004412D4" w14:paraId="5522B8C6" w14:textId="77777777" w:rsidTr="00AC6D61">
        <w:trPr>
          <w:trHeight w:val="126"/>
          <w:jc w:val="center"/>
        </w:trPr>
        <w:tc>
          <w:tcPr>
            <w:tcW w:w="2430" w:type="dxa"/>
          </w:tcPr>
          <w:p w14:paraId="5522B8C4" w14:textId="77777777" w:rsidR="0076617B" w:rsidRPr="004412D4" w:rsidRDefault="0076617B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Document Name:</w:t>
            </w:r>
          </w:p>
        </w:tc>
        <w:tc>
          <w:tcPr>
            <w:tcW w:w="6210" w:type="dxa"/>
          </w:tcPr>
          <w:p w14:paraId="5522B8C5" w14:textId="09B8E034" w:rsidR="0076617B" w:rsidRPr="004412D4" w:rsidRDefault="0076617B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 xml:space="preserve">Information </w:t>
            </w:r>
            <w:r w:rsidR="00DA2DDE" w:rsidRPr="004412D4">
              <w:rPr>
                <w:rFonts w:cs="Arial"/>
              </w:rPr>
              <w:t>Protection</w:t>
            </w:r>
            <w:r w:rsidRPr="004412D4">
              <w:rPr>
                <w:rFonts w:cs="Arial"/>
              </w:rPr>
              <w:t xml:space="preserve"> </w:t>
            </w:r>
            <w:r w:rsidR="00996C2C" w:rsidRPr="004412D4">
              <w:rPr>
                <w:rFonts w:cs="Arial"/>
              </w:rPr>
              <w:t xml:space="preserve">Corporate </w:t>
            </w:r>
            <w:r w:rsidR="00966F11" w:rsidRPr="004412D4">
              <w:rPr>
                <w:rFonts w:cs="Arial"/>
              </w:rPr>
              <w:t>Standard</w:t>
            </w:r>
          </w:p>
        </w:tc>
      </w:tr>
      <w:tr w:rsidR="0076617B" w:rsidRPr="004412D4" w14:paraId="5522B8C9" w14:textId="77777777" w:rsidTr="00AC6D61">
        <w:trPr>
          <w:trHeight w:val="126"/>
          <w:jc w:val="center"/>
        </w:trPr>
        <w:tc>
          <w:tcPr>
            <w:tcW w:w="2430" w:type="dxa"/>
          </w:tcPr>
          <w:p w14:paraId="5522B8C7" w14:textId="77777777" w:rsidR="0076617B" w:rsidRPr="004412D4" w:rsidRDefault="0076617B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Document ID</w:t>
            </w:r>
            <w:r w:rsidR="00966F11" w:rsidRPr="004412D4">
              <w:rPr>
                <w:rFonts w:cs="Arial"/>
              </w:rPr>
              <w:t>:</w:t>
            </w:r>
          </w:p>
        </w:tc>
        <w:tc>
          <w:tcPr>
            <w:tcW w:w="6210" w:type="dxa"/>
          </w:tcPr>
          <w:p w14:paraId="5522B8C8" w14:textId="77777777" w:rsidR="0076617B" w:rsidRPr="004412D4" w:rsidRDefault="00966F11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CS</w:t>
            </w:r>
            <w:r w:rsidR="00DD1E43" w:rsidRPr="004412D4">
              <w:rPr>
                <w:rFonts w:cs="Arial"/>
              </w:rPr>
              <w:t>7.6</w:t>
            </w:r>
          </w:p>
        </w:tc>
      </w:tr>
      <w:tr w:rsidR="0076617B" w:rsidRPr="004412D4" w14:paraId="5522B8CC" w14:textId="77777777" w:rsidTr="00AC6D61">
        <w:trPr>
          <w:trHeight w:val="126"/>
          <w:jc w:val="center"/>
        </w:trPr>
        <w:tc>
          <w:tcPr>
            <w:tcW w:w="2430" w:type="dxa"/>
            <w:tcBorders>
              <w:bottom w:val="single" w:sz="6" w:space="0" w:color="000080"/>
            </w:tcBorders>
          </w:tcPr>
          <w:p w14:paraId="5522B8CA" w14:textId="77777777" w:rsidR="0076617B" w:rsidRPr="004412D4" w:rsidRDefault="00966F11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Effective Date:</w:t>
            </w:r>
          </w:p>
        </w:tc>
        <w:tc>
          <w:tcPr>
            <w:tcW w:w="6210" w:type="dxa"/>
            <w:tcBorders>
              <w:bottom w:val="single" w:sz="6" w:space="0" w:color="000080"/>
            </w:tcBorders>
          </w:tcPr>
          <w:p w14:paraId="5522B8CB" w14:textId="65197F52" w:rsidR="0076617B" w:rsidRPr="00E87F5A" w:rsidRDefault="00A478D1" w:rsidP="00AC6D61">
            <w:pPr>
              <w:pStyle w:val="NormalLarge"/>
              <w:tabs>
                <w:tab w:val="left" w:pos="3330"/>
              </w:tabs>
              <w:spacing w:before="60" w:after="6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December 10, 2021</w:t>
            </w:r>
          </w:p>
        </w:tc>
      </w:tr>
      <w:tr w:rsidR="00EA66E5" w:rsidRPr="004412D4" w14:paraId="5522B8CF" w14:textId="77777777" w:rsidTr="00AC6D61">
        <w:trPr>
          <w:trHeight w:val="126"/>
          <w:jc w:val="center"/>
        </w:trPr>
        <w:tc>
          <w:tcPr>
            <w:tcW w:w="2430" w:type="dxa"/>
            <w:tcBorders>
              <w:bottom w:val="single" w:sz="6" w:space="0" w:color="000080"/>
            </w:tcBorders>
          </w:tcPr>
          <w:p w14:paraId="5522B8CD" w14:textId="7057ABBB" w:rsidR="00EA66E5" w:rsidRPr="004412D4" w:rsidRDefault="00EA66E5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Owner:</w:t>
            </w:r>
          </w:p>
        </w:tc>
        <w:tc>
          <w:tcPr>
            <w:tcW w:w="6210" w:type="dxa"/>
            <w:tcBorders>
              <w:bottom w:val="single" w:sz="6" w:space="0" w:color="000080"/>
            </w:tcBorders>
          </w:tcPr>
          <w:p w14:paraId="5522B8CE" w14:textId="77777777" w:rsidR="00EA66E5" w:rsidRPr="004412D4" w:rsidRDefault="00860C7B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General Counsel</w:t>
            </w:r>
            <w:r w:rsidR="001B7228" w:rsidRPr="004412D4">
              <w:rPr>
                <w:rFonts w:cs="Arial"/>
              </w:rPr>
              <w:t xml:space="preserve"> &amp; Critical Infrastructure Security</w:t>
            </w:r>
          </w:p>
        </w:tc>
      </w:tr>
      <w:tr w:rsidR="0076617B" w:rsidRPr="004412D4" w14:paraId="5522B8D2" w14:textId="77777777" w:rsidTr="00AC6D61">
        <w:trPr>
          <w:trHeight w:val="126"/>
          <w:jc w:val="center"/>
        </w:trPr>
        <w:tc>
          <w:tcPr>
            <w:tcW w:w="2430" w:type="dxa"/>
            <w:tcBorders>
              <w:bottom w:val="single" w:sz="6" w:space="0" w:color="000080"/>
            </w:tcBorders>
          </w:tcPr>
          <w:p w14:paraId="5522B8D0" w14:textId="77777777" w:rsidR="0076617B" w:rsidRPr="004412D4" w:rsidRDefault="00966F11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>Governs:</w:t>
            </w:r>
          </w:p>
        </w:tc>
        <w:tc>
          <w:tcPr>
            <w:tcW w:w="6210" w:type="dxa"/>
            <w:tcBorders>
              <w:bottom w:val="single" w:sz="6" w:space="0" w:color="000080"/>
            </w:tcBorders>
          </w:tcPr>
          <w:p w14:paraId="5522B8D1" w14:textId="77777777" w:rsidR="0076617B" w:rsidRPr="004412D4" w:rsidRDefault="00511C15" w:rsidP="00AC6D61">
            <w:pPr>
              <w:pStyle w:val="NormalLarge"/>
              <w:spacing w:before="60" w:after="60"/>
              <w:rPr>
                <w:rFonts w:cs="Arial"/>
              </w:rPr>
            </w:pPr>
            <w:r w:rsidRPr="004412D4">
              <w:rPr>
                <w:rFonts w:cs="Arial"/>
              </w:rPr>
              <w:t xml:space="preserve">ERCOT </w:t>
            </w:r>
            <w:r w:rsidR="007D3E7F" w:rsidRPr="004412D4">
              <w:rPr>
                <w:rFonts w:cs="Arial"/>
              </w:rPr>
              <w:t>Personnel</w:t>
            </w:r>
          </w:p>
        </w:tc>
      </w:tr>
      <w:tr w:rsidR="00FC1FAE" w:rsidRPr="004412D4" w14:paraId="5522B8D5" w14:textId="77777777" w:rsidTr="00AC6D61">
        <w:trPr>
          <w:trHeight w:val="126"/>
          <w:jc w:val="center"/>
        </w:trPr>
        <w:tc>
          <w:tcPr>
            <w:tcW w:w="2430" w:type="dxa"/>
          </w:tcPr>
          <w:p w14:paraId="5522B8D3" w14:textId="77777777" w:rsidR="00FC1FAE" w:rsidRPr="004412D4" w:rsidRDefault="00FC1FAE" w:rsidP="00AC6D61">
            <w:pPr>
              <w:pStyle w:val="NormalLarge"/>
              <w:spacing w:before="60" w:after="60"/>
              <w:rPr>
                <w:rFonts w:cs="Arial"/>
              </w:rPr>
            </w:pPr>
            <w:bookmarkStart w:id="5" w:name="_Toc96910696"/>
            <w:bookmarkStart w:id="6" w:name="_Toc97521513"/>
            <w:bookmarkStart w:id="7" w:name="_Toc97521943"/>
            <w:r w:rsidRPr="004412D4">
              <w:rPr>
                <w:rFonts w:cs="Arial"/>
              </w:rPr>
              <w:t>Approved:</w:t>
            </w:r>
          </w:p>
        </w:tc>
        <w:tc>
          <w:tcPr>
            <w:tcW w:w="6210" w:type="dxa"/>
          </w:tcPr>
          <w:p w14:paraId="5522B8D4" w14:textId="44A2D234" w:rsidR="009D04C6" w:rsidRPr="004412D4" w:rsidRDefault="00CC2554" w:rsidP="00AC6D61">
            <w:pPr>
              <w:pStyle w:val="NormalLarge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Betty Day, VP Governance, Risk &amp; Compliance</w:t>
            </w:r>
          </w:p>
        </w:tc>
      </w:tr>
    </w:tbl>
    <w:p w14:paraId="5522B8D6" w14:textId="77777777" w:rsidR="00874D3E" w:rsidRPr="00661D4C" w:rsidRDefault="00874D3E" w:rsidP="00874D3E">
      <w:pPr>
        <w:jc w:val="both"/>
        <w:rPr>
          <w:rFonts w:ascii="Arial" w:hAnsi="Arial" w:cs="Arial"/>
          <w:i/>
        </w:rPr>
      </w:pPr>
      <w:bookmarkStart w:id="8" w:name="_Toc130908457"/>
      <w:bookmarkEnd w:id="5"/>
      <w:bookmarkEnd w:id="6"/>
      <w:bookmarkEnd w:id="7"/>
    </w:p>
    <w:p w14:paraId="5522B8D7" w14:textId="77777777" w:rsidR="00282261" w:rsidRPr="004412D4" w:rsidRDefault="00D210F9" w:rsidP="00EE04B9">
      <w:pPr>
        <w:pStyle w:val="Heading1"/>
        <w:numPr>
          <w:ilvl w:val="0"/>
          <w:numId w:val="16"/>
        </w:numPr>
        <w:jc w:val="both"/>
        <w:rPr>
          <w:i/>
        </w:rPr>
      </w:pPr>
      <w:r w:rsidRPr="004412D4">
        <w:rPr>
          <w:i/>
        </w:rPr>
        <w:t>Purpose</w:t>
      </w:r>
      <w:bookmarkEnd w:id="8"/>
    </w:p>
    <w:p w14:paraId="5522B8D8" w14:textId="66D39ADC" w:rsidR="00C269B0" w:rsidRPr="004412D4" w:rsidRDefault="00D6303A" w:rsidP="005F788B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The purpose of this corporate standard is to </w:t>
      </w:r>
      <w:r w:rsidR="008C6EC9" w:rsidRPr="004412D4">
        <w:rPr>
          <w:rFonts w:ascii="Arial" w:hAnsi="Arial" w:cs="Arial"/>
        </w:rPr>
        <w:t>establish responsibility for Information Owners and Personnel to classify, label, and protect Information.</w:t>
      </w:r>
    </w:p>
    <w:p w14:paraId="152DBE25" w14:textId="3D971346" w:rsidR="00C5768A" w:rsidRPr="00E87F5A" w:rsidRDefault="00C5768A" w:rsidP="005F788B">
      <w:pPr>
        <w:jc w:val="both"/>
        <w:rPr>
          <w:rFonts w:ascii="Arial" w:hAnsi="Arial" w:cs="Arial"/>
        </w:rPr>
      </w:pPr>
    </w:p>
    <w:p w14:paraId="176FF858" w14:textId="4DE733AE" w:rsidR="00C5768A" w:rsidRPr="004412D4" w:rsidRDefault="00C5768A" w:rsidP="005F788B">
      <w:pPr>
        <w:jc w:val="both"/>
        <w:rPr>
          <w:rFonts w:ascii="Arial" w:hAnsi="Arial" w:cs="Arial"/>
          <w:i/>
        </w:rPr>
      </w:pPr>
      <w:r w:rsidRPr="004412D4">
        <w:rPr>
          <w:rFonts w:ascii="Arial" w:hAnsi="Arial" w:cs="Arial"/>
          <w:i/>
        </w:rPr>
        <w:t>See CP7 Security Corporate Policy for information pertaining to exceptions, violations, document management, and assistance with this corporate standard.</w:t>
      </w:r>
    </w:p>
    <w:p w14:paraId="5E592ED4" w14:textId="77777777" w:rsidR="00703C48" w:rsidRPr="004412D4" w:rsidRDefault="00703C48" w:rsidP="005F788B">
      <w:pPr>
        <w:jc w:val="both"/>
        <w:rPr>
          <w:rFonts w:ascii="Arial" w:hAnsi="Arial" w:cs="Arial"/>
          <w:i/>
        </w:rPr>
      </w:pPr>
    </w:p>
    <w:p w14:paraId="748FA364" w14:textId="77777777" w:rsidR="00AA7C88" w:rsidRPr="004412D4" w:rsidRDefault="00AA7C88" w:rsidP="004D7AA6">
      <w:pPr>
        <w:pStyle w:val="Heading1"/>
        <w:numPr>
          <w:ilvl w:val="0"/>
          <w:numId w:val="16"/>
        </w:numPr>
        <w:jc w:val="both"/>
        <w:rPr>
          <w:i/>
        </w:rPr>
      </w:pPr>
      <w:bookmarkStart w:id="9" w:name="_Toc130908460"/>
      <w:bookmarkEnd w:id="3"/>
      <w:bookmarkEnd w:id="4"/>
      <w:r w:rsidRPr="004412D4">
        <w:rPr>
          <w:i/>
        </w:rPr>
        <w:t>Terms and Definitions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588"/>
      </w:tblGrid>
      <w:tr w:rsidR="00AA7C88" w:rsidRPr="004412D4" w14:paraId="4C78AC46" w14:textId="77777777" w:rsidTr="00852C50">
        <w:tc>
          <w:tcPr>
            <w:tcW w:w="2430" w:type="dxa"/>
            <w:shd w:val="clear" w:color="auto" w:fill="D9D9D9" w:themeFill="background1" w:themeFillShade="D9"/>
          </w:tcPr>
          <w:p w14:paraId="457C3255" w14:textId="77777777" w:rsidR="00AA7C88" w:rsidRPr="004412D4" w:rsidRDefault="00AA7C88" w:rsidP="00703C48">
            <w:pPr>
              <w:spacing w:before="60" w:after="60"/>
              <w:rPr>
                <w:rFonts w:ascii="Arial" w:hAnsi="Arial" w:cs="Arial"/>
                <w:b/>
              </w:rPr>
            </w:pPr>
            <w:r w:rsidRPr="004412D4">
              <w:rPr>
                <w:rFonts w:ascii="Arial" w:hAnsi="Arial" w:cs="Arial"/>
                <w:b/>
              </w:rPr>
              <w:t xml:space="preserve">Term 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14:paraId="48A3BC39" w14:textId="77777777" w:rsidR="00AA7C88" w:rsidRPr="004412D4" w:rsidRDefault="00AA7C88" w:rsidP="00703C48">
            <w:pPr>
              <w:spacing w:before="60" w:after="60"/>
              <w:rPr>
                <w:rFonts w:ascii="Arial" w:hAnsi="Arial" w:cs="Arial"/>
                <w:b/>
              </w:rPr>
            </w:pPr>
            <w:r w:rsidRPr="004412D4">
              <w:rPr>
                <w:rFonts w:ascii="Arial" w:hAnsi="Arial" w:cs="Arial"/>
                <w:b/>
              </w:rPr>
              <w:t>Definition</w:t>
            </w:r>
          </w:p>
        </w:tc>
      </w:tr>
      <w:tr w:rsidR="00AA7C88" w:rsidRPr="004412D4" w14:paraId="75DC32C6" w14:textId="77777777" w:rsidTr="00852C50">
        <w:tc>
          <w:tcPr>
            <w:tcW w:w="2430" w:type="dxa"/>
          </w:tcPr>
          <w:p w14:paraId="4C75E3E7" w14:textId="77777777" w:rsidR="00AA7C88" w:rsidRPr="004412D4" w:rsidRDefault="00AA7C88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BES Cyber System Information</w:t>
            </w:r>
          </w:p>
        </w:tc>
        <w:tc>
          <w:tcPr>
            <w:tcW w:w="6588" w:type="dxa"/>
          </w:tcPr>
          <w:p w14:paraId="61B4F307" w14:textId="1768D3A1" w:rsidR="00AA7C88" w:rsidRPr="005A57AB" w:rsidRDefault="005A57AB" w:rsidP="003E685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A57AB">
              <w:rPr>
                <w:rFonts w:ascii="Arial" w:hAnsi="Arial" w:cs="Arial"/>
                <w:sz w:val="22"/>
                <w:szCs w:val="22"/>
              </w:rPr>
              <w:t xml:space="preserve">As defined in </w:t>
            </w:r>
            <w:hyperlink r:id="rId12" w:history="1">
              <w:r w:rsidRPr="005A57AB">
                <w:rPr>
                  <w:rStyle w:val="Hyperlink"/>
                  <w:rFonts w:ascii="Arial" w:eastAsia="Symbol" w:hAnsi="Arial" w:cs="Arial"/>
                  <w:sz w:val="22"/>
                  <w:szCs w:val="22"/>
                </w:rPr>
                <w:t>Glossary of Terms Used in NERC Reliability Standards</w:t>
              </w:r>
            </w:hyperlink>
          </w:p>
        </w:tc>
      </w:tr>
      <w:tr w:rsidR="00AA7C88" w:rsidRPr="004412D4" w14:paraId="142B3D1E" w14:textId="343F437B" w:rsidTr="00852C50">
        <w:tc>
          <w:tcPr>
            <w:tcW w:w="2430" w:type="dxa"/>
          </w:tcPr>
          <w:p w14:paraId="1B94D0F7" w14:textId="64C70248" w:rsidR="00AA7C88" w:rsidRPr="004412D4" w:rsidRDefault="00AA7C88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CEII</w:t>
            </w:r>
          </w:p>
        </w:tc>
        <w:tc>
          <w:tcPr>
            <w:tcW w:w="6588" w:type="dxa"/>
          </w:tcPr>
          <w:p w14:paraId="372150F3" w14:textId="0014AD0C" w:rsidR="00AA7C88" w:rsidRPr="004412D4" w:rsidRDefault="00AA7C88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Critical Energy Infrastructure Information pursuant to NERC Rules of Procedure Section 1500</w:t>
            </w:r>
          </w:p>
        </w:tc>
      </w:tr>
      <w:tr w:rsidR="005A57AB" w:rsidRPr="004412D4" w14:paraId="5CF321EF" w14:textId="77777777" w:rsidTr="00852C50">
        <w:tc>
          <w:tcPr>
            <w:tcW w:w="2430" w:type="dxa"/>
          </w:tcPr>
          <w:p w14:paraId="59D45C46" w14:textId="64C292BE" w:rsidR="005A57AB" w:rsidRPr="004412D4" w:rsidRDefault="005A57AB" w:rsidP="005A57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6588" w:type="dxa"/>
          </w:tcPr>
          <w:p w14:paraId="42E4C1FF" w14:textId="42C5E140" w:rsidR="005A57AB" w:rsidRPr="005A57AB" w:rsidRDefault="00852C50" w:rsidP="005A57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4000">
              <w:rPr>
                <w:rFonts w:ascii="Arial" w:hAnsi="Arial" w:cs="Arial"/>
                <w:sz w:val="22"/>
                <w:szCs w:val="22"/>
              </w:rPr>
              <w:t xml:space="preserve">Intellectual property and business Information created, received, used, processed, stored, maintained, or transmitted within the ERCOT environment.  Information refers to ERCOT Information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424000">
              <w:rPr>
                <w:rFonts w:ascii="Arial" w:hAnsi="Arial" w:cs="Arial"/>
                <w:sz w:val="22"/>
                <w:szCs w:val="22"/>
              </w:rPr>
              <w:t xml:space="preserve">nformation entrusted to ERCOT </w:t>
            </w:r>
            <w:r>
              <w:rPr>
                <w:rFonts w:ascii="Arial" w:hAnsi="Arial" w:cs="Arial"/>
                <w:sz w:val="22"/>
                <w:szCs w:val="22"/>
              </w:rPr>
              <w:t>by 3</w:t>
            </w:r>
            <w:r w:rsidRPr="00A4083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parties </w:t>
            </w:r>
            <w:r w:rsidRPr="00424000">
              <w:rPr>
                <w:rFonts w:ascii="Arial" w:hAnsi="Arial" w:cs="Arial"/>
                <w:sz w:val="22"/>
                <w:szCs w:val="22"/>
              </w:rPr>
              <w:t>without regard to form (website, electronic and hard copy documents and files, audio files, e-mail, input data, output data, and other materials.)</w:t>
            </w:r>
          </w:p>
        </w:tc>
      </w:tr>
      <w:tr w:rsidR="005A57AB" w:rsidRPr="004412D4" w14:paraId="5A1A2FD5" w14:textId="77777777" w:rsidTr="00852C50">
        <w:tc>
          <w:tcPr>
            <w:tcW w:w="2430" w:type="dxa"/>
          </w:tcPr>
          <w:p w14:paraId="7669C6E8" w14:textId="77777777" w:rsidR="005A57AB" w:rsidRPr="004412D4" w:rsidRDefault="005A57AB" w:rsidP="005A57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Information Owner</w:t>
            </w:r>
          </w:p>
        </w:tc>
        <w:tc>
          <w:tcPr>
            <w:tcW w:w="6588" w:type="dxa"/>
          </w:tcPr>
          <w:p w14:paraId="5300A080" w14:textId="50A52FEE" w:rsidR="005A57AB" w:rsidRPr="005A57AB" w:rsidRDefault="00852C50" w:rsidP="005A57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4000">
              <w:rPr>
                <w:rFonts w:ascii="Arial" w:hAnsi="Arial" w:cs="Arial"/>
                <w:sz w:val="22"/>
                <w:szCs w:val="22"/>
              </w:rPr>
              <w:t>The ERCOT business unit or division responsible for determining the value, criticality, and management of ERCOT Information assets.  The Information Owner should delegate this responsibility to a designated Information Manager.</w:t>
            </w:r>
          </w:p>
        </w:tc>
      </w:tr>
      <w:tr w:rsidR="005A57AB" w:rsidRPr="004412D4" w14:paraId="25B85194" w14:textId="77777777" w:rsidTr="00852C50">
        <w:tc>
          <w:tcPr>
            <w:tcW w:w="2430" w:type="dxa"/>
          </w:tcPr>
          <w:p w14:paraId="39A9D658" w14:textId="77777777" w:rsidR="005A57AB" w:rsidRPr="004412D4" w:rsidRDefault="005A57AB" w:rsidP="005A57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Personnel</w:t>
            </w:r>
          </w:p>
        </w:tc>
        <w:tc>
          <w:tcPr>
            <w:tcW w:w="6588" w:type="dxa"/>
          </w:tcPr>
          <w:p w14:paraId="65E4AEE9" w14:textId="77777777" w:rsidR="00852C50" w:rsidRPr="00424000" w:rsidRDefault="00852C50" w:rsidP="00661D4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4000">
              <w:rPr>
                <w:rFonts w:ascii="Arial" w:hAnsi="Arial" w:cs="Arial"/>
                <w:sz w:val="22"/>
                <w:szCs w:val="22"/>
              </w:rPr>
              <w:t>Persons who need to access ERCOT facilities or systems, networks or information including:</w:t>
            </w:r>
          </w:p>
          <w:p w14:paraId="1116FB63" w14:textId="4E4DB1FB" w:rsidR="00852C50" w:rsidRPr="00424000" w:rsidRDefault="00852C50" w:rsidP="00852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 E</w:t>
            </w:r>
            <w:r w:rsidRPr="00424000">
              <w:rPr>
                <w:rFonts w:ascii="Arial" w:hAnsi="Arial" w:cs="Arial"/>
                <w:sz w:val="22"/>
                <w:szCs w:val="22"/>
              </w:rPr>
              <w:t>mployees and Contract Workers;</w:t>
            </w:r>
          </w:p>
          <w:p w14:paraId="39B6B72B" w14:textId="77777777" w:rsidR="00852C50" w:rsidRPr="00424000" w:rsidRDefault="00852C50" w:rsidP="00852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424000">
              <w:rPr>
                <w:rFonts w:ascii="Arial" w:hAnsi="Arial" w:cs="Arial"/>
                <w:sz w:val="22"/>
                <w:szCs w:val="22"/>
              </w:rPr>
              <w:t xml:space="preserve">Independent Market Monitor (IMM) employees and </w:t>
            </w:r>
            <w:r w:rsidRPr="00424000">
              <w:rPr>
                <w:rFonts w:ascii="Arial" w:hAnsi="Arial" w:cs="Arial"/>
                <w:sz w:val="22"/>
                <w:szCs w:val="22"/>
              </w:rPr>
              <w:lastRenderedPageBreak/>
              <w:t>Contract Workers;</w:t>
            </w:r>
          </w:p>
          <w:p w14:paraId="319DBAEC" w14:textId="1FA3464B" w:rsidR="00661D4C" w:rsidRDefault="00852C50" w:rsidP="00852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424000">
              <w:rPr>
                <w:rFonts w:ascii="Arial" w:hAnsi="Arial" w:cs="Arial"/>
                <w:sz w:val="22"/>
                <w:szCs w:val="22"/>
              </w:rPr>
              <w:t>Public Utility Commission of Texas staff members or Contract Workers;</w:t>
            </w:r>
          </w:p>
          <w:p w14:paraId="4390D140" w14:textId="04BB0D88" w:rsidR="005A57AB" w:rsidRPr="00661D4C" w:rsidRDefault="00852C50" w:rsidP="00661D4C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61D4C">
              <w:rPr>
                <w:rFonts w:ascii="Arial" w:hAnsi="Arial" w:cs="Arial"/>
                <w:sz w:val="22"/>
                <w:szCs w:val="22"/>
              </w:rPr>
              <w:t>ERCOT Board of Directors members and Board Segment Alternates</w:t>
            </w:r>
          </w:p>
        </w:tc>
      </w:tr>
      <w:tr w:rsidR="00AA7C88" w:rsidRPr="004412D4" w14:paraId="1675B831" w14:textId="77777777" w:rsidTr="00852C50">
        <w:tc>
          <w:tcPr>
            <w:tcW w:w="2430" w:type="dxa"/>
            <w:tcBorders>
              <w:bottom w:val="single" w:sz="4" w:space="0" w:color="auto"/>
            </w:tcBorders>
          </w:tcPr>
          <w:p w14:paraId="2B1E5FA0" w14:textId="77777777" w:rsidR="00AA7C88" w:rsidRPr="004412D4" w:rsidRDefault="00AA7C88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  <w:lang w:val="en"/>
              </w:rPr>
              <w:lastRenderedPageBreak/>
              <w:t>PCII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7475431" w14:textId="77777777" w:rsidR="00AA7C88" w:rsidRPr="004412D4" w:rsidRDefault="00AA7C88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  <w:lang w:val="en"/>
              </w:rPr>
              <w:t xml:space="preserve">Protected Critical Infrastructure Information </w:t>
            </w:r>
            <w:r w:rsidRPr="004412D4">
              <w:rPr>
                <w:rFonts w:ascii="Arial" w:hAnsi="Arial" w:cs="Arial"/>
                <w:sz w:val="22"/>
                <w:szCs w:val="22"/>
              </w:rPr>
              <w:t>pursuant to Department of Homeland Security rules</w:t>
            </w:r>
          </w:p>
        </w:tc>
      </w:tr>
      <w:tr w:rsidR="00412D46" w:rsidRPr="004412D4" w14:paraId="2AD0C4EB" w14:textId="77777777" w:rsidTr="00852C5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469" w14:textId="77777777" w:rsidR="00412D46" w:rsidRPr="004412D4" w:rsidRDefault="00412D46" w:rsidP="00703C48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_Toc130908461"/>
            <w:bookmarkEnd w:id="9"/>
            <w:r w:rsidRPr="004412D4">
              <w:rPr>
                <w:rFonts w:ascii="Arial" w:hAnsi="Arial" w:cs="Arial"/>
                <w:sz w:val="22"/>
                <w:szCs w:val="22"/>
              </w:rPr>
              <w:t>Personnel Records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D0F" w14:textId="1F50FF71" w:rsidR="00412D46" w:rsidRPr="004412D4" w:rsidRDefault="00412D46" w:rsidP="00661D4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Individual employees’  and employment candidates’ personal information such as contact information, social security numbers, driver license numbers, compensation rates, performance evaluations, disciplinary actions, and PHI.</w:t>
            </w:r>
            <w:r w:rsidR="00412F15" w:rsidRPr="004412D4">
              <w:rPr>
                <w:rFonts w:ascii="Arial" w:hAnsi="Arial" w:cs="Arial"/>
                <w:sz w:val="22"/>
                <w:szCs w:val="22"/>
              </w:rPr>
              <w:t xml:space="preserve">  Included are records maintained in paper files, electronic files, candidate tracking systems, payroll systems, and HRIS systems.</w:t>
            </w:r>
          </w:p>
        </w:tc>
      </w:tr>
      <w:tr w:rsidR="00CD6625" w:rsidRPr="004412D4" w14:paraId="19A97F1F" w14:textId="77777777" w:rsidTr="00852C50"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14:paraId="3BB3D6DD" w14:textId="3D7FA8CE" w:rsidR="00CD6625" w:rsidRPr="004412D4" w:rsidRDefault="00CD6625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PHI</w:t>
            </w:r>
          </w:p>
        </w:tc>
        <w:tc>
          <w:tcPr>
            <w:tcW w:w="6588" w:type="dxa"/>
            <w:tcBorders>
              <w:top w:val="single" w:sz="4" w:space="0" w:color="auto"/>
              <w:right w:val="single" w:sz="4" w:space="0" w:color="auto"/>
            </w:tcBorders>
          </w:tcPr>
          <w:p w14:paraId="7D46A15E" w14:textId="5BF7FBBF" w:rsidR="00CD6625" w:rsidRPr="004412D4" w:rsidRDefault="00CD6625" w:rsidP="00703C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12D4">
              <w:rPr>
                <w:rFonts w:ascii="Arial" w:hAnsi="Arial" w:cs="Arial"/>
                <w:sz w:val="22"/>
                <w:szCs w:val="22"/>
              </w:rPr>
              <w:t>Protected Health Information as defined by the Health Information Privacy and Protection Act.</w:t>
            </w:r>
          </w:p>
        </w:tc>
      </w:tr>
    </w:tbl>
    <w:p w14:paraId="6E112F1E" w14:textId="77777777" w:rsidR="004D7AA6" w:rsidRPr="004D7AA6" w:rsidRDefault="004D7AA6" w:rsidP="004D7AA6">
      <w:pPr>
        <w:jc w:val="both"/>
        <w:rPr>
          <w:rFonts w:ascii="Arial" w:hAnsi="Arial" w:cs="Arial"/>
          <w:i/>
        </w:rPr>
      </w:pPr>
    </w:p>
    <w:p w14:paraId="4157C8BD" w14:textId="77777777" w:rsidR="005F788B" w:rsidRPr="004412D4" w:rsidRDefault="005F788B" w:rsidP="005F788B">
      <w:pPr>
        <w:pStyle w:val="Heading1"/>
        <w:numPr>
          <w:ilvl w:val="0"/>
          <w:numId w:val="16"/>
        </w:numPr>
        <w:jc w:val="both"/>
        <w:rPr>
          <w:i/>
        </w:rPr>
      </w:pPr>
      <w:r w:rsidRPr="004412D4">
        <w:rPr>
          <w:i/>
        </w:rPr>
        <w:t>Information Classification</w:t>
      </w:r>
    </w:p>
    <w:p w14:paraId="28FDFDDA" w14:textId="349AAEA9" w:rsidR="005F788B" w:rsidRPr="004412D4" w:rsidRDefault="005F788B" w:rsidP="005F788B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>Information falls within one of three classifications</w:t>
      </w:r>
      <w:r w:rsidR="008C6EC9" w:rsidRPr="004412D4">
        <w:rPr>
          <w:rFonts w:ascii="Arial" w:hAnsi="Arial" w:cs="Arial"/>
        </w:rPr>
        <w:t>:</w:t>
      </w:r>
      <w:r w:rsidRPr="004412D4">
        <w:rPr>
          <w:rFonts w:ascii="Arial" w:hAnsi="Arial" w:cs="Arial"/>
        </w:rPr>
        <w:t xml:space="preserve"> </w:t>
      </w:r>
      <w:r w:rsidRPr="004412D4">
        <w:rPr>
          <w:rFonts w:ascii="Arial" w:hAnsi="Arial" w:cs="Arial"/>
          <w:b/>
          <w:bCs/>
        </w:rPr>
        <w:t>Public,</w:t>
      </w:r>
      <w:r w:rsidRPr="004412D4">
        <w:rPr>
          <w:rFonts w:ascii="Arial" w:hAnsi="Arial" w:cs="Arial"/>
          <w:b/>
        </w:rPr>
        <w:t xml:space="preserve"> </w:t>
      </w:r>
      <w:r w:rsidRPr="004412D4">
        <w:rPr>
          <w:rFonts w:ascii="Arial" w:hAnsi="Arial" w:cs="Arial"/>
          <w:b/>
          <w:bCs/>
        </w:rPr>
        <w:t xml:space="preserve">ERCOT Internal, </w:t>
      </w:r>
      <w:r w:rsidRPr="004412D4">
        <w:rPr>
          <w:rFonts w:ascii="Arial" w:hAnsi="Arial" w:cs="Arial"/>
          <w:bCs/>
        </w:rPr>
        <w:t>and</w:t>
      </w:r>
      <w:r w:rsidRPr="00E87F5A">
        <w:rPr>
          <w:rFonts w:ascii="Arial" w:hAnsi="Arial" w:cs="Arial"/>
          <w:b/>
        </w:rPr>
        <w:t xml:space="preserve"> </w:t>
      </w:r>
      <w:r w:rsidRPr="004412D4">
        <w:rPr>
          <w:rFonts w:ascii="Arial" w:hAnsi="Arial" w:cs="Arial"/>
          <w:b/>
        </w:rPr>
        <w:t xml:space="preserve">ERCOT </w:t>
      </w:r>
      <w:r w:rsidRPr="004412D4">
        <w:rPr>
          <w:rFonts w:ascii="Arial" w:hAnsi="Arial" w:cs="Arial"/>
          <w:b/>
          <w:bCs/>
        </w:rPr>
        <w:t>Confidential.</w:t>
      </w:r>
      <w:r w:rsidR="00C06D37" w:rsidRPr="004412D4">
        <w:rPr>
          <w:rFonts w:ascii="Arial" w:hAnsi="Arial" w:cs="Arial"/>
          <w:b/>
          <w:bCs/>
        </w:rPr>
        <w:t xml:space="preserve"> </w:t>
      </w:r>
      <w:r w:rsidRPr="004412D4">
        <w:rPr>
          <w:rFonts w:ascii="Arial" w:hAnsi="Arial" w:cs="Arial"/>
        </w:rPr>
        <w:t>Information</w:t>
      </w:r>
      <w:r w:rsidR="008C6EC9" w:rsidRPr="004412D4">
        <w:rPr>
          <w:rFonts w:ascii="Arial" w:hAnsi="Arial" w:cs="Arial"/>
        </w:rPr>
        <w:t xml:space="preserve"> </w:t>
      </w:r>
      <w:r w:rsidR="00C06D37" w:rsidRPr="004412D4">
        <w:rPr>
          <w:rFonts w:ascii="Arial" w:hAnsi="Arial" w:cs="Arial"/>
        </w:rPr>
        <w:t xml:space="preserve">is </w:t>
      </w:r>
      <w:r w:rsidR="008C6EC9" w:rsidRPr="004412D4">
        <w:rPr>
          <w:rFonts w:ascii="Arial" w:hAnsi="Arial" w:cs="Arial"/>
        </w:rPr>
        <w:t>classif</w:t>
      </w:r>
      <w:r w:rsidR="00C06D37" w:rsidRPr="004412D4">
        <w:rPr>
          <w:rFonts w:ascii="Arial" w:hAnsi="Arial" w:cs="Arial"/>
        </w:rPr>
        <w:t>ied</w:t>
      </w:r>
      <w:r w:rsidR="008C6EC9" w:rsidRPr="004412D4">
        <w:rPr>
          <w:rFonts w:ascii="Arial" w:hAnsi="Arial" w:cs="Arial"/>
        </w:rPr>
        <w:t xml:space="preserve"> </w:t>
      </w:r>
      <w:r w:rsidRPr="004412D4">
        <w:rPr>
          <w:rFonts w:ascii="Arial" w:hAnsi="Arial" w:cs="Arial"/>
        </w:rPr>
        <w:t xml:space="preserve">according to </w:t>
      </w:r>
      <w:r w:rsidR="008C6EC9" w:rsidRPr="004412D4">
        <w:rPr>
          <w:rFonts w:ascii="Arial" w:hAnsi="Arial" w:cs="Arial"/>
        </w:rPr>
        <w:t xml:space="preserve">the </w:t>
      </w:r>
      <w:r w:rsidRPr="004412D4">
        <w:rPr>
          <w:rFonts w:ascii="Arial" w:hAnsi="Arial" w:cs="Arial"/>
        </w:rPr>
        <w:t>most sensitive details</w:t>
      </w:r>
      <w:r w:rsidR="008C6EC9" w:rsidRPr="004412D4">
        <w:rPr>
          <w:rFonts w:ascii="Arial" w:hAnsi="Arial" w:cs="Arial"/>
        </w:rPr>
        <w:t xml:space="preserve"> of the Information</w:t>
      </w:r>
      <w:r w:rsidRPr="004412D4">
        <w:rPr>
          <w:rFonts w:ascii="Arial" w:hAnsi="Arial" w:cs="Arial"/>
        </w:rPr>
        <w:t xml:space="preserve">. </w:t>
      </w:r>
      <w:r w:rsidR="008C6EC9" w:rsidRPr="004412D4">
        <w:rPr>
          <w:rFonts w:ascii="Arial" w:hAnsi="Arial" w:cs="Arial"/>
        </w:rPr>
        <w:t>T</w:t>
      </w:r>
      <w:r w:rsidRPr="004412D4">
        <w:rPr>
          <w:rFonts w:ascii="Arial" w:hAnsi="Arial" w:cs="Arial"/>
        </w:rPr>
        <w:t xml:space="preserve">he default classification for Information is </w:t>
      </w:r>
      <w:r w:rsidRPr="004412D4">
        <w:rPr>
          <w:rFonts w:ascii="Arial" w:hAnsi="Arial" w:cs="Arial"/>
          <w:b/>
        </w:rPr>
        <w:t>ERCOT</w:t>
      </w:r>
      <w:r w:rsidRPr="004412D4">
        <w:rPr>
          <w:rFonts w:ascii="Arial" w:hAnsi="Arial" w:cs="Arial"/>
        </w:rPr>
        <w:t xml:space="preserve"> </w:t>
      </w:r>
      <w:r w:rsidRPr="004412D4">
        <w:rPr>
          <w:rFonts w:ascii="Arial" w:hAnsi="Arial" w:cs="Arial"/>
          <w:b/>
        </w:rPr>
        <w:t>Internal</w:t>
      </w:r>
      <w:r w:rsidRPr="004412D4">
        <w:rPr>
          <w:rFonts w:ascii="Arial" w:hAnsi="Arial" w:cs="Arial"/>
          <w:b/>
          <w:bCs/>
        </w:rPr>
        <w:t>.</w:t>
      </w:r>
    </w:p>
    <w:p w14:paraId="5522B8DD" w14:textId="77777777" w:rsidR="001F53AD" w:rsidRPr="004412D4" w:rsidRDefault="001F53AD" w:rsidP="005F788B">
      <w:pPr>
        <w:pStyle w:val="Heading2"/>
        <w:tabs>
          <w:tab w:val="center" w:pos="4860"/>
        </w:tabs>
        <w:jc w:val="both"/>
        <w:rPr>
          <w:sz w:val="24"/>
          <w:szCs w:val="24"/>
        </w:rPr>
      </w:pPr>
      <w:r w:rsidRPr="004412D4">
        <w:rPr>
          <w:sz w:val="24"/>
          <w:szCs w:val="24"/>
        </w:rPr>
        <w:t xml:space="preserve">Public </w:t>
      </w:r>
    </w:p>
    <w:p w14:paraId="5CC58445" w14:textId="551044C5" w:rsidR="00E6717C" w:rsidRPr="004412D4" w:rsidRDefault="00131541" w:rsidP="00077F1C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Information </w:t>
      </w:r>
      <w:r w:rsidR="00E6717C" w:rsidRPr="004412D4">
        <w:rPr>
          <w:rFonts w:ascii="Arial" w:hAnsi="Arial" w:cs="Arial"/>
        </w:rPr>
        <w:t xml:space="preserve">officially released </w:t>
      </w:r>
      <w:r w:rsidRPr="004412D4">
        <w:rPr>
          <w:rFonts w:ascii="Arial" w:hAnsi="Arial" w:cs="Arial"/>
        </w:rPr>
        <w:t>for public disclosure</w:t>
      </w:r>
      <w:r w:rsidR="0041140A" w:rsidRPr="004412D4">
        <w:rPr>
          <w:rFonts w:ascii="Arial" w:hAnsi="Arial" w:cs="Arial"/>
        </w:rPr>
        <w:t>.</w:t>
      </w:r>
      <w:r w:rsidR="00E6717C" w:rsidRPr="004412D4">
        <w:rPr>
          <w:rFonts w:ascii="Arial" w:hAnsi="Arial" w:cs="Arial"/>
        </w:rPr>
        <w:t xml:space="preserve"> Careful consideration should be given before classifying information as Public and releasing outside of ERCOT. Release of this information represents no to minimal risk.</w:t>
      </w:r>
    </w:p>
    <w:p w14:paraId="5522B8DF" w14:textId="039951C2" w:rsidR="00282261" w:rsidRPr="004412D4" w:rsidRDefault="00C47CB6" w:rsidP="00077F1C">
      <w:pPr>
        <w:pStyle w:val="Heading2"/>
        <w:tabs>
          <w:tab w:val="center" w:pos="4860"/>
        </w:tabs>
        <w:jc w:val="both"/>
        <w:rPr>
          <w:sz w:val="24"/>
          <w:szCs w:val="24"/>
        </w:rPr>
      </w:pPr>
      <w:bookmarkStart w:id="11" w:name="_Toc130908462"/>
      <w:bookmarkEnd w:id="10"/>
      <w:r w:rsidRPr="004412D4">
        <w:rPr>
          <w:sz w:val="24"/>
          <w:szCs w:val="24"/>
        </w:rPr>
        <w:t xml:space="preserve">ERCOT </w:t>
      </w:r>
      <w:bookmarkEnd w:id="11"/>
      <w:r w:rsidR="00100662" w:rsidRPr="004412D4">
        <w:rPr>
          <w:sz w:val="24"/>
          <w:szCs w:val="24"/>
        </w:rPr>
        <w:t>Internal</w:t>
      </w:r>
    </w:p>
    <w:p w14:paraId="5522B8E0" w14:textId="362D0ED3" w:rsidR="001E6DC2" w:rsidRPr="004412D4" w:rsidRDefault="00253C42" w:rsidP="005F788B">
      <w:pPr>
        <w:pStyle w:val="BodyText"/>
        <w:tabs>
          <w:tab w:val="num" w:pos="2880"/>
        </w:tabs>
        <w:spacing w:after="0"/>
        <w:jc w:val="both"/>
        <w:rPr>
          <w:rFonts w:cs="Arial"/>
          <w:sz w:val="24"/>
          <w:szCs w:val="24"/>
        </w:rPr>
      </w:pPr>
      <w:r w:rsidRPr="004412D4">
        <w:rPr>
          <w:rFonts w:cs="Arial"/>
          <w:sz w:val="24"/>
          <w:szCs w:val="24"/>
        </w:rPr>
        <w:t>Information</w:t>
      </w:r>
      <w:r w:rsidR="00C47CB6" w:rsidRPr="004412D4">
        <w:rPr>
          <w:rFonts w:cs="Arial"/>
          <w:sz w:val="24"/>
          <w:szCs w:val="24"/>
        </w:rPr>
        <w:t xml:space="preserve"> </w:t>
      </w:r>
      <w:r w:rsidR="00D07560" w:rsidRPr="004412D4">
        <w:rPr>
          <w:rFonts w:cs="Arial"/>
          <w:sz w:val="24"/>
          <w:szCs w:val="24"/>
        </w:rPr>
        <w:t xml:space="preserve">intended for </w:t>
      </w:r>
      <w:r w:rsidR="00A45174" w:rsidRPr="004412D4">
        <w:rPr>
          <w:rFonts w:cs="Arial"/>
          <w:sz w:val="24"/>
          <w:szCs w:val="24"/>
        </w:rPr>
        <w:t>u</w:t>
      </w:r>
      <w:r w:rsidR="00D07560" w:rsidRPr="004412D4">
        <w:rPr>
          <w:rFonts w:cs="Arial"/>
          <w:sz w:val="24"/>
          <w:szCs w:val="24"/>
        </w:rPr>
        <w:t>se within ERCOT</w:t>
      </w:r>
      <w:r w:rsidR="00E6717C" w:rsidRPr="004412D4">
        <w:rPr>
          <w:rFonts w:cs="Arial"/>
          <w:sz w:val="24"/>
          <w:szCs w:val="24"/>
        </w:rPr>
        <w:t xml:space="preserve"> </w:t>
      </w:r>
      <w:r w:rsidR="0041140A" w:rsidRPr="004412D4">
        <w:rPr>
          <w:rFonts w:cs="Arial"/>
          <w:sz w:val="24"/>
          <w:szCs w:val="24"/>
        </w:rPr>
        <w:t>and</w:t>
      </w:r>
      <w:r w:rsidR="00C47CB6" w:rsidRPr="004412D4">
        <w:rPr>
          <w:rFonts w:cs="Arial"/>
          <w:sz w:val="24"/>
          <w:szCs w:val="24"/>
        </w:rPr>
        <w:t xml:space="preserve"> for which inadvertent access or disclosure represents a </w:t>
      </w:r>
      <w:r w:rsidR="001E6DC2" w:rsidRPr="004412D4">
        <w:rPr>
          <w:rFonts w:cs="Arial"/>
          <w:sz w:val="24"/>
          <w:szCs w:val="24"/>
        </w:rPr>
        <w:t>minimal</w:t>
      </w:r>
      <w:r w:rsidR="00C47CB6" w:rsidRPr="004412D4">
        <w:rPr>
          <w:rFonts w:cs="Arial"/>
          <w:sz w:val="24"/>
          <w:szCs w:val="24"/>
        </w:rPr>
        <w:t xml:space="preserve"> </w:t>
      </w:r>
      <w:r w:rsidR="001E6DC2" w:rsidRPr="004412D4">
        <w:rPr>
          <w:rFonts w:cs="Arial"/>
          <w:sz w:val="24"/>
          <w:szCs w:val="24"/>
        </w:rPr>
        <w:t>risk</w:t>
      </w:r>
      <w:r w:rsidR="00E6717C" w:rsidRPr="004412D4">
        <w:rPr>
          <w:rFonts w:cs="Arial"/>
          <w:sz w:val="24"/>
          <w:szCs w:val="24"/>
        </w:rPr>
        <w:t>.</w:t>
      </w:r>
      <w:r w:rsidR="001E6DC2" w:rsidRPr="004412D4">
        <w:rPr>
          <w:rFonts w:cs="Arial"/>
          <w:sz w:val="24"/>
          <w:szCs w:val="24"/>
        </w:rPr>
        <w:t xml:space="preserve"> </w:t>
      </w:r>
    </w:p>
    <w:p w14:paraId="5522B8E1" w14:textId="56DAFDAC" w:rsidR="001F53AD" w:rsidRPr="004412D4" w:rsidRDefault="001F53AD" w:rsidP="005F788B">
      <w:pPr>
        <w:pStyle w:val="Heading2"/>
        <w:jc w:val="both"/>
        <w:rPr>
          <w:sz w:val="24"/>
          <w:szCs w:val="24"/>
        </w:rPr>
      </w:pPr>
      <w:r w:rsidRPr="004412D4">
        <w:rPr>
          <w:sz w:val="24"/>
          <w:szCs w:val="24"/>
        </w:rPr>
        <w:t xml:space="preserve">ERCOT </w:t>
      </w:r>
      <w:r w:rsidR="00100662" w:rsidRPr="004412D4">
        <w:rPr>
          <w:sz w:val="24"/>
          <w:szCs w:val="24"/>
        </w:rPr>
        <w:t>Confidential</w:t>
      </w:r>
    </w:p>
    <w:p w14:paraId="46545B83" w14:textId="799E9349" w:rsidR="00C976FC" w:rsidRPr="00E87F5A" w:rsidRDefault="001F53AD" w:rsidP="00956FC5">
      <w:pPr>
        <w:jc w:val="both"/>
        <w:rPr>
          <w:rFonts w:ascii="Arial" w:hAnsi="Arial" w:cs="Arial"/>
        </w:rPr>
      </w:pPr>
      <w:r w:rsidRPr="00E87F5A">
        <w:rPr>
          <w:rFonts w:ascii="Arial" w:hAnsi="Arial" w:cs="Arial"/>
        </w:rPr>
        <w:t xml:space="preserve">Information </w:t>
      </w:r>
      <w:r w:rsidR="00910149" w:rsidRPr="00E87F5A">
        <w:rPr>
          <w:rFonts w:ascii="Arial" w:hAnsi="Arial" w:cs="Arial"/>
        </w:rPr>
        <w:t xml:space="preserve">intended for </w:t>
      </w:r>
      <w:r w:rsidR="00E6717C" w:rsidRPr="00E87F5A">
        <w:rPr>
          <w:rFonts w:ascii="Arial" w:hAnsi="Arial" w:cs="Arial"/>
        </w:rPr>
        <w:t xml:space="preserve">very limited </w:t>
      </w:r>
      <w:r w:rsidR="00910149" w:rsidRPr="00E87F5A">
        <w:rPr>
          <w:rFonts w:ascii="Arial" w:hAnsi="Arial" w:cs="Arial"/>
        </w:rPr>
        <w:t>use within ERCOT and</w:t>
      </w:r>
      <w:r w:rsidR="00E6717C" w:rsidRPr="00E87F5A">
        <w:rPr>
          <w:rFonts w:ascii="Arial" w:hAnsi="Arial" w:cs="Arial"/>
        </w:rPr>
        <w:t xml:space="preserve"> </w:t>
      </w:r>
      <w:r w:rsidR="00C976FC" w:rsidRPr="00E87F5A">
        <w:rPr>
          <w:rFonts w:ascii="Arial" w:hAnsi="Arial" w:cs="Arial"/>
        </w:rPr>
        <w:t xml:space="preserve">for which inadvertent access or </w:t>
      </w:r>
      <w:r w:rsidRPr="00E87F5A">
        <w:rPr>
          <w:rFonts w:ascii="Arial" w:hAnsi="Arial" w:cs="Arial"/>
        </w:rPr>
        <w:t xml:space="preserve">disclosure </w:t>
      </w:r>
      <w:r w:rsidR="00C976FC" w:rsidRPr="00E87F5A">
        <w:rPr>
          <w:rFonts w:ascii="Arial" w:hAnsi="Arial" w:cs="Arial"/>
        </w:rPr>
        <w:t>represents</w:t>
      </w:r>
      <w:r w:rsidRPr="00E87F5A">
        <w:rPr>
          <w:rFonts w:ascii="Arial" w:hAnsi="Arial" w:cs="Arial"/>
        </w:rPr>
        <w:t xml:space="preserve"> </w:t>
      </w:r>
      <w:r w:rsidR="001E6DC2" w:rsidRPr="00E87F5A">
        <w:rPr>
          <w:rFonts w:ascii="Arial" w:hAnsi="Arial" w:cs="Arial"/>
        </w:rPr>
        <w:t xml:space="preserve">at least </w:t>
      </w:r>
      <w:r w:rsidR="00E6717C" w:rsidRPr="00E87F5A">
        <w:rPr>
          <w:rFonts w:ascii="Arial" w:hAnsi="Arial" w:cs="Arial"/>
        </w:rPr>
        <w:t>moderate</w:t>
      </w:r>
      <w:r w:rsidR="001E6DC2" w:rsidRPr="00E87F5A">
        <w:rPr>
          <w:rFonts w:ascii="Arial" w:hAnsi="Arial" w:cs="Arial"/>
        </w:rPr>
        <w:t xml:space="preserve"> risk</w:t>
      </w:r>
      <w:r w:rsidR="00E6717C" w:rsidRPr="00E87F5A">
        <w:rPr>
          <w:rFonts w:ascii="Arial" w:hAnsi="Arial" w:cs="Arial"/>
        </w:rPr>
        <w:t>.</w:t>
      </w:r>
      <w:r w:rsidR="00C62BFB" w:rsidRPr="00E87F5A">
        <w:rPr>
          <w:rFonts w:ascii="Arial" w:hAnsi="Arial" w:cs="Arial"/>
        </w:rPr>
        <w:t xml:space="preserve">  </w:t>
      </w:r>
    </w:p>
    <w:p w14:paraId="5DDDA027" w14:textId="77777777" w:rsidR="00C976FC" w:rsidRPr="00E87F5A" w:rsidRDefault="00C976FC" w:rsidP="00956FC5">
      <w:pPr>
        <w:jc w:val="both"/>
        <w:rPr>
          <w:rFonts w:ascii="Arial" w:hAnsi="Arial" w:cs="Arial"/>
        </w:rPr>
      </w:pPr>
    </w:p>
    <w:p w14:paraId="5522B8E2" w14:textId="4393F300" w:rsidR="001E6DC2" w:rsidRPr="004412D4" w:rsidRDefault="00C976FC" w:rsidP="00956FC5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Information classified as </w:t>
      </w:r>
      <w:r w:rsidR="001320E2" w:rsidRPr="004412D4">
        <w:rPr>
          <w:rFonts w:ascii="Arial" w:hAnsi="Arial" w:cs="Arial"/>
          <w:b/>
        </w:rPr>
        <w:t xml:space="preserve">ERCOT </w:t>
      </w:r>
      <w:r w:rsidR="00100662" w:rsidRPr="004412D4">
        <w:rPr>
          <w:rFonts w:ascii="Arial" w:hAnsi="Arial" w:cs="Arial"/>
          <w:b/>
        </w:rPr>
        <w:t>Confidential</w:t>
      </w:r>
      <w:r w:rsidR="00100662" w:rsidRPr="004412D4">
        <w:rPr>
          <w:rFonts w:ascii="Arial" w:hAnsi="Arial" w:cs="Arial"/>
        </w:rPr>
        <w:t xml:space="preserve"> </w:t>
      </w:r>
      <w:r w:rsidR="001320E2" w:rsidRPr="00E87F5A">
        <w:rPr>
          <w:rFonts w:ascii="Arial" w:hAnsi="Arial" w:cs="Arial"/>
        </w:rPr>
        <w:t>includes</w:t>
      </w:r>
      <w:r w:rsidR="001E6DC2" w:rsidRPr="004412D4">
        <w:rPr>
          <w:rFonts w:ascii="Arial" w:hAnsi="Arial" w:cs="Arial"/>
        </w:rPr>
        <w:t xml:space="preserve">, but is not limited to: </w:t>
      </w:r>
    </w:p>
    <w:p w14:paraId="5522B8E3" w14:textId="77777777" w:rsidR="001E6DC2" w:rsidRPr="004412D4" w:rsidRDefault="001E6DC2" w:rsidP="00956FC5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All BES Cyber System Information; </w:t>
      </w:r>
    </w:p>
    <w:p w14:paraId="5522B8E4" w14:textId="2AB21A99" w:rsidR="001E6DC2" w:rsidRPr="00E87F5A" w:rsidRDefault="001E6DC2" w:rsidP="005F788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>All</w:t>
      </w:r>
      <w:r w:rsidRPr="00E87F5A">
        <w:rPr>
          <w:rFonts w:ascii="Arial" w:hAnsi="Arial" w:cs="Arial"/>
        </w:rPr>
        <w:t xml:space="preserve"> Information that is “Protected Information” </w:t>
      </w:r>
      <w:r w:rsidR="00B85BD7">
        <w:rPr>
          <w:rFonts w:ascii="Arial" w:hAnsi="Arial" w:cs="Arial"/>
        </w:rPr>
        <w:t xml:space="preserve">or “ERCOT </w:t>
      </w:r>
      <w:r w:rsidR="00B85BD7" w:rsidRPr="004412D4">
        <w:rPr>
          <w:rFonts w:ascii="Arial" w:hAnsi="Arial" w:cs="Arial"/>
        </w:rPr>
        <w:t>Critical Energy Infrastructure Information (</w:t>
      </w:r>
      <w:r w:rsidR="00B85BD7">
        <w:rPr>
          <w:rFonts w:ascii="Arial" w:hAnsi="Arial" w:cs="Arial"/>
        </w:rPr>
        <w:t>E</w:t>
      </w:r>
      <w:r w:rsidR="00B85BD7" w:rsidRPr="004412D4">
        <w:rPr>
          <w:rFonts w:ascii="Arial" w:hAnsi="Arial" w:cs="Arial"/>
        </w:rPr>
        <w:t>CEII)</w:t>
      </w:r>
      <w:r w:rsidR="00B85BD7">
        <w:rPr>
          <w:rFonts w:ascii="Arial" w:hAnsi="Arial" w:cs="Arial"/>
        </w:rPr>
        <w:t xml:space="preserve">” </w:t>
      </w:r>
      <w:r w:rsidRPr="00E87F5A">
        <w:rPr>
          <w:rFonts w:ascii="Arial" w:hAnsi="Arial" w:cs="Arial"/>
        </w:rPr>
        <w:t>under the ERCOT Protocols</w:t>
      </w:r>
      <w:r w:rsidRPr="004412D4">
        <w:rPr>
          <w:rFonts w:ascii="Arial" w:hAnsi="Arial" w:cs="Arial"/>
        </w:rPr>
        <w:t xml:space="preserve">; </w:t>
      </w:r>
    </w:p>
    <w:p w14:paraId="033076F5" w14:textId="0E821479" w:rsidR="006B31EA" w:rsidRPr="004412D4" w:rsidRDefault="006B31EA" w:rsidP="00956FC5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</w:rPr>
      </w:pPr>
    </w:p>
    <w:p w14:paraId="5522B8E6" w14:textId="163A0C56" w:rsidR="006A0414" w:rsidRPr="004412D4" w:rsidRDefault="006B31EA" w:rsidP="00A45174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</w:rPr>
      </w:pPr>
      <w:r w:rsidRPr="00E87F5A">
        <w:rPr>
          <w:rFonts w:ascii="Arial" w:hAnsi="Arial" w:cs="Arial"/>
          <w:lang w:val="en"/>
        </w:rPr>
        <w:t xml:space="preserve">Protected Critical Infrastructure Information (PCII); </w:t>
      </w:r>
      <w:r w:rsidR="00A45174" w:rsidRPr="00E87F5A">
        <w:rPr>
          <w:rFonts w:ascii="Arial" w:hAnsi="Arial" w:cs="Arial"/>
          <w:lang w:val="en"/>
        </w:rPr>
        <w:t>and</w:t>
      </w:r>
    </w:p>
    <w:p w14:paraId="37CF42B4" w14:textId="4AB56D16" w:rsidR="00CD6625" w:rsidRPr="004412D4" w:rsidRDefault="005C258F" w:rsidP="00CD6625">
      <w:pPr>
        <w:pStyle w:val="ListParagraph"/>
        <w:numPr>
          <w:ilvl w:val="0"/>
          <w:numId w:val="29"/>
        </w:numPr>
        <w:ind w:left="720"/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>Personnel Records</w:t>
      </w:r>
      <w:r w:rsidR="00CD6625" w:rsidRPr="004412D4">
        <w:rPr>
          <w:rFonts w:ascii="Arial" w:hAnsi="Arial" w:cs="Arial"/>
        </w:rPr>
        <w:t>.</w:t>
      </w:r>
    </w:p>
    <w:p w14:paraId="2D26C3EE" w14:textId="77777777" w:rsidR="005C258F" w:rsidRPr="00E87F5A" w:rsidRDefault="005C258F" w:rsidP="001A4308">
      <w:pPr>
        <w:jc w:val="both"/>
        <w:rPr>
          <w:rFonts w:ascii="Arial" w:hAnsi="Arial" w:cs="Arial"/>
          <w:i/>
        </w:rPr>
      </w:pPr>
    </w:p>
    <w:p w14:paraId="5742BF9B" w14:textId="77777777" w:rsidR="00661D4C" w:rsidRDefault="003E40FC" w:rsidP="001A4308">
      <w:pPr>
        <w:jc w:val="both"/>
        <w:rPr>
          <w:rFonts w:ascii="Arial" w:hAnsi="Arial" w:cs="Arial"/>
          <w:bCs/>
          <w:iCs/>
        </w:rPr>
      </w:pPr>
      <w:r w:rsidRPr="004412D4">
        <w:rPr>
          <w:rFonts w:ascii="Arial" w:hAnsi="Arial" w:cs="Arial"/>
          <w:bCs/>
          <w:iCs/>
        </w:rPr>
        <w:t xml:space="preserve">BES Cyber System Information shall </w:t>
      </w:r>
      <w:r w:rsidR="00C976FC" w:rsidRPr="004412D4">
        <w:rPr>
          <w:rFonts w:ascii="Arial" w:hAnsi="Arial" w:cs="Arial"/>
          <w:bCs/>
          <w:iCs/>
        </w:rPr>
        <w:t xml:space="preserve">also </w:t>
      </w:r>
      <w:r w:rsidR="00A45174" w:rsidRPr="004412D4">
        <w:rPr>
          <w:rFonts w:ascii="Arial" w:hAnsi="Arial" w:cs="Arial"/>
          <w:bCs/>
          <w:iCs/>
        </w:rPr>
        <w:t>be handled</w:t>
      </w:r>
      <w:r w:rsidRPr="004412D4">
        <w:rPr>
          <w:rFonts w:ascii="Arial" w:hAnsi="Arial" w:cs="Arial"/>
          <w:bCs/>
          <w:iCs/>
        </w:rPr>
        <w:t xml:space="preserve"> </w:t>
      </w:r>
      <w:r w:rsidR="00DA2DDE" w:rsidRPr="004412D4">
        <w:rPr>
          <w:rFonts w:ascii="Arial" w:hAnsi="Arial" w:cs="Arial"/>
          <w:bCs/>
          <w:iCs/>
        </w:rPr>
        <w:t>pursuant to a BES Cyber System Information protection program.</w:t>
      </w:r>
      <w:r w:rsidR="00E378F8" w:rsidRPr="004412D4">
        <w:rPr>
          <w:rFonts w:ascii="Arial" w:hAnsi="Arial" w:cs="Arial"/>
          <w:bCs/>
          <w:iCs/>
        </w:rPr>
        <w:t xml:space="preserve"> [CIP-011-1 R1]</w:t>
      </w:r>
    </w:p>
    <w:p w14:paraId="5522B8E9" w14:textId="1620F5CC" w:rsidR="001320E2" w:rsidRPr="004412D4" w:rsidRDefault="001320E2" w:rsidP="001A4308">
      <w:pPr>
        <w:jc w:val="both"/>
        <w:rPr>
          <w:rFonts w:ascii="Arial" w:hAnsi="Arial" w:cs="Arial"/>
          <w:bCs/>
          <w:iCs/>
        </w:rPr>
      </w:pPr>
    </w:p>
    <w:p w14:paraId="5522B8ED" w14:textId="3A93B4FF" w:rsidR="00980AFD" w:rsidRPr="004412D4" w:rsidRDefault="00980AFD" w:rsidP="00956FC5">
      <w:pPr>
        <w:pStyle w:val="Heading1"/>
        <w:numPr>
          <w:ilvl w:val="0"/>
          <w:numId w:val="16"/>
        </w:numPr>
        <w:jc w:val="both"/>
        <w:rPr>
          <w:i/>
        </w:rPr>
      </w:pPr>
      <w:bookmarkStart w:id="12" w:name="CIP3R3_1"/>
      <w:r w:rsidRPr="004412D4">
        <w:rPr>
          <w:i/>
        </w:rPr>
        <w:t>Reporting Improper Disclosure or Loss</w:t>
      </w:r>
    </w:p>
    <w:p w14:paraId="3913F4E1" w14:textId="54B069F0" w:rsidR="00C976FC" w:rsidRDefault="007760EF" w:rsidP="005F788B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Disclosure of information other than BES Cyber System Information shall occur in accordance with the </w:t>
      </w:r>
      <w:r w:rsidRPr="00110522">
        <w:rPr>
          <w:rFonts w:ascii="Arial" w:hAnsi="Arial" w:cs="Arial"/>
          <w:b/>
        </w:rPr>
        <w:t>GL 7.6.1: Information Classification Guideline</w:t>
      </w:r>
      <w:r w:rsidRPr="004412D4">
        <w:rPr>
          <w:rFonts w:ascii="Arial" w:hAnsi="Arial" w:cs="Arial"/>
        </w:rPr>
        <w:t xml:space="preserve">.  </w:t>
      </w:r>
      <w:r w:rsidR="00980AFD" w:rsidRPr="004412D4">
        <w:rPr>
          <w:rFonts w:ascii="Arial" w:hAnsi="Arial" w:cs="Arial"/>
        </w:rPr>
        <w:t xml:space="preserve">Personnel must immediately notify </w:t>
      </w:r>
      <w:r w:rsidR="00C976FC" w:rsidRPr="004412D4">
        <w:rPr>
          <w:rFonts w:ascii="Arial" w:hAnsi="Arial" w:cs="Arial"/>
        </w:rPr>
        <w:t xml:space="preserve">General Counsel </w:t>
      </w:r>
      <w:r w:rsidR="00956FC5" w:rsidRPr="004412D4">
        <w:rPr>
          <w:rFonts w:ascii="Arial" w:hAnsi="Arial" w:cs="Arial"/>
        </w:rPr>
        <w:t xml:space="preserve">at </w:t>
      </w:r>
      <w:hyperlink r:id="rId13" w:history="1">
        <w:r w:rsidR="00FD2852" w:rsidRPr="00E87F5A">
          <w:rPr>
            <w:rStyle w:val="Hyperlink"/>
            <w:rFonts w:ascii="Arial" w:hAnsi="Arial" w:cs="Arial"/>
          </w:rPr>
          <w:t>disclosures@ercot.com</w:t>
        </w:r>
      </w:hyperlink>
      <w:r w:rsidR="00FD2852" w:rsidRPr="004412D4" w:rsidDel="00FD2852">
        <w:rPr>
          <w:rStyle w:val="Hyperlink"/>
          <w:rFonts w:ascii="Arial" w:hAnsi="Arial" w:cs="Arial"/>
        </w:rPr>
        <w:t xml:space="preserve"> </w:t>
      </w:r>
      <w:r w:rsidR="00980AFD" w:rsidRPr="004412D4">
        <w:rPr>
          <w:rFonts w:ascii="Arial" w:hAnsi="Arial" w:cs="Arial"/>
        </w:rPr>
        <w:t>regarding any known or suspected inadvertent or unauthorized disclosure or loss</w:t>
      </w:r>
      <w:r w:rsidR="00980AFD" w:rsidRPr="00E87F5A">
        <w:rPr>
          <w:rFonts w:ascii="Arial" w:hAnsi="Arial" w:cs="Arial"/>
        </w:rPr>
        <w:t xml:space="preserve"> of </w:t>
      </w:r>
      <w:r w:rsidR="00C976FC" w:rsidRPr="00E87F5A">
        <w:rPr>
          <w:rFonts w:ascii="Arial" w:hAnsi="Arial" w:cs="Arial"/>
        </w:rPr>
        <w:t>Information classified as</w:t>
      </w:r>
      <w:r w:rsidR="00E6717C" w:rsidRPr="00E87F5A">
        <w:rPr>
          <w:rFonts w:ascii="Arial" w:hAnsi="Arial" w:cs="Arial"/>
        </w:rPr>
        <w:t xml:space="preserve"> </w:t>
      </w:r>
      <w:r w:rsidR="00980AFD" w:rsidRPr="004412D4">
        <w:rPr>
          <w:rFonts w:ascii="Arial" w:hAnsi="Arial" w:cs="Arial"/>
          <w:b/>
        </w:rPr>
        <w:t xml:space="preserve">ERCOT </w:t>
      </w:r>
      <w:r w:rsidR="00100662" w:rsidRPr="004412D4">
        <w:rPr>
          <w:rFonts w:ascii="Arial" w:hAnsi="Arial" w:cs="Arial"/>
          <w:b/>
        </w:rPr>
        <w:t xml:space="preserve">Internal </w:t>
      </w:r>
      <w:r w:rsidR="00956FC5" w:rsidRPr="004412D4">
        <w:rPr>
          <w:rFonts w:ascii="Arial" w:hAnsi="Arial" w:cs="Arial"/>
        </w:rPr>
        <w:t>or</w:t>
      </w:r>
      <w:r w:rsidR="00956FC5" w:rsidRPr="004412D4">
        <w:rPr>
          <w:rFonts w:ascii="Arial" w:hAnsi="Arial" w:cs="Arial"/>
          <w:b/>
        </w:rPr>
        <w:t xml:space="preserve"> </w:t>
      </w:r>
      <w:r w:rsidR="00980AFD" w:rsidRPr="004412D4">
        <w:rPr>
          <w:rFonts w:ascii="Arial" w:hAnsi="Arial" w:cs="Arial"/>
          <w:b/>
        </w:rPr>
        <w:t xml:space="preserve">ERCOT </w:t>
      </w:r>
      <w:r w:rsidR="00100662" w:rsidRPr="004412D4">
        <w:rPr>
          <w:rFonts w:ascii="Arial" w:hAnsi="Arial" w:cs="Arial"/>
          <w:b/>
        </w:rPr>
        <w:t>Confidential</w:t>
      </w:r>
      <w:r w:rsidR="00C976FC" w:rsidRPr="004412D4">
        <w:rPr>
          <w:rFonts w:ascii="Arial" w:hAnsi="Arial" w:cs="Arial"/>
          <w:b/>
        </w:rPr>
        <w:t>.</w:t>
      </w:r>
      <w:r w:rsidRPr="004412D4">
        <w:rPr>
          <w:rFonts w:ascii="Arial" w:hAnsi="Arial" w:cs="Arial"/>
          <w:b/>
        </w:rPr>
        <w:t xml:space="preserve">  </w:t>
      </w:r>
      <w:r w:rsidRPr="004412D4">
        <w:rPr>
          <w:rFonts w:ascii="Arial" w:hAnsi="Arial" w:cs="Arial"/>
        </w:rPr>
        <w:t xml:space="preserve">Any requests for an exception to this corporate standard must be completed by contacting the General Counsel department at </w:t>
      </w:r>
      <w:hyperlink r:id="rId14" w:history="1">
        <w:r w:rsidRPr="00E87F5A">
          <w:rPr>
            <w:rStyle w:val="Hyperlink"/>
            <w:rFonts w:ascii="Arial" w:hAnsi="Arial" w:cs="Arial"/>
          </w:rPr>
          <w:t>disclosures@ercot.com</w:t>
        </w:r>
      </w:hyperlink>
      <w:r w:rsidR="00AC6D61">
        <w:rPr>
          <w:rFonts w:ascii="Arial" w:hAnsi="Arial" w:cs="Arial"/>
        </w:rPr>
        <w:t>.</w:t>
      </w:r>
    </w:p>
    <w:p w14:paraId="684C5D9E" w14:textId="77777777" w:rsidR="00AC6D61" w:rsidRPr="004412D4" w:rsidRDefault="00AC6D61" w:rsidP="005F788B">
      <w:pPr>
        <w:jc w:val="both"/>
        <w:rPr>
          <w:rFonts w:ascii="Arial" w:hAnsi="Arial" w:cs="Arial"/>
        </w:rPr>
      </w:pPr>
    </w:p>
    <w:p w14:paraId="5522B8F3" w14:textId="7FD9CBB0" w:rsidR="00956FC5" w:rsidRPr="004412D4" w:rsidRDefault="00E05647" w:rsidP="00956FC5">
      <w:pPr>
        <w:pStyle w:val="Heading1"/>
        <w:numPr>
          <w:ilvl w:val="0"/>
          <w:numId w:val="16"/>
        </w:numPr>
        <w:jc w:val="both"/>
        <w:rPr>
          <w:i/>
        </w:rPr>
      </w:pPr>
      <w:bookmarkStart w:id="13" w:name="_Toc130908478"/>
      <w:bookmarkEnd w:id="12"/>
      <w:r w:rsidRPr="004412D4">
        <w:rPr>
          <w:i/>
        </w:rPr>
        <w:t>Roles and Responsibilities</w:t>
      </w:r>
    </w:p>
    <w:p w14:paraId="5522B8F4" w14:textId="7AACC152" w:rsidR="00E145B7" w:rsidRPr="004412D4" w:rsidRDefault="00956FC5" w:rsidP="005F788B">
      <w:pPr>
        <w:jc w:val="both"/>
        <w:rPr>
          <w:rFonts w:ascii="Arial" w:hAnsi="Arial" w:cs="Arial"/>
        </w:rPr>
      </w:pPr>
      <w:bookmarkStart w:id="14" w:name="_Toc130908475"/>
      <w:r w:rsidRPr="004412D4">
        <w:rPr>
          <w:rFonts w:ascii="Arial" w:hAnsi="Arial" w:cs="Arial"/>
        </w:rPr>
        <w:t xml:space="preserve">Critical Infrastructure Security </w:t>
      </w:r>
      <w:r w:rsidR="00DA4693" w:rsidRPr="004412D4">
        <w:rPr>
          <w:rFonts w:ascii="Arial" w:hAnsi="Arial" w:cs="Arial"/>
        </w:rPr>
        <w:t xml:space="preserve">and General Counsel </w:t>
      </w:r>
      <w:r w:rsidRPr="004412D4">
        <w:rPr>
          <w:rFonts w:ascii="Arial" w:hAnsi="Arial" w:cs="Arial"/>
        </w:rPr>
        <w:t>are responsible for updating this corporate standard</w:t>
      </w:r>
      <w:r w:rsidR="00A45174" w:rsidRPr="004412D4">
        <w:rPr>
          <w:rFonts w:ascii="Arial" w:hAnsi="Arial" w:cs="Arial"/>
        </w:rPr>
        <w:t>, supporting</w:t>
      </w:r>
      <w:r w:rsidRPr="004412D4">
        <w:rPr>
          <w:rFonts w:ascii="Arial" w:hAnsi="Arial" w:cs="Arial"/>
        </w:rPr>
        <w:t xml:space="preserve"> </w:t>
      </w:r>
      <w:r w:rsidR="005A57AB">
        <w:rPr>
          <w:rFonts w:ascii="Arial" w:hAnsi="Arial" w:cs="Arial"/>
        </w:rPr>
        <w:t>g</w:t>
      </w:r>
      <w:r w:rsidRPr="004412D4">
        <w:rPr>
          <w:rFonts w:ascii="Arial" w:hAnsi="Arial" w:cs="Arial"/>
        </w:rPr>
        <w:t>uideline</w:t>
      </w:r>
      <w:r w:rsidR="00621A7E" w:rsidRPr="004412D4">
        <w:rPr>
          <w:rFonts w:ascii="Arial" w:hAnsi="Arial" w:cs="Arial"/>
        </w:rPr>
        <w:t xml:space="preserve"> [GL7.6.1]</w:t>
      </w:r>
      <w:r w:rsidRPr="004412D4">
        <w:rPr>
          <w:rFonts w:ascii="Arial" w:hAnsi="Arial" w:cs="Arial"/>
        </w:rPr>
        <w:t xml:space="preserve"> and BES Cyber System Information protection program.</w:t>
      </w:r>
      <w:r w:rsidR="00635F1F" w:rsidRPr="004412D4">
        <w:rPr>
          <w:rFonts w:ascii="Arial" w:hAnsi="Arial" w:cs="Arial"/>
        </w:rPr>
        <w:t xml:space="preserve">  </w:t>
      </w:r>
    </w:p>
    <w:p w14:paraId="5522B8F5" w14:textId="77777777" w:rsidR="00E145B7" w:rsidRPr="004412D4" w:rsidRDefault="00E145B7" w:rsidP="005F788B">
      <w:pPr>
        <w:jc w:val="both"/>
        <w:rPr>
          <w:rFonts w:ascii="Arial" w:hAnsi="Arial" w:cs="Arial"/>
        </w:rPr>
      </w:pPr>
    </w:p>
    <w:p w14:paraId="5522B8F6" w14:textId="5EC89D86" w:rsidR="00E145B7" w:rsidRPr="004412D4" w:rsidRDefault="00E145B7" w:rsidP="00E145B7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Critical Infrastructure Security </w:t>
      </w:r>
      <w:r w:rsidR="00DA4693" w:rsidRPr="004412D4">
        <w:rPr>
          <w:rFonts w:ascii="Arial" w:hAnsi="Arial" w:cs="Arial"/>
        </w:rPr>
        <w:t xml:space="preserve">and General Counsel </w:t>
      </w:r>
      <w:r w:rsidRPr="004412D4">
        <w:rPr>
          <w:rFonts w:ascii="Arial" w:hAnsi="Arial" w:cs="Arial"/>
        </w:rPr>
        <w:t xml:space="preserve">provide training for and ensure consistent communication to ERCOT Personnel regarding this corporate standard at least once every 15 calendar months.  </w:t>
      </w:r>
    </w:p>
    <w:p w14:paraId="50747E1A" w14:textId="44F172D2" w:rsidR="007760EF" w:rsidRPr="004412D4" w:rsidRDefault="007760EF" w:rsidP="00E145B7">
      <w:pPr>
        <w:jc w:val="both"/>
        <w:rPr>
          <w:rFonts w:ascii="Arial" w:hAnsi="Arial" w:cs="Arial"/>
        </w:rPr>
      </w:pPr>
    </w:p>
    <w:p w14:paraId="31773322" w14:textId="0EEE3D61" w:rsidR="007760EF" w:rsidRPr="004412D4" w:rsidRDefault="007760EF" w:rsidP="00E145B7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 xml:space="preserve">Personnel are responsible for implementation of this corporate standard.  </w:t>
      </w:r>
    </w:p>
    <w:p w14:paraId="5522B8F7" w14:textId="77777777" w:rsidR="00E145B7" w:rsidRPr="004412D4" w:rsidRDefault="00E145B7" w:rsidP="00E145B7">
      <w:pPr>
        <w:jc w:val="both"/>
        <w:rPr>
          <w:rFonts w:ascii="Arial" w:hAnsi="Arial" w:cs="Arial"/>
        </w:rPr>
      </w:pPr>
    </w:p>
    <w:p w14:paraId="3A7F08D0" w14:textId="30BAAD9C" w:rsidR="005A57AB" w:rsidRPr="00E87F5A" w:rsidRDefault="00E05647" w:rsidP="005F788B">
      <w:pPr>
        <w:jc w:val="both"/>
        <w:rPr>
          <w:rFonts w:ascii="Arial" w:hAnsi="Arial" w:cs="Arial"/>
        </w:rPr>
      </w:pPr>
      <w:r w:rsidRPr="004412D4">
        <w:rPr>
          <w:rFonts w:ascii="Arial" w:hAnsi="Arial" w:cs="Arial"/>
        </w:rPr>
        <w:t>This corporate standard in no way limits other ERCOT standards, policies and procedures from requiring more specific notification requirements as mandated by regulatory or legal requirements.</w:t>
      </w:r>
      <w:bookmarkEnd w:id="13"/>
      <w:bookmarkEnd w:id="14"/>
    </w:p>
    <w:sectPr w:rsidR="005A57AB" w:rsidRPr="00E87F5A" w:rsidSect="004720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00EA" w14:textId="77777777" w:rsidR="00703C48" w:rsidRDefault="00703C48">
      <w:r>
        <w:separator/>
      </w:r>
    </w:p>
  </w:endnote>
  <w:endnote w:type="continuationSeparator" w:id="0">
    <w:p w14:paraId="36470CEC" w14:textId="77777777" w:rsidR="00703C48" w:rsidRDefault="00703C48">
      <w:r>
        <w:continuationSeparator/>
      </w:r>
    </w:p>
  </w:endnote>
  <w:endnote w:type="continuationNotice" w:id="1">
    <w:p w14:paraId="283BF9A3" w14:textId="77777777" w:rsidR="00703C48" w:rsidRDefault="00703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917" w14:textId="77777777" w:rsidR="00703C48" w:rsidRDefault="00703C48" w:rsidP="00334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2B918" w14:textId="77777777" w:rsidR="00703C48" w:rsidRDefault="00703C48" w:rsidP="003F74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91A" w14:textId="0F397B71" w:rsidR="00703C48" w:rsidRPr="001E69B3" w:rsidRDefault="00703C48" w:rsidP="009A233D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Style w:val="PageNumber"/>
        <w:rFonts w:ascii="Arial" w:hAnsi="Arial" w:cs="Arial"/>
        <w:b/>
        <w:smallCaps/>
        <w:sz w:val="16"/>
        <w:szCs w:val="16"/>
      </w:rPr>
    </w:pPr>
    <w:r w:rsidRPr="00801BE3">
      <w:rPr>
        <w:rFonts w:ascii="Arial" w:hAnsi="Arial" w:cs="Arial"/>
        <w:sz w:val="16"/>
        <w:szCs w:val="16"/>
      </w:rPr>
      <w:t>CS7.6 Information Protection Corporate Standard</w:t>
    </w:r>
    <w:r w:rsidR="00661D4C"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 </w:t>
    </w:r>
    <w:r w:rsidRPr="001E69B3">
      <w:rPr>
        <w:rStyle w:val="PageNumber"/>
        <w:rFonts w:ascii="Arial" w:hAnsi="Arial" w:cs="Arial"/>
        <w:sz w:val="16"/>
        <w:szCs w:val="16"/>
      </w:rPr>
      <w:t xml:space="preserve">Page </w:t>
    </w:r>
    <w:r w:rsidRPr="001E69B3">
      <w:rPr>
        <w:rStyle w:val="PageNumber"/>
        <w:rFonts w:ascii="Arial" w:hAnsi="Arial" w:cs="Arial"/>
        <w:sz w:val="16"/>
        <w:szCs w:val="16"/>
      </w:rPr>
      <w:fldChar w:fldCharType="begin"/>
    </w:r>
    <w:r w:rsidRPr="001E69B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E69B3">
      <w:rPr>
        <w:rStyle w:val="PageNumber"/>
        <w:rFonts w:ascii="Arial" w:hAnsi="Arial" w:cs="Arial"/>
        <w:sz w:val="16"/>
        <w:szCs w:val="16"/>
      </w:rPr>
      <w:fldChar w:fldCharType="separate"/>
    </w:r>
    <w:r w:rsidR="004D7AA6">
      <w:rPr>
        <w:rStyle w:val="PageNumber"/>
        <w:rFonts w:ascii="Arial" w:hAnsi="Arial" w:cs="Arial"/>
        <w:noProof/>
        <w:sz w:val="16"/>
        <w:szCs w:val="16"/>
      </w:rPr>
      <w:t>1</w:t>
    </w:r>
    <w:r w:rsidRPr="001E69B3">
      <w:rPr>
        <w:rStyle w:val="PageNumber"/>
        <w:rFonts w:ascii="Arial" w:hAnsi="Arial" w:cs="Arial"/>
        <w:sz w:val="16"/>
        <w:szCs w:val="16"/>
      </w:rPr>
      <w:fldChar w:fldCharType="end"/>
    </w:r>
    <w:r w:rsidRPr="001E69B3">
      <w:rPr>
        <w:rStyle w:val="PageNumber"/>
        <w:rFonts w:ascii="Arial" w:hAnsi="Arial" w:cs="Arial"/>
        <w:sz w:val="16"/>
        <w:szCs w:val="16"/>
      </w:rPr>
      <w:t xml:space="preserve"> of </w:t>
    </w:r>
    <w:r w:rsidRPr="001E69B3">
      <w:rPr>
        <w:rStyle w:val="PageNumber"/>
        <w:rFonts w:ascii="Arial" w:hAnsi="Arial" w:cs="Arial"/>
        <w:sz w:val="16"/>
        <w:szCs w:val="16"/>
      </w:rPr>
      <w:fldChar w:fldCharType="begin"/>
    </w:r>
    <w:r w:rsidRPr="001E69B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E69B3">
      <w:rPr>
        <w:rStyle w:val="PageNumber"/>
        <w:rFonts w:ascii="Arial" w:hAnsi="Arial" w:cs="Arial"/>
        <w:sz w:val="16"/>
        <w:szCs w:val="16"/>
      </w:rPr>
      <w:fldChar w:fldCharType="separate"/>
    </w:r>
    <w:r w:rsidR="004D7AA6">
      <w:rPr>
        <w:rStyle w:val="PageNumber"/>
        <w:rFonts w:ascii="Arial" w:hAnsi="Arial" w:cs="Arial"/>
        <w:noProof/>
        <w:sz w:val="16"/>
        <w:szCs w:val="16"/>
      </w:rPr>
      <w:t>3</w:t>
    </w:r>
    <w:r w:rsidRPr="001E69B3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 w:rsidR="00661D4C">
      <w:rPr>
        <w:rStyle w:val="PageNumber"/>
        <w:rFonts w:ascii="Arial" w:hAnsi="Arial" w:cs="Arial"/>
        <w:smallCaps/>
        <w:sz w:val="16"/>
        <w:szCs w:val="16"/>
      </w:rPr>
      <w:t>PUBLIC</w:t>
    </w:r>
  </w:p>
  <w:p w14:paraId="5522B91B" w14:textId="77777777" w:rsidR="00703C48" w:rsidRDefault="00703C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91C" w14:textId="620D786B" w:rsidR="00703C48" w:rsidRDefault="00703C48" w:rsidP="00996C2C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</w:pPr>
    <w:r>
      <w:rPr>
        <w:rStyle w:val="PageNumber"/>
        <w:rFonts w:ascii="Arial" w:hAnsi="Arial" w:cs="Arial"/>
        <w:sz w:val="16"/>
        <w:szCs w:val="16"/>
      </w:rPr>
      <w:t xml:space="preserve">                  </w:t>
    </w:r>
    <w:r w:rsidRPr="001E69B3">
      <w:rPr>
        <w:rStyle w:val="PageNumber"/>
        <w:rFonts w:ascii="Arial" w:hAnsi="Arial" w:cs="Arial"/>
        <w:sz w:val="16"/>
        <w:szCs w:val="16"/>
      </w:rPr>
      <w:t xml:space="preserve">Page </w:t>
    </w:r>
    <w:r w:rsidRPr="001E69B3">
      <w:rPr>
        <w:rStyle w:val="PageNumber"/>
        <w:rFonts w:ascii="Arial" w:hAnsi="Arial" w:cs="Arial"/>
        <w:sz w:val="16"/>
        <w:szCs w:val="16"/>
      </w:rPr>
      <w:fldChar w:fldCharType="begin"/>
    </w:r>
    <w:r w:rsidRPr="001E69B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E69B3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1E69B3">
      <w:rPr>
        <w:rStyle w:val="PageNumber"/>
        <w:rFonts w:ascii="Arial" w:hAnsi="Arial" w:cs="Arial"/>
        <w:sz w:val="16"/>
        <w:szCs w:val="16"/>
      </w:rPr>
      <w:fldChar w:fldCharType="end"/>
    </w:r>
    <w:r w:rsidRPr="001E69B3">
      <w:rPr>
        <w:rStyle w:val="PageNumber"/>
        <w:rFonts w:ascii="Arial" w:hAnsi="Arial" w:cs="Arial"/>
        <w:sz w:val="16"/>
        <w:szCs w:val="16"/>
      </w:rPr>
      <w:t xml:space="preserve"> of </w:t>
    </w:r>
    <w:r w:rsidRPr="001E69B3">
      <w:rPr>
        <w:rStyle w:val="PageNumber"/>
        <w:rFonts w:ascii="Arial" w:hAnsi="Arial" w:cs="Arial"/>
        <w:sz w:val="16"/>
        <w:szCs w:val="16"/>
      </w:rPr>
      <w:fldChar w:fldCharType="begin"/>
    </w:r>
    <w:r w:rsidRPr="001E69B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E69B3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1E69B3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 w:rsidRPr="00996C2C">
      <w:rPr>
        <w:rStyle w:val="PageNumber"/>
        <w:rFonts w:ascii="Arial" w:hAnsi="Arial" w:cs="Arial"/>
        <w:smallCaps/>
        <w:sz w:val="16"/>
        <w:szCs w:val="16"/>
      </w:rPr>
      <w:t xml:space="preserve">ERCOT </w:t>
    </w:r>
    <w:r>
      <w:rPr>
        <w:rStyle w:val="PageNumber"/>
        <w:rFonts w:ascii="Arial" w:hAnsi="Arial" w:cs="Arial"/>
        <w:smallCaps/>
        <w:sz w:val="16"/>
        <w:szCs w:val="16"/>
      </w:rPr>
      <w:t>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7714" w14:textId="77777777" w:rsidR="00703C48" w:rsidRDefault="00703C48">
      <w:r>
        <w:separator/>
      </w:r>
    </w:p>
  </w:footnote>
  <w:footnote w:type="continuationSeparator" w:id="0">
    <w:p w14:paraId="7C22E54D" w14:textId="77777777" w:rsidR="00703C48" w:rsidRDefault="00703C48">
      <w:r>
        <w:continuationSeparator/>
      </w:r>
    </w:p>
  </w:footnote>
  <w:footnote w:type="continuationNotice" w:id="1">
    <w:p w14:paraId="2B77EFF6" w14:textId="77777777" w:rsidR="00703C48" w:rsidRDefault="00703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9976" w14:textId="77777777" w:rsidR="00B21FB4" w:rsidRDefault="00B21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8B0A" w14:textId="77777777" w:rsidR="00B21FB4" w:rsidRDefault="00B21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8044" w14:textId="77777777" w:rsidR="00B21FB4" w:rsidRDefault="00B21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214043C"/>
    <w:lvl w:ilvl="0">
      <w:start w:val="1"/>
      <w:numFmt w:val="decimal"/>
      <w:lvlText w:val="%1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Arial" w:hAnsi="Arial" w:cs="Arial"/>
        <w:b/>
        <w:bCs/>
        <w:i w:val="0"/>
        <w:iCs w:val="0"/>
        <w:kern w:val="32"/>
        <w:sz w:val="28"/>
        <w:szCs w:val="28"/>
      </w:rPr>
    </w:lvl>
    <w:lvl w:ilvl="1">
      <w:start w:val="1"/>
      <w:numFmt w:val="decimal"/>
      <w:lvlText w:val="%1.%2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Arial" w:hAnsi="Arial" w:cs="Arial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widowControl w:val="0"/>
        <w:tabs>
          <w:tab w:val="num" w:pos="-270"/>
        </w:tabs>
        <w:autoSpaceDE w:val="0"/>
        <w:autoSpaceDN w:val="0"/>
        <w:adjustRightInd w:val="0"/>
        <w:ind w:left="-270" w:firstLine="720"/>
      </w:pPr>
      <w:rPr>
        <w:rFonts w:ascii="Arial" w:hAnsi="Arial" w:cs="Arial"/>
        <w:b/>
        <w:bCs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widowControl w:val="0"/>
        <w:tabs>
          <w:tab w:val="num" w:pos="0"/>
        </w:tabs>
        <w:autoSpaceDE w:val="0"/>
        <w:autoSpaceDN w:val="0"/>
        <w:adjustRightInd w:val="0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widowControl w:val="0"/>
        <w:tabs>
          <w:tab w:val="num" w:pos="1872"/>
        </w:tabs>
        <w:autoSpaceDE w:val="0"/>
        <w:autoSpaceDN w:val="0"/>
        <w:adjustRightInd w:val="0"/>
        <w:ind w:left="1872" w:hanging="1008"/>
      </w:pPr>
      <w:rPr>
        <w:rFonts w:ascii="Arial" w:hAnsi="Arial" w:cs="Arial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widowControl w:val="0"/>
        <w:tabs>
          <w:tab w:val="num" w:pos="1872"/>
        </w:tabs>
        <w:autoSpaceDE w:val="0"/>
        <w:autoSpaceDN w:val="0"/>
        <w:adjustRightInd w:val="0"/>
        <w:ind w:left="1656" w:firstLine="216"/>
      </w:pPr>
      <w:rPr>
        <w:rFonts w:ascii="Arial" w:hAnsi="Arial" w:cs="Arial"/>
        <w:b/>
        <w:bCs/>
        <w:sz w:val="22"/>
        <w:szCs w:val="22"/>
      </w:rPr>
    </w:lvl>
    <w:lvl w:ilvl="6">
      <w:start w:val="1"/>
      <w:numFmt w:val="none"/>
      <w:lvlText w:val="2.a"/>
      <w:lvlJc w:val="left"/>
      <w:pPr>
        <w:widowControl w:val="0"/>
        <w:tabs>
          <w:tab w:val="num" w:pos="432"/>
        </w:tabs>
        <w:autoSpaceDE w:val="0"/>
        <w:autoSpaceDN w:val="0"/>
        <w:adjustRightInd w:val="0"/>
        <w:ind w:left="432" w:hanging="432"/>
      </w:pPr>
      <w:rPr>
        <w:rFonts w:ascii="Arial" w:hAnsi="Arial" w:cs="Arial"/>
        <w:sz w:val="24"/>
        <w:szCs w:val="24"/>
      </w:rPr>
    </w:lvl>
    <w:lvl w:ilvl="7">
      <w:start w:val="1"/>
      <w:numFmt w:val="none"/>
      <w:lvlText w:val="2.a.1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Arial" w:hAnsi="Arial" w:cs="Arial"/>
        <w:sz w:val="24"/>
        <w:szCs w:val="24"/>
      </w:rPr>
    </w:lvl>
    <w:lvl w:ilvl="8">
      <w:start w:val="1"/>
      <w:numFmt w:val="none"/>
      <w:lvlText w:val="2.a.1.1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224" w:hanging="1224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5452D8"/>
    <w:multiLevelType w:val="hybridMultilevel"/>
    <w:tmpl w:val="E378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C24"/>
    <w:multiLevelType w:val="hybridMultilevel"/>
    <w:tmpl w:val="F6E42E02"/>
    <w:lvl w:ilvl="0" w:tplc="90FA38A2">
      <w:start w:val="1"/>
      <w:numFmt w:val="decimal"/>
      <w:pStyle w:val="Heading1"/>
      <w:lvlText w:val="%1."/>
      <w:lvlJc w:val="right"/>
      <w:pPr>
        <w:tabs>
          <w:tab w:val="num" w:pos="576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C0802"/>
    <w:multiLevelType w:val="hybridMultilevel"/>
    <w:tmpl w:val="D472C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D3D05"/>
    <w:multiLevelType w:val="hybridMultilevel"/>
    <w:tmpl w:val="358A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B1CCF"/>
    <w:multiLevelType w:val="hybridMultilevel"/>
    <w:tmpl w:val="B156E71A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ED70A2C"/>
    <w:multiLevelType w:val="hybridMultilevel"/>
    <w:tmpl w:val="65F28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E6134"/>
    <w:multiLevelType w:val="hybridMultilevel"/>
    <w:tmpl w:val="B27CB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B57373"/>
    <w:multiLevelType w:val="hybridMultilevel"/>
    <w:tmpl w:val="42B2190A"/>
    <w:lvl w:ilvl="0" w:tplc="862259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780401"/>
    <w:multiLevelType w:val="multilevel"/>
    <w:tmpl w:val="8768360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D60C70"/>
    <w:multiLevelType w:val="hybridMultilevel"/>
    <w:tmpl w:val="876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7065"/>
    <w:multiLevelType w:val="multilevel"/>
    <w:tmpl w:val="808E2B8A"/>
    <w:lvl w:ilvl="0">
      <w:start w:val="1"/>
      <w:numFmt w:val="decimal"/>
      <w:lvlRestart w:val="0"/>
      <w:pStyle w:val="NumOutline1"/>
      <w:lvlText w:val="%1.0"/>
      <w:lvlJc w:val="left"/>
      <w:pPr>
        <w:ind w:left="720" w:firstLine="72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Outline2"/>
      <w:isLgl/>
      <w:lvlText w:val="%1.%2"/>
      <w:lvlJc w:val="left"/>
      <w:pPr>
        <w:ind w:left="720" w:firstLine="14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umOutline3"/>
      <w:lvlText w:val="%3)"/>
      <w:lvlJc w:val="left"/>
      <w:pPr>
        <w:ind w:left="720" w:firstLine="216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NumOutline4"/>
      <w:lvlText w:val="(%4)"/>
      <w:lvlJc w:val="left"/>
      <w:pPr>
        <w:ind w:left="720" w:firstLine="288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NumOutline5"/>
      <w:lvlText w:val="%5)"/>
      <w:lvlJc w:val="left"/>
      <w:pPr>
        <w:ind w:left="720" w:firstLine="360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NumOutline6"/>
      <w:lvlText w:val="%6."/>
      <w:lvlJc w:val="left"/>
      <w:pPr>
        <w:ind w:left="720" w:firstLine="432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NumOutline7"/>
      <w:lvlText w:val="%7."/>
      <w:lvlJc w:val="left"/>
      <w:pPr>
        <w:ind w:left="720" w:firstLine="50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NumOutline8"/>
      <w:lvlText w:val="  "/>
      <w:lvlJc w:val="left"/>
      <w:pPr>
        <w:ind w:left="720" w:firstLine="0"/>
      </w:pPr>
      <w:rPr>
        <w:rFonts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NumOutline9"/>
      <w:lvlText w:val="  "/>
      <w:lvlJc w:val="left"/>
      <w:pPr>
        <w:ind w:left="720" w:firstLine="0"/>
      </w:pPr>
      <w:rPr>
        <w:rFonts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3605326"/>
    <w:multiLevelType w:val="multilevel"/>
    <w:tmpl w:val="F06C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3413C"/>
    <w:multiLevelType w:val="multilevel"/>
    <w:tmpl w:val="470E50B8"/>
    <w:lvl w:ilvl="0">
      <w:start w:val="1"/>
      <w:numFmt w:val="upperRoman"/>
      <w:lvlRestart w:val="0"/>
      <w:pStyle w:val="RomOutl1"/>
      <w:lvlText w:val="%1."/>
      <w:lvlJc w:val="left"/>
      <w:pPr>
        <w:tabs>
          <w:tab w:val="num" w:pos="504"/>
        </w:tabs>
        <w:ind w:left="720" w:hanging="72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omOutl2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omOutl3"/>
      <w:lvlText w:val="%3."/>
      <w:lvlJc w:val="left"/>
      <w:pPr>
        <w:tabs>
          <w:tab w:val="num" w:pos="1224"/>
        </w:tabs>
        <w:ind w:left="12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RomOutl4"/>
      <w:lvlText w:val="%4."/>
      <w:lvlJc w:val="left"/>
      <w:pPr>
        <w:tabs>
          <w:tab w:val="num" w:pos="1872"/>
        </w:tabs>
        <w:ind w:left="216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RomOutl5"/>
      <w:lvlText w:val="(%5)"/>
      <w:lvlJc w:val="left"/>
      <w:pPr>
        <w:tabs>
          <w:tab w:val="num" w:pos="2304"/>
        </w:tabs>
        <w:ind w:left="2736" w:hanging="86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736"/>
        </w:tabs>
        <w:ind w:left="3024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3312"/>
        </w:tabs>
        <w:ind w:left="3672" w:hanging="792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4320" w:hanging="1008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A1E7700"/>
    <w:multiLevelType w:val="hybridMultilevel"/>
    <w:tmpl w:val="8C669D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2259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A614D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E663381"/>
    <w:multiLevelType w:val="multilevel"/>
    <w:tmpl w:val="30FE0CF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7" w15:restartNumberingAfterBreak="0">
    <w:nsid w:val="5E9A04F5"/>
    <w:multiLevelType w:val="hybridMultilevel"/>
    <w:tmpl w:val="A3384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51BF8"/>
    <w:multiLevelType w:val="hybridMultilevel"/>
    <w:tmpl w:val="61EC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76E7"/>
    <w:multiLevelType w:val="hybridMultilevel"/>
    <w:tmpl w:val="2B6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F0D8D"/>
    <w:multiLevelType w:val="hybridMultilevel"/>
    <w:tmpl w:val="8F00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25040"/>
    <w:multiLevelType w:val="multilevel"/>
    <w:tmpl w:val="D3502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B1E2D1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BCD63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D6465F3"/>
    <w:multiLevelType w:val="hybridMultilevel"/>
    <w:tmpl w:val="2B72111E"/>
    <w:lvl w:ilvl="0" w:tplc="569CF5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217D6"/>
    <w:multiLevelType w:val="hybridMultilevel"/>
    <w:tmpl w:val="53B4A476"/>
    <w:lvl w:ilvl="0" w:tplc="862259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240DC5"/>
    <w:multiLevelType w:val="hybridMultilevel"/>
    <w:tmpl w:val="D45A0E02"/>
    <w:lvl w:ilvl="0" w:tplc="862259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A44A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4D2638F"/>
    <w:multiLevelType w:val="multilevel"/>
    <w:tmpl w:val="BB2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760E4019"/>
    <w:multiLevelType w:val="multilevel"/>
    <w:tmpl w:val="4F68B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8DA1B1E"/>
    <w:multiLevelType w:val="multilevel"/>
    <w:tmpl w:val="F6E42E02"/>
    <w:lvl w:ilvl="0">
      <w:start w:val="1"/>
      <w:numFmt w:val="decimal"/>
      <w:lvlText w:val="%1."/>
      <w:lvlJc w:val="right"/>
      <w:pPr>
        <w:tabs>
          <w:tab w:val="num" w:pos="576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5E75B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D6A316A"/>
    <w:multiLevelType w:val="multilevel"/>
    <w:tmpl w:val="6A34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E1666C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7"/>
  </w:num>
  <w:num w:numId="5">
    <w:abstractNumId w:val="33"/>
  </w:num>
  <w:num w:numId="6">
    <w:abstractNumId w:val="16"/>
  </w:num>
  <w:num w:numId="7">
    <w:abstractNumId w:val="11"/>
  </w:num>
  <w:num w:numId="8">
    <w:abstractNumId w:val="32"/>
  </w:num>
  <w:num w:numId="9">
    <w:abstractNumId w:val="2"/>
  </w:num>
  <w:num w:numId="10">
    <w:abstractNumId w:val="30"/>
  </w:num>
  <w:num w:numId="11">
    <w:abstractNumId w:val="22"/>
  </w:num>
  <w:num w:numId="12">
    <w:abstractNumId w:val="23"/>
  </w:num>
  <w:num w:numId="13">
    <w:abstractNumId w:val="31"/>
  </w:num>
  <w:num w:numId="14">
    <w:abstractNumId w:val="12"/>
  </w:num>
  <w:num w:numId="15">
    <w:abstractNumId w:val="29"/>
  </w:num>
  <w:num w:numId="16">
    <w:abstractNumId w:val="14"/>
  </w:num>
  <w:num w:numId="17">
    <w:abstractNumId w:val="8"/>
  </w:num>
  <w:num w:numId="18">
    <w:abstractNumId w:val="26"/>
  </w:num>
  <w:num w:numId="19">
    <w:abstractNumId w:val="25"/>
  </w:num>
  <w:num w:numId="20">
    <w:abstractNumId w:val="21"/>
  </w:num>
  <w:num w:numId="21">
    <w:abstractNumId w:val="28"/>
  </w:num>
  <w:num w:numId="22">
    <w:abstractNumId w:val="18"/>
  </w:num>
  <w:num w:numId="23">
    <w:abstractNumId w:val="6"/>
  </w:num>
  <w:num w:numId="24">
    <w:abstractNumId w:val="0"/>
  </w:num>
  <w:num w:numId="25">
    <w:abstractNumId w:val="0"/>
    <w:lvlOverride w:ilvl="0">
      <w:lvl w:ilvl="0">
        <w:start w:val="1"/>
        <w:numFmt w:val="decimal"/>
        <w:lvlText w:val="%1"/>
        <w:lvlJc w:val="left"/>
        <w:pPr>
          <w:widowControl w:val="0"/>
          <w:tabs>
            <w:tab w:val="num" w:pos="720"/>
          </w:tabs>
          <w:autoSpaceDE w:val="0"/>
          <w:autoSpaceDN w:val="0"/>
          <w:adjustRightInd w:val="0"/>
          <w:ind w:left="720" w:hanging="720"/>
        </w:pPr>
        <w:rPr>
          <w:rFonts w:ascii="Arial" w:hAnsi="Arial" w:cs="Arial"/>
          <w:b/>
          <w:bCs/>
          <w:i w:val="0"/>
          <w:iCs w:val="0"/>
          <w:color w:val="0000FF"/>
          <w:kern w:val="32"/>
          <w:sz w:val="28"/>
          <w:szCs w:val="28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widowControl w:val="0"/>
          <w:tabs>
            <w:tab w:val="num" w:pos="720"/>
          </w:tabs>
          <w:autoSpaceDE w:val="0"/>
          <w:autoSpaceDN w:val="0"/>
          <w:adjustRightInd w:val="0"/>
          <w:ind w:left="720" w:hanging="720"/>
        </w:pPr>
        <w:rPr>
          <w:rFonts w:ascii="Arial" w:hAnsi="Arial" w:cs="Arial"/>
          <w:b/>
          <w:bCs/>
          <w:i w:val="0"/>
          <w:iCs w:val="0"/>
          <w:color w:val="auto"/>
          <w:sz w:val="28"/>
          <w:szCs w:val="28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widowControl w:val="0"/>
          <w:tabs>
            <w:tab w:val="num" w:pos="-270"/>
          </w:tabs>
          <w:autoSpaceDE w:val="0"/>
          <w:autoSpaceDN w:val="0"/>
          <w:adjustRightInd w:val="0"/>
          <w:ind w:left="-270" w:firstLine="720"/>
        </w:pPr>
        <w:rPr>
          <w:rFonts w:ascii="Arial" w:hAnsi="Arial" w:cs="Arial"/>
          <w:b/>
          <w:bCs/>
          <w:i w:val="0"/>
          <w:iCs w:val="0"/>
          <w:color w:val="auto"/>
          <w:sz w:val="28"/>
          <w:szCs w:val="28"/>
          <w:u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widowControl w:val="0"/>
          <w:tabs>
            <w:tab w:val="num" w:pos="0"/>
          </w:tabs>
          <w:autoSpaceDE w:val="0"/>
          <w:autoSpaceDN w:val="0"/>
          <w:adjustRightInd w:val="0"/>
        </w:pPr>
        <w:rPr>
          <w:rFonts w:ascii="Arial" w:hAnsi="Arial" w:cs="Arial"/>
          <w:b/>
          <w:bCs/>
          <w:i w:val="0"/>
          <w:iCs w:val="0"/>
          <w:color w:val="0000FF"/>
          <w:sz w:val="28"/>
          <w:szCs w:val="28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widowControl w:val="0"/>
          <w:tabs>
            <w:tab w:val="num" w:pos="1872"/>
          </w:tabs>
          <w:autoSpaceDE w:val="0"/>
          <w:autoSpaceDN w:val="0"/>
          <w:adjustRightInd w:val="0"/>
          <w:ind w:left="1872" w:hanging="1008"/>
        </w:pPr>
        <w:rPr>
          <w:rFonts w:ascii="Arial" w:hAnsi="Arial" w:cs="Arial"/>
          <w:b/>
          <w:bCs/>
          <w:color w:val="0000FF"/>
          <w:sz w:val="24"/>
          <w:szCs w:val="24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widowControl w:val="0"/>
          <w:tabs>
            <w:tab w:val="num" w:pos="1872"/>
          </w:tabs>
          <w:autoSpaceDE w:val="0"/>
          <w:autoSpaceDN w:val="0"/>
          <w:adjustRightInd w:val="0"/>
          <w:ind w:left="1656" w:firstLine="216"/>
        </w:pPr>
        <w:rPr>
          <w:rFonts w:ascii="Arial" w:hAnsi="Arial" w:cs="Arial"/>
          <w:b/>
          <w:bCs/>
          <w:color w:val="0000FF"/>
          <w:sz w:val="22"/>
          <w:szCs w:val="22"/>
          <w:u w:val="double"/>
        </w:rPr>
      </w:lvl>
    </w:lvlOverride>
    <w:lvlOverride w:ilvl="6">
      <w:lvl w:ilvl="6">
        <w:start w:val="1"/>
        <w:numFmt w:val="none"/>
        <w:lvlText w:val="2.a"/>
        <w:lvlJc w:val="left"/>
        <w:pPr>
          <w:widowControl w:val="0"/>
          <w:tabs>
            <w:tab w:val="num" w:pos="432"/>
          </w:tabs>
          <w:autoSpaceDE w:val="0"/>
          <w:autoSpaceDN w:val="0"/>
          <w:adjustRightInd w:val="0"/>
          <w:ind w:left="432" w:hanging="432"/>
        </w:pPr>
        <w:rPr>
          <w:rFonts w:ascii="Arial" w:hAnsi="Arial" w:cs="Arial"/>
          <w:color w:val="0000FF"/>
          <w:sz w:val="24"/>
          <w:szCs w:val="24"/>
          <w:u w:val="double"/>
        </w:rPr>
      </w:lvl>
    </w:lvlOverride>
    <w:lvlOverride w:ilvl="7">
      <w:lvl w:ilvl="7">
        <w:start w:val="1"/>
        <w:numFmt w:val="none"/>
        <w:lvlText w:val="2.a.1"/>
        <w:lvlJc w:val="left"/>
        <w:pPr>
          <w:widowControl w:val="0"/>
          <w:tabs>
            <w:tab w:val="num" w:pos="720"/>
          </w:tabs>
          <w:autoSpaceDE w:val="0"/>
          <w:autoSpaceDN w:val="0"/>
          <w:adjustRightInd w:val="0"/>
          <w:ind w:left="720" w:hanging="720"/>
        </w:pPr>
        <w:rPr>
          <w:rFonts w:ascii="Arial" w:hAnsi="Arial" w:cs="Arial"/>
          <w:color w:val="0000FF"/>
          <w:sz w:val="24"/>
          <w:szCs w:val="24"/>
          <w:u w:val="double"/>
        </w:rPr>
      </w:lvl>
    </w:lvlOverride>
    <w:lvlOverride w:ilvl="8">
      <w:lvl w:ilvl="8">
        <w:start w:val="1"/>
        <w:numFmt w:val="none"/>
        <w:lvlText w:val="2.a.1.1"/>
        <w:lvlJc w:val="left"/>
        <w:pPr>
          <w:widowControl w:val="0"/>
          <w:tabs>
            <w:tab w:val="num" w:pos="1080"/>
          </w:tabs>
          <w:autoSpaceDE w:val="0"/>
          <w:autoSpaceDN w:val="0"/>
          <w:adjustRightInd w:val="0"/>
          <w:ind w:left="1224" w:hanging="1224"/>
        </w:pPr>
        <w:rPr>
          <w:rFonts w:ascii="Arial" w:hAnsi="Arial" w:cs="Arial"/>
          <w:color w:val="0000FF"/>
          <w:sz w:val="22"/>
          <w:szCs w:val="22"/>
          <w:u w:val="double"/>
        </w:rPr>
      </w:lvl>
    </w:lvlOverride>
  </w:num>
  <w:num w:numId="26">
    <w:abstractNumId w:val="2"/>
  </w:num>
  <w:num w:numId="27">
    <w:abstractNumId w:val="9"/>
  </w:num>
  <w:num w:numId="28">
    <w:abstractNumId w:val="7"/>
  </w:num>
  <w:num w:numId="29">
    <w:abstractNumId w:val="17"/>
  </w:num>
  <w:num w:numId="30">
    <w:abstractNumId w:val="5"/>
  </w:num>
  <w:num w:numId="31">
    <w:abstractNumId w:val="20"/>
  </w:num>
  <w:num w:numId="32">
    <w:abstractNumId w:val="4"/>
  </w:num>
  <w:num w:numId="33">
    <w:abstractNumId w:val="10"/>
  </w:num>
  <w:num w:numId="34">
    <w:abstractNumId w:val="1"/>
  </w:num>
  <w:num w:numId="35">
    <w:abstractNumId w:val="24"/>
  </w:num>
  <w:num w:numId="36">
    <w:abstractNumId w:val="2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34"/>
    <w:rsid w:val="00000296"/>
    <w:rsid w:val="00005717"/>
    <w:rsid w:val="00005E99"/>
    <w:rsid w:val="000100E2"/>
    <w:rsid w:val="000139F2"/>
    <w:rsid w:val="00013E6D"/>
    <w:rsid w:val="00017168"/>
    <w:rsid w:val="00020634"/>
    <w:rsid w:val="0002200D"/>
    <w:rsid w:val="00023790"/>
    <w:rsid w:val="000415C7"/>
    <w:rsid w:val="00041C71"/>
    <w:rsid w:val="00045BFF"/>
    <w:rsid w:val="000479A5"/>
    <w:rsid w:val="00050276"/>
    <w:rsid w:val="00054897"/>
    <w:rsid w:val="000609D5"/>
    <w:rsid w:val="00063FEB"/>
    <w:rsid w:val="000647CD"/>
    <w:rsid w:val="00066891"/>
    <w:rsid w:val="000706E5"/>
    <w:rsid w:val="00076636"/>
    <w:rsid w:val="00077F1C"/>
    <w:rsid w:val="00084A9C"/>
    <w:rsid w:val="00096D62"/>
    <w:rsid w:val="000A3F76"/>
    <w:rsid w:val="000A77D7"/>
    <w:rsid w:val="000B5F0F"/>
    <w:rsid w:val="000B672F"/>
    <w:rsid w:val="000C4AAC"/>
    <w:rsid w:val="000D6666"/>
    <w:rsid w:val="000F0A15"/>
    <w:rsid w:val="000F1250"/>
    <w:rsid w:val="000F2DD8"/>
    <w:rsid w:val="000F2F26"/>
    <w:rsid w:val="000F44DB"/>
    <w:rsid w:val="000F685D"/>
    <w:rsid w:val="00100662"/>
    <w:rsid w:val="001024F9"/>
    <w:rsid w:val="00103A21"/>
    <w:rsid w:val="00110522"/>
    <w:rsid w:val="0011727D"/>
    <w:rsid w:val="0012408F"/>
    <w:rsid w:val="00131541"/>
    <w:rsid w:val="001320E2"/>
    <w:rsid w:val="00133328"/>
    <w:rsid w:val="0013505B"/>
    <w:rsid w:val="00135499"/>
    <w:rsid w:val="00144304"/>
    <w:rsid w:val="001445A1"/>
    <w:rsid w:val="001453EF"/>
    <w:rsid w:val="00146A97"/>
    <w:rsid w:val="00150DBF"/>
    <w:rsid w:val="00156A75"/>
    <w:rsid w:val="001604E0"/>
    <w:rsid w:val="00162073"/>
    <w:rsid w:val="001806BB"/>
    <w:rsid w:val="00183FED"/>
    <w:rsid w:val="00187A86"/>
    <w:rsid w:val="001915C4"/>
    <w:rsid w:val="00193DBB"/>
    <w:rsid w:val="00195EF6"/>
    <w:rsid w:val="001975AF"/>
    <w:rsid w:val="001A1FDA"/>
    <w:rsid w:val="001A2F57"/>
    <w:rsid w:val="001A4308"/>
    <w:rsid w:val="001A7D44"/>
    <w:rsid w:val="001B2274"/>
    <w:rsid w:val="001B3703"/>
    <w:rsid w:val="001B4355"/>
    <w:rsid w:val="001B49FA"/>
    <w:rsid w:val="001B6CD3"/>
    <w:rsid w:val="001B7228"/>
    <w:rsid w:val="001C7D6E"/>
    <w:rsid w:val="001D0099"/>
    <w:rsid w:val="001D2991"/>
    <w:rsid w:val="001D4C5F"/>
    <w:rsid w:val="001E0DDD"/>
    <w:rsid w:val="001E1727"/>
    <w:rsid w:val="001E2AD1"/>
    <w:rsid w:val="001E69B3"/>
    <w:rsid w:val="001E6DC2"/>
    <w:rsid w:val="001E76F8"/>
    <w:rsid w:val="001F22E4"/>
    <w:rsid w:val="001F4C41"/>
    <w:rsid w:val="001F53AD"/>
    <w:rsid w:val="001F5839"/>
    <w:rsid w:val="001F639C"/>
    <w:rsid w:val="001F6572"/>
    <w:rsid w:val="00207323"/>
    <w:rsid w:val="00210274"/>
    <w:rsid w:val="002229B9"/>
    <w:rsid w:val="0022372D"/>
    <w:rsid w:val="00232CA8"/>
    <w:rsid w:val="0023403B"/>
    <w:rsid w:val="00244D69"/>
    <w:rsid w:val="002463FC"/>
    <w:rsid w:val="002469CE"/>
    <w:rsid w:val="002522FF"/>
    <w:rsid w:val="00253C42"/>
    <w:rsid w:val="00256AFE"/>
    <w:rsid w:val="002633E6"/>
    <w:rsid w:val="0027409B"/>
    <w:rsid w:val="00274C10"/>
    <w:rsid w:val="00277DD9"/>
    <w:rsid w:val="00282261"/>
    <w:rsid w:val="00284F8F"/>
    <w:rsid w:val="00285989"/>
    <w:rsid w:val="00287995"/>
    <w:rsid w:val="002A1FEF"/>
    <w:rsid w:val="002A35FA"/>
    <w:rsid w:val="002A45AE"/>
    <w:rsid w:val="002A5701"/>
    <w:rsid w:val="002A6A8F"/>
    <w:rsid w:val="002B2154"/>
    <w:rsid w:val="002B47CC"/>
    <w:rsid w:val="002B7087"/>
    <w:rsid w:val="002C3752"/>
    <w:rsid w:val="002C382C"/>
    <w:rsid w:val="002C40AB"/>
    <w:rsid w:val="002C781A"/>
    <w:rsid w:val="002D6829"/>
    <w:rsid w:val="002D7236"/>
    <w:rsid w:val="002E3AB0"/>
    <w:rsid w:val="002E43E2"/>
    <w:rsid w:val="002E5CD5"/>
    <w:rsid w:val="002F3480"/>
    <w:rsid w:val="002F5D50"/>
    <w:rsid w:val="002F7354"/>
    <w:rsid w:val="00300125"/>
    <w:rsid w:val="00304006"/>
    <w:rsid w:val="00310050"/>
    <w:rsid w:val="00315CB5"/>
    <w:rsid w:val="0033489B"/>
    <w:rsid w:val="00334A4B"/>
    <w:rsid w:val="0034170C"/>
    <w:rsid w:val="0035235D"/>
    <w:rsid w:val="003655D3"/>
    <w:rsid w:val="0036775C"/>
    <w:rsid w:val="0036790A"/>
    <w:rsid w:val="003717DE"/>
    <w:rsid w:val="00372962"/>
    <w:rsid w:val="00372ACB"/>
    <w:rsid w:val="00374CE0"/>
    <w:rsid w:val="00381CCE"/>
    <w:rsid w:val="0038223A"/>
    <w:rsid w:val="00382E8A"/>
    <w:rsid w:val="00384ACA"/>
    <w:rsid w:val="0039158A"/>
    <w:rsid w:val="00393217"/>
    <w:rsid w:val="00393EFE"/>
    <w:rsid w:val="00395F3C"/>
    <w:rsid w:val="00397A80"/>
    <w:rsid w:val="003A0FEC"/>
    <w:rsid w:val="003A320E"/>
    <w:rsid w:val="003B1730"/>
    <w:rsid w:val="003D1540"/>
    <w:rsid w:val="003D1E12"/>
    <w:rsid w:val="003D6C7F"/>
    <w:rsid w:val="003D7A35"/>
    <w:rsid w:val="003D7C3C"/>
    <w:rsid w:val="003E06CD"/>
    <w:rsid w:val="003E40FC"/>
    <w:rsid w:val="003E6855"/>
    <w:rsid w:val="003F0869"/>
    <w:rsid w:val="003F6166"/>
    <w:rsid w:val="003F74B8"/>
    <w:rsid w:val="0041140A"/>
    <w:rsid w:val="00412D46"/>
    <w:rsid w:val="00412F15"/>
    <w:rsid w:val="00415F6B"/>
    <w:rsid w:val="0041771F"/>
    <w:rsid w:val="00434310"/>
    <w:rsid w:val="00440207"/>
    <w:rsid w:val="004412D4"/>
    <w:rsid w:val="004431E5"/>
    <w:rsid w:val="004460A7"/>
    <w:rsid w:val="0044687C"/>
    <w:rsid w:val="00450F7D"/>
    <w:rsid w:val="0045189D"/>
    <w:rsid w:val="004567C2"/>
    <w:rsid w:val="00457F7A"/>
    <w:rsid w:val="00471E6A"/>
    <w:rsid w:val="0047201C"/>
    <w:rsid w:val="00472541"/>
    <w:rsid w:val="00477AAC"/>
    <w:rsid w:val="004813D4"/>
    <w:rsid w:val="00494BE6"/>
    <w:rsid w:val="0049764A"/>
    <w:rsid w:val="004A1623"/>
    <w:rsid w:val="004A6A08"/>
    <w:rsid w:val="004B0809"/>
    <w:rsid w:val="004B16FF"/>
    <w:rsid w:val="004B3B6E"/>
    <w:rsid w:val="004C32EE"/>
    <w:rsid w:val="004C33FF"/>
    <w:rsid w:val="004C3FE9"/>
    <w:rsid w:val="004D630E"/>
    <w:rsid w:val="004D785F"/>
    <w:rsid w:val="004D7AA6"/>
    <w:rsid w:val="004E13F3"/>
    <w:rsid w:val="004E4AB9"/>
    <w:rsid w:val="004E4C0A"/>
    <w:rsid w:val="004E5FA9"/>
    <w:rsid w:val="004F349F"/>
    <w:rsid w:val="004F3800"/>
    <w:rsid w:val="004F4EE4"/>
    <w:rsid w:val="004F5DB0"/>
    <w:rsid w:val="0050281A"/>
    <w:rsid w:val="00503215"/>
    <w:rsid w:val="00504A1D"/>
    <w:rsid w:val="00506F87"/>
    <w:rsid w:val="00511C15"/>
    <w:rsid w:val="00517E64"/>
    <w:rsid w:val="00523C1B"/>
    <w:rsid w:val="00530735"/>
    <w:rsid w:val="00534C5C"/>
    <w:rsid w:val="00537DD0"/>
    <w:rsid w:val="00544B38"/>
    <w:rsid w:val="00555514"/>
    <w:rsid w:val="00555DE6"/>
    <w:rsid w:val="0055616A"/>
    <w:rsid w:val="0055740F"/>
    <w:rsid w:val="00560960"/>
    <w:rsid w:val="00560F8B"/>
    <w:rsid w:val="00574428"/>
    <w:rsid w:val="00574BBC"/>
    <w:rsid w:val="005771D1"/>
    <w:rsid w:val="005822C5"/>
    <w:rsid w:val="0058710D"/>
    <w:rsid w:val="0059099B"/>
    <w:rsid w:val="00595E6B"/>
    <w:rsid w:val="005A080E"/>
    <w:rsid w:val="005A1DFB"/>
    <w:rsid w:val="005A2ED0"/>
    <w:rsid w:val="005A38D5"/>
    <w:rsid w:val="005A57AB"/>
    <w:rsid w:val="005B76C1"/>
    <w:rsid w:val="005C258F"/>
    <w:rsid w:val="005C277E"/>
    <w:rsid w:val="005D0556"/>
    <w:rsid w:val="005D330D"/>
    <w:rsid w:val="005D369F"/>
    <w:rsid w:val="005D49A9"/>
    <w:rsid w:val="005E10BC"/>
    <w:rsid w:val="005E21E5"/>
    <w:rsid w:val="005F4B5C"/>
    <w:rsid w:val="005F59DB"/>
    <w:rsid w:val="005F788B"/>
    <w:rsid w:val="006024E9"/>
    <w:rsid w:val="00602767"/>
    <w:rsid w:val="006077D3"/>
    <w:rsid w:val="0061764C"/>
    <w:rsid w:val="00621A7E"/>
    <w:rsid w:val="00621FE3"/>
    <w:rsid w:val="00635F1F"/>
    <w:rsid w:val="00647ADB"/>
    <w:rsid w:val="0065230C"/>
    <w:rsid w:val="00652634"/>
    <w:rsid w:val="00661D4C"/>
    <w:rsid w:val="00670C57"/>
    <w:rsid w:val="006726E1"/>
    <w:rsid w:val="0068028E"/>
    <w:rsid w:val="0068073B"/>
    <w:rsid w:val="00682084"/>
    <w:rsid w:val="00684825"/>
    <w:rsid w:val="00693AA8"/>
    <w:rsid w:val="00695079"/>
    <w:rsid w:val="006A0414"/>
    <w:rsid w:val="006A7C95"/>
    <w:rsid w:val="006B2878"/>
    <w:rsid w:val="006B31EA"/>
    <w:rsid w:val="006B3DE8"/>
    <w:rsid w:val="006B4A12"/>
    <w:rsid w:val="006B6114"/>
    <w:rsid w:val="006C3EE0"/>
    <w:rsid w:val="006D022D"/>
    <w:rsid w:val="006D35E5"/>
    <w:rsid w:val="006E18AF"/>
    <w:rsid w:val="006E2CA4"/>
    <w:rsid w:val="006E35B6"/>
    <w:rsid w:val="006E72E7"/>
    <w:rsid w:val="006F234E"/>
    <w:rsid w:val="006F3A87"/>
    <w:rsid w:val="00702B8C"/>
    <w:rsid w:val="00703C48"/>
    <w:rsid w:val="00711898"/>
    <w:rsid w:val="0071220F"/>
    <w:rsid w:val="00716989"/>
    <w:rsid w:val="007205EC"/>
    <w:rsid w:val="007253EB"/>
    <w:rsid w:val="007258E1"/>
    <w:rsid w:val="00726018"/>
    <w:rsid w:val="007417D1"/>
    <w:rsid w:val="00742763"/>
    <w:rsid w:val="007472D0"/>
    <w:rsid w:val="00747D1A"/>
    <w:rsid w:val="00750550"/>
    <w:rsid w:val="0076617B"/>
    <w:rsid w:val="00766AC0"/>
    <w:rsid w:val="00767B0D"/>
    <w:rsid w:val="007712FF"/>
    <w:rsid w:val="007760EF"/>
    <w:rsid w:val="0078017F"/>
    <w:rsid w:val="00781D9F"/>
    <w:rsid w:val="00787365"/>
    <w:rsid w:val="007A17D7"/>
    <w:rsid w:val="007A1F5D"/>
    <w:rsid w:val="007A5581"/>
    <w:rsid w:val="007B07C5"/>
    <w:rsid w:val="007B2735"/>
    <w:rsid w:val="007B42F1"/>
    <w:rsid w:val="007B6D3A"/>
    <w:rsid w:val="007B7EB4"/>
    <w:rsid w:val="007C0294"/>
    <w:rsid w:val="007C2626"/>
    <w:rsid w:val="007C2F30"/>
    <w:rsid w:val="007C314F"/>
    <w:rsid w:val="007C4339"/>
    <w:rsid w:val="007C63EF"/>
    <w:rsid w:val="007C65C4"/>
    <w:rsid w:val="007D0F97"/>
    <w:rsid w:val="007D3E7F"/>
    <w:rsid w:val="007D535A"/>
    <w:rsid w:val="007E4055"/>
    <w:rsid w:val="007E4D0F"/>
    <w:rsid w:val="007F2E1C"/>
    <w:rsid w:val="007F3A31"/>
    <w:rsid w:val="008009A1"/>
    <w:rsid w:val="00801BE3"/>
    <w:rsid w:val="008039F6"/>
    <w:rsid w:val="0080532B"/>
    <w:rsid w:val="00806B46"/>
    <w:rsid w:val="00811F66"/>
    <w:rsid w:val="00814812"/>
    <w:rsid w:val="0081614D"/>
    <w:rsid w:val="008213DF"/>
    <w:rsid w:val="008215F1"/>
    <w:rsid w:val="0082490A"/>
    <w:rsid w:val="00827BD7"/>
    <w:rsid w:val="00830902"/>
    <w:rsid w:val="008368A0"/>
    <w:rsid w:val="008371C1"/>
    <w:rsid w:val="008378FA"/>
    <w:rsid w:val="00840E1F"/>
    <w:rsid w:val="008518B2"/>
    <w:rsid w:val="00852C50"/>
    <w:rsid w:val="00852C54"/>
    <w:rsid w:val="00860C7B"/>
    <w:rsid w:val="008615C5"/>
    <w:rsid w:val="00866428"/>
    <w:rsid w:val="00870471"/>
    <w:rsid w:val="00870510"/>
    <w:rsid w:val="00872A2A"/>
    <w:rsid w:val="008740A5"/>
    <w:rsid w:val="00874D3E"/>
    <w:rsid w:val="00883324"/>
    <w:rsid w:val="00886944"/>
    <w:rsid w:val="0089068A"/>
    <w:rsid w:val="00895901"/>
    <w:rsid w:val="00896A20"/>
    <w:rsid w:val="008A0293"/>
    <w:rsid w:val="008A3BA5"/>
    <w:rsid w:val="008A4411"/>
    <w:rsid w:val="008A50D0"/>
    <w:rsid w:val="008C25CB"/>
    <w:rsid w:val="008C4FC2"/>
    <w:rsid w:val="008C5883"/>
    <w:rsid w:val="008C6EC9"/>
    <w:rsid w:val="008D48C4"/>
    <w:rsid w:val="008D6EDF"/>
    <w:rsid w:val="008E342C"/>
    <w:rsid w:val="008E52C4"/>
    <w:rsid w:val="009048FD"/>
    <w:rsid w:val="0090696D"/>
    <w:rsid w:val="00910149"/>
    <w:rsid w:val="00921619"/>
    <w:rsid w:val="0092342A"/>
    <w:rsid w:val="00926656"/>
    <w:rsid w:val="00927BF4"/>
    <w:rsid w:val="009333CD"/>
    <w:rsid w:val="00942812"/>
    <w:rsid w:val="0094685D"/>
    <w:rsid w:val="00951EE3"/>
    <w:rsid w:val="0095247C"/>
    <w:rsid w:val="009546DB"/>
    <w:rsid w:val="009551EC"/>
    <w:rsid w:val="00956FC5"/>
    <w:rsid w:val="00966F11"/>
    <w:rsid w:val="00970047"/>
    <w:rsid w:val="00980AFD"/>
    <w:rsid w:val="00982F88"/>
    <w:rsid w:val="0098625F"/>
    <w:rsid w:val="0098700C"/>
    <w:rsid w:val="00991277"/>
    <w:rsid w:val="009913F0"/>
    <w:rsid w:val="0099401F"/>
    <w:rsid w:val="00995554"/>
    <w:rsid w:val="0099695F"/>
    <w:rsid w:val="00996C2C"/>
    <w:rsid w:val="009A041F"/>
    <w:rsid w:val="009A0CA3"/>
    <w:rsid w:val="009A233D"/>
    <w:rsid w:val="009A7D32"/>
    <w:rsid w:val="009B63C6"/>
    <w:rsid w:val="009D04C6"/>
    <w:rsid w:val="009D12E2"/>
    <w:rsid w:val="009D76C0"/>
    <w:rsid w:val="009E392E"/>
    <w:rsid w:val="009E45B4"/>
    <w:rsid w:val="009E4B6F"/>
    <w:rsid w:val="009F1B30"/>
    <w:rsid w:val="009F3A4C"/>
    <w:rsid w:val="009F40BC"/>
    <w:rsid w:val="009F54F2"/>
    <w:rsid w:val="00A2235C"/>
    <w:rsid w:val="00A24487"/>
    <w:rsid w:val="00A3038B"/>
    <w:rsid w:val="00A32536"/>
    <w:rsid w:val="00A33484"/>
    <w:rsid w:val="00A34583"/>
    <w:rsid w:val="00A40975"/>
    <w:rsid w:val="00A4185D"/>
    <w:rsid w:val="00A45174"/>
    <w:rsid w:val="00A478D1"/>
    <w:rsid w:val="00A50CCC"/>
    <w:rsid w:val="00A53728"/>
    <w:rsid w:val="00A61721"/>
    <w:rsid w:val="00A63B14"/>
    <w:rsid w:val="00A65778"/>
    <w:rsid w:val="00A67D65"/>
    <w:rsid w:val="00A709B1"/>
    <w:rsid w:val="00A70D1B"/>
    <w:rsid w:val="00A70D1F"/>
    <w:rsid w:val="00A77D58"/>
    <w:rsid w:val="00A865E9"/>
    <w:rsid w:val="00A93A8E"/>
    <w:rsid w:val="00A93F63"/>
    <w:rsid w:val="00A97131"/>
    <w:rsid w:val="00AA3404"/>
    <w:rsid w:val="00AA3A06"/>
    <w:rsid w:val="00AA6F55"/>
    <w:rsid w:val="00AA7C88"/>
    <w:rsid w:val="00AB1494"/>
    <w:rsid w:val="00AB3EA4"/>
    <w:rsid w:val="00AB5C35"/>
    <w:rsid w:val="00AB6F0B"/>
    <w:rsid w:val="00AB71E4"/>
    <w:rsid w:val="00AC5544"/>
    <w:rsid w:val="00AC6701"/>
    <w:rsid w:val="00AC6D61"/>
    <w:rsid w:val="00AD40F5"/>
    <w:rsid w:val="00AD7D3F"/>
    <w:rsid w:val="00AE4336"/>
    <w:rsid w:val="00B04D58"/>
    <w:rsid w:val="00B1175D"/>
    <w:rsid w:val="00B12994"/>
    <w:rsid w:val="00B210FC"/>
    <w:rsid w:val="00B21FB4"/>
    <w:rsid w:val="00B239CC"/>
    <w:rsid w:val="00B23C93"/>
    <w:rsid w:val="00B26D7E"/>
    <w:rsid w:val="00B27986"/>
    <w:rsid w:val="00B32941"/>
    <w:rsid w:val="00B34CA4"/>
    <w:rsid w:val="00B36088"/>
    <w:rsid w:val="00B40E52"/>
    <w:rsid w:val="00B438CB"/>
    <w:rsid w:val="00B527EB"/>
    <w:rsid w:val="00B54F44"/>
    <w:rsid w:val="00B62730"/>
    <w:rsid w:val="00B63610"/>
    <w:rsid w:val="00B742CB"/>
    <w:rsid w:val="00B760B8"/>
    <w:rsid w:val="00B831A0"/>
    <w:rsid w:val="00B85BD7"/>
    <w:rsid w:val="00B85F68"/>
    <w:rsid w:val="00B87E52"/>
    <w:rsid w:val="00BA6D54"/>
    <w:rsid w:val="00BB3C4D"/>
    <w:rsid w:val="00BB6D16"/>
    <w:rsid w:val="00BB6DA0"/>
    <w:rsid w:val="00BC4933"/>
    <w:rsid w:val="00BD1109"/>
    <w:rsid w:val="00BD53CF"/>
    <w:rsid w:val="00BD56FA"/>
    <w:rsid w:val="00BE54EB"/>
    <w:rsid w:val="00BE7842"/>
    <w:rsid w:val="00BF0501"/>
    <w:rsid w:val="00BF24C4"/>
    <w:rsid w:val="00C03093"/>
    <w:rsid w:val="00C03565"/>
    <w:rsid w:val="00C03BAE"/>
    <w:rsid w:val="00C05149"/>
    <w:rsid w:val="00C06A99"/>
    <w:rsid w:val="00C06D37"/>
    <w:rsid w:val="00C126B4"/>
    <w:rsid w:val="00C12760"/>
    <w:rsid w:val="00C269B0"/>
    <w:rsid w:val="00C3169C"/>
    <w:rsid w:val="00C37E09"/>
    <w:rsid w:val="00C41636"/>
    <w:rsid w:val="00C4209F"/>
    <w:rsid w:val="00C44DA9"/>
    <w:rsid w:val="00C4587F"/>
    <w:rsid w:val="00C46EDA"/>
    <w:rsid w:val="00C47CB6"/>
    <w:rsid w:val="00C53333"/>
    <w:rsid w:val="00C56CF9"/>
    <w:rsid w:val="00C5768A"/>
    <w:rsid w:val="00C62BFB"/>
    <w:rsid w:val="00C650E7"/>
    <w:rsid w:val="00C6613F"/>
    <w:rsid w:val="00C710C8"/>
    <w:rsid w:val="00C721A5"/>
    <w:rsid w:val="00C73C75"/>
    <w:rsid w:val="00C74D18"/>
    <w:rsid w:val="00C75E05"/>
    <w:rsid w:val="00C76458"/>
    <w:rsid w:val="00C826D7"/>
    <w:rsid w:val="00C86632"/>
    <w:rsid w:val="00C878D2"/>
    <w:rsid w:val="00C919A1"/>
    <w:rsid w:val="00C95B87"/>
    <w:rsid w:val="00C973ED"/>
    <w:rsid w:val="00C976C0"/>
    <w:rsid w:val="00C976FC"/>
    <w:rsid w:val="00CC2554"/>
    <w:rsid w:val="00CC39D9"/>
    <w:rsid w:val="00CC3B4D"/>
    <w:rsid w:val="00CC5E7A"/>
    <w:rsid w:val="00CC6D76"/>
    <w:rsid w:val="00CD6625"/>
    <w:rsid w:val="00CD7BD7"/>
    <w:rsid w:val="00CE44CB"/>
    <w:rsid w:val="00CE6038"/>
    <w:rsid w:val="00CF6D8C"/>
    <w:rsid w:val="00D04E55"/>
    <w:rsid w:val="00D058C8"/>
    <w:rsid w:val="00D06C0A"/>
    <w:rsid w:val="00D07560"/>
    <w:rsid w:val="00D10CE8"/>
    <w:rsid w:val="00D12402"/>
    <w:rsid w:val="00D14FFA"/>
    <w:rsid w:val="00D162C3"/>
    <w:rsid w:val="00D16C5F"/>
    <w:rsid w:val="00D210F9"/>
    <w:rsid w:val="00D242A7"/>
    <w:rsid w:val="00D24725"/>
    <w:rsid w:val="00D33544"/>
    <w:rsid w:val="00D3417D"/>
    <w:rsid w:val="00D34E5C"/>
    <w:rsid w:val="00D415C7"/>
    <w:rsid w:val="00D4326F"/>
    <w:rsid w:val="00D51571"/>
    <w:rsid w:val="00D54437"/>
    <w:rsid w:val="00D61A2F"/>
    <w:rsid w:val="00D62868"/>
    <w:rsid w:val="00D628E3"/>
    <w:rsid w:val="00D6303A"/>
    <w:rsid w:val="00D660FF"/>
    <w:rsid w:val="00D67946"/>
    <w:rsid w:val="00D67956"/>
    <w:rsid w:val="00D7482E"/>
    <w:rsid w:val="00D754F3"/>
    <w:rsid w:val="00D941D8"/>
    <w:rsid w:val="00D94537"/>
    <w:rsid w:val="00D96D84"/>
    <w:rsid w:val="00DA2DDE"/>
    <w:rsid w:val="00DA4693"/>
    <w:rsid w:val="00DA7B88"/>
    <w:rsid w:val="00DB12BA"/>
    <w:rsid w:val="00DB21C5"/>
    <w:rsid w:val="00DC5344"/>
    <w:rsid w:val="00DD1E43"/>
    <w:rsid w:val="00DD4BF6"/>
    <w:rsid w:val="00DD72DA"/>
    <w:rsid w:val="00DD7D84"/>
    <w:rsid w:val="00DE019E"/>
    <w:rsid w:val="00DE402A"/>
    <w:rsid w:val="00DE6C47"/>
    <w:rsid w:val="00DF4696"/>
    <w:rsid w:val="00E05647"/>
    <w:rsid w:val="00E111C1"/>
    <w:rsid w:val="00E11B45"/>
    <w:rsid w:val="00E139EC"/>
    <w:rsid w:val="00E145B7"/>
    <w:rsid w:val="00E14965"/>
    <w:rsid w:val="00E2279A"/>
    <w:rsid w:val="00E22FA3"/>
    <w:rsid w:val="00E2406A"/>
    <w:rsid w:val="00E247AF"/>
    <w:rsid w:val="00E30B06"/>
    <w:rsid w:val="00E31B77"/>
    <w:rsid w:val="00E37004"/>
    <w:rsid w:val="00E378F8"/>
    <w:rsid w:val="00E4489B"/>
    <w:rsid w:val="00E456EC"/>
    <w:rsid w:val="00E479E9"/>
    <w:rsid w:val="00E52131"/>
    <w:rsid w:val="00E54DDE"/>
    <w:rsid w:val="00E64826"/>
    <w:rsid w:val="00E65F11"/>
    <w:rsid w:val="00E6717C"/>
    <w:rsid w:val="00E71110"/>
    <w:rsid w:val="00E8077B"/>
    <w:rsid w:val="00E87F5A"/>
    <w:rsid w:val="00E92F04"/>
    <w:rsid w:val="00E95ADA"/>
    <w:rsid w:val="00EA66E5"/>
    <w:rsid w:val="00EC2AF1"/>
    <w:rsid w:val="00EC7689"/>
    <w:rsid w:val="00ED0155"/>
    <w:rsid w:val="00EE04B9"/>
    <w:rsid w:val="00EE146C"/>
    <w:rsid w:val="00EE6078"/>
    <w:rsid w:val="00EE78B5"/>
    <w:rsid w:val="00EF004B"/>
    <w:rsid w:val="00F0031A"/>
    <w:rsid w:val="00F0355C"/>
    <w:rsid w:val="00F03FA7"/>
    <w:rsid w:val="00F20589"/>
    <w:rsid w:val="00F253D8"/>
    <w:rsid w:val="00F325F9"/>
    <w:rsid w:val="00F43250"/>
    <w:rsid w:val="00F43E16"/>
    <w:rsid w:val="00F504A7"/>
    <w:rsid w:val="00F61642"/>
    <w:rsid w:val="00F61CE9"/>
    <w:rsid w:val="00F6262C"/>
    <w:rsid w:val="00F72732"/>
    <w:rsid w:val="00F742AC"/>
    <w:rsid w:val="00F84088"/>
    <w:rsid w:val="00F842AF"/>
    <w:rsid w:val="00F86228"/>
    <w:rsid w:val="00F863E5"/>
    <w:rsid w:val="00F87786"/>
    <w:rsid w:val="00F91302"/>
    <w:rsid w:val="00F92E22"/>
    <w:rsid w:val="00FA06D8"/>
    <w:rsid w:val="00FA4DC9"/>
    <w:rsid w:val="00FA718A"/>
    <w:rsid w:val="00FB6759"/>
    <w:rsid w:val="00FC0105"/>
    <w:rsid w:val="00FC1FAE"/>
    <w:rsid w:val="00FC64BC"/>
    <w:rsid w:val="00FD2852"/>
    <w:rsid w:val="00FD31C1"/>
    <w:rsid w:val="00FD353E"/>
    <w:rsid w:val="00FE0B8D"/>
    <w:rsid w:val="00FE2D65"/>
    <w:rsid w:val="00FF11AB"/>
    <w:rsid w:val="00FF406E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522B8C2"/>
  <w15:docId w15:val="{402B8233-492B-4AF4-A4D1-800D9D0F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103A21"/>
    <w:pPr>
      <w:keepNext/>
      <w:numPr>
        <w:numId w:val="9"/>
      </w:numPr>
      <w:spacing w:before="24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03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3A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0AFD"/>
    <w:pPr>
      <w:keepNext/>
      <w:widowControl w:val="0"/>
      <w:tabs>
        <w:tab w:val="num" w:pos="0"/>
      </w:tabs>
      <w:autoSpaceDE w:val="0"/>
      <w:autoSpaceDN w:val="0"/>
      <w:adjustRightInd w:val="0"/>
      <w:spacing w:before="240" w:after="60"/>
      <w:outlineLvl w:val="3"/>
    </w:pPr>
    <w:rPr>
      <w:rFonts w:ascii="Arial" w:eastAsiaTheme="minorEastAsia" w:hAnsi="Arial" w:cs="Arial"/>
      <w:b/>
      <w:bCs/>
    </w:rPr>
  </w:style>
  <w:style w:type="paragraph" w:styleId="Heading5">
    <w:name w:val="heading 5"/>
    <w:basedOn w:val="Normal"/>
    <w:next w:val="Normal"/>
    <w:qFormat/>
    <w:rsid w:val="00103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0AFD"/>
    <w:pPr>
      <w:widowControl w:val="0"/>
      <w:tabs>
        <w:tab w:val="num" w:pos="1872"/>
      </w:tabs>
      <w:autoSpaceDE w:val="0"/>
      <w:autoSpaceDN w:val="0"/>
      <w:adjustRightInd w:val="0"/>
      <w:spacing w:before="240" w:after="60"/>
      <w:ind w:left="1656" w:firstLine="216"/>
      <w:outlineLvl w:val="5"/>
    </w:pPr>
    <w:rPr>
      <w:rFonts w:ascii="Arial" w:eastAsiaTheme="minorEastAsia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0AFD"/>
    <w:pPr>
      <w:widowControl w:val="0"/>
      <w:tabs>
        <w:tab w:val="num" w:pos="432"/>
      </w:tabs>
      <w:autoSpaceDE w:val="0"/>
      <w:autoSpaceDN w:val="0"/>
      <w:adjustRightInd w:val="0"/>
      <w:spacing w:before="240" w:after="60"/>
      <w:ind w:left="432" w:hanging="432"/>
      <w:outlineLvl w:val="6"/>
    </w:pPr>
    <w:rPr>
      <w:rFonts w:ascii="Arial" w:eastAsiaTheme="minorEastAsia" w:hAnsi="Arial" w:cs="Arial"/>
    </w:rPr>
  </w:style>
  <w:style w:type="paragraph" w:styleId="Heading9">
    <w:name w:val="heading 9"/>
    <w:basedOn w:val="Normal"/>
    <w:next w:val="Normal"/>
    <w:link w:val="Heading9Char"/>
    <w:uiPriority w:val="9"/>
    <w:qFormat/>
    <w:rsid w:val="00980AFD"/>
    <w:pPr>
      <w:widowControl w:val="0"/>
      <w:tabs>
        <w:tab w:val="num" w:pos="1080"/>
      </w:tabs>
      <w:autoSpaceDE w:val="0"/>
      <w:autoSpaceDN w:val="0"/>
      <w:adjustRightInd w:val="0"/>
      <w:spacing w:before="240" w:after="60"/>
      <w:ind w:left="1224" w:hanging="1224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Outl1">
    <w:name w:val="RomOutl 1"/>
    <w:basedOn w:val="RomOutl2"/>
    <w:next w:val="Normal"/>
    <w:rsid w:val="00103A21"/>
    <w:pPr>
      <w:keepLines/>
      <w:numPr>
        <w:ilvl w:val="0"/>
      </w:numPr>
      <w:outlineLvl w:val="0"/>
    </w:pPr>
    <w:rPr>
      <w:u w:val="single"/>
    </w:rPr>
  </w:style>
  <w:style w:type="paragraph" w:customStyle="1" w:styleId="RomOutl2">
    <w:name w:val="RomOutl 2"/>
    <w:basedOn w:val="Normal"/>
    <w:rsid w:val="00103A21"/>
    <w:pPr>
      <w:numPr>
        <w:ilvl w:val="1"/>
        <w:numId w:val="1"/>
      </w:numPr>
      <w:spacing w:after="240"/>
      <w:outlineLvl w:val="1"/>
    </w:pPr>
    <w:rPr>
      <w:rFonts w:ascii="Arial" w:hAnsi="Arial"/>
      <w:sz w:val="22"/>
      <w:szCs w:val="20"/>
    </w:rPr>
  </w:style>
  <w:style w:type="paragraph" w:customStyle="1" w:styleId="RomOutl3">
    <w:name w:val="RomOutl 3"/>
    <w:basedOn w:val="Normal"/>
    <w:rsid w:val="00103A21"/>
    <w:pPr>
      <w:numPr>
        <w:ilvl w:val="2"/>
        <w:numId w:val="1"/>
      </w:numPr>
      <w:spacing w:after="240"/>
      <w:outlineLvl w:val="2"/>
    </w:pPr>
    <w:rPr>
      <w:rFonts w:ascii="Arial" w:hAnsi="Arial"/>
      <w:sz w:val="22"/>
      <w:szCs w:val="20"/>
    </w:rPr>
  </w:style>
  <w:style w:type="paragraph" w:customStyle="1" w:styleId="RomOutl4">
    <w:name w:val="RomOutl 4"/>
    <w:basedOn w:val="Normal"/>
    <w:rsid w:val="00103A21"/>
    <w:pPr>
      <w:numPr>
        <w:ilvl w:val="3"/>
        <w:numId w:val="1"/>
      </w:numPr>
      <w:spacing w:after="240"/>
      <w:outlineLvl w:val="3"/>
    </w:pPr>
    <w:rPr>
      <w:rFonts w:ascii="Arial" w:hAnsi="Arial"/>
      <w:sz w:val="22"/>
      <w:szCs w:val="20"/>
    </w:rPr>
  </w:style>
  <w:style w:type="paragraph" w:customStyle="1" w:styleId="RomOutl5">
    <w:name w:val="RomOutl 5"/>
    <w:basedOn w:val="Normal"/>
    <w:next w:val="Heading5"/>
    <w:rsid w:val="00103A21"/>
    <w:pPr>
      <w:numPr>
        <w:ilvl w:val="4"/>
        <w:numId w:val="1"/>
      </w:numPr>
      <w:spacing w:after="240"/>
      <w:outlineLvl w:val="4"/>
    </w:pPr>
    <w:rPr>
      <w:rFonts w:ascii="Arial" w:hAnsi="Arial"/>
      <w:sz w:val="22"/>
      <w:szCs w:val="20"/>
    </w:rPr>
  </w:style>
  <w:style w:type="character" w:styleId="CommentReference">
    <w:name w:val="annotation reference"/>
    <w:basedOn w:val="DefaultParagraphFont"/>
    <w:uiPriority w:val="99"/>
    <w:rsid w:val="00103A21"/>
    <w:rPr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103A21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03A21"/>
    <w:pPr>
      <w:ind w:left="480"/>
    </w:pPr>
    <w:rPr>
      <w:i/>
      <w:iCs/>
      <w:sz w:val="20"/>
      <w:szCs w:val="20"/>
    </w:rPr>
  </w:style>
  <w:style w:type="character" w:styleId="Hyperlink">
    <w:name w:val="Hyperlink"/>
    <w:basedOn w:val="DefaultParagraphFont"/>
    <w:rsid w:val="00103A21"/>
    <w:rPr>
      <w:color w:val="0000FF"/>
      <w:u w:val="single"/>
    </w:rPr>
  </w:style>
  <w:style w:type="paragraph" w:styleId="Footer">
    <w:name w:val="footer"/>
    <w:basedOn w:val="Normal"/>
    <w:rsid w:val="00103A21"/>
    <w:pPr>
      <w:tabs>
        <w:tab w:val="center" w:pos="4320"/>
        <w:tab w:val="right" w:pos="8640"/>
      </w:tabs>
    </w:pPr>
    <w:rPr>
      <w:sz w:val="22"/>
    </w:rPr>
  </w:style>
  <w:style w:type="paragraph" w:styleId="TOC1">
    <w:name w:val="toc 1"/>
    <w:basedOn w:val="Normal"/>
    <w:next w:val="Normal"/>
    <w:autoRedefine/>
    <w:semiHidden/>
    <w:rsid w:val="00103A21"/>
    <w:pPr>
      <w:spacing w:before="120" w:after="120"/>
    </w:pPr>
    <w:rPr>
      <w:b/>
      <w:bCs/>
      <w:caps/>
      <w:sz w:val="20"/>
      <w:szCs w:val="20"/>
    </w:rPr>
  </w:style>
  <w:style w:type="paragraph" w:customStyle="1" w:styleId="TitlePage1">
    <w:name w:val="TitlePage 1"/>
    <w:basedOn w:val="Header"/>
    <w:rsid w:val="00103A21"/>
    <w:pPr>
      <w:spacing w:after="360"/>
      <w:jc w:val="center"/>
    </w:pPr>
    <w:rPr>
      <w:b/>
      <w:sz w:val="56"/>
    </w:rPr>
  </w:style>
  <w:style w:type="paragraph" w:customStyle="1" w:styleId="TitlePage2">
    <w:name w:val="TitlePage 2"/>
    <w:basedOn w:val="Normal"/>
    <w:rsid w:val="00103A21"/>
    <w:pPr>
      <w:ind w:left="432" w:right="702"/>
      <w:jc w:val="right"/>
    </w:pPr>
    <w:rPr>
      <w:b/>
      <w:sz w:val="40"/>
    </w:rPr>
  </w:style>
  <w:style w:type="paragraph" w:styleId="Header">
    <w:name w:val="header"/>
    <w:basedOn w:val="Normal"/>
    <w:rsid w:val="00103A2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3A21"/>
    <w:pPr>
      <w:spacing w:after="120"/>
    </w:pPr>
    <w:rPr>
      <w:rFonts w:ascii="Arial" w:hAnsi="Arial"/>
      <w:sz w:val="22"/>
      <w:szCs w:val="20"/>
    </w:rPr>
  </w:style>
  <w:style w:type="paragraph" w:customStyle="1" w:styleId="NumOutline1">
    <w:name w:val="Num Outline 1"/>
    <w:basedOn w:val="Normal"/>
    <w:rsid w:val="00103A21"/>
    <w:pPr>
      <w:numPr>
        <w:numId w:val="7"/>
      </w:numPr>
      <w:spacing w:after="240"/>
      <w:ind w:left="0"/>
      <w:jc w:val="both"/>
      <w:outlineLvl w:val="0"/>
    </w:pPr>
    <w:rPr>
      <w:rFonts w:ascii="Arial" w:hAnsi="Arial"/>
      <w:kern w:val="28"/>
      <w:sz w:val="22"/>
      <w:szCs w:val="20"/>
    </w:rPr>
  </w:style>
  <w:style w:type="paragraph" w:customStyle="1" w:styleId="NumOutline2">
    <w:name w:val="Num Outline 2"/>
    <w:basedOn w:val="Normal"/>
    <w:rsid w:val="00103A21"/>
    <w:pPr>
      <w:numPr>
        <w:ilvl w:val="1"/>
        <w:numId w:val="7"/>
      </w:numPr>
      <w:spacing w:after="240"/>
      <w:ind w:left="0"/>
      <w:jc w:val="both"/>
      <w:outlineLvl w:val="1"/>
    </w:pPr>
    <w:rPr>
      <w:rFonts w:ascii="Arial" w:hAnsi="Arial"/>
      <w:sz w:val="22"/>
      <w:szCs w:val="20"/>
    </w:rPr>
  </w:style>
  <w:style w:type="paragraph" w:customStyle="1" w:styleId="NumOutline3">
    <w:name w:val="Num Outline 3"/>
    <w:basedOn w:val="Normal"/>
    <w:rsid w:val="00103A21"/>
    <w:pPr>
      <w:numPr>
        <w:ilvl w:val="2"/>
        <w:numId w:val="7"/>
      </w:numPr>
      <w:spacing w:after="240"/>
      <w:ind w:left="0"/>
      <w:jc w:val="both"/>
      <w:outlineLvl w:val="2"/>
    </w:pPr>
    <w:rPr>
      <w:rFonts w:ascii="Arial" w:hAnsi="Arial"/>
      <w:sz w:val="22"/>
      <w:szCs w:val="20"/>
    </w:rPr>
  </w:style>
  <w:style w:type="paragraph" w:customStyle="1" w:styleId="NumOutline4">
    <w:name w:val="Num Outline 4"/>
    <w:basedOn w:val="Normal"/>
    <w:next w:val="NumOutline3"/>
    <w:rsid w:val="00103A21"/>
    <w:pPr>
      <w:numPr>
        <w:ilvl w:val="3"/>
        <w:numId w:val="7"/>
      </w:numPr>
      <w:spacing w:after="240"/>
      <w:ind w:left="0"/>
      <w:jc w:val="both"/>
      <w:outlineLvl w:val="3"/>
    </w:pPr>
    <w:rPr>
      <w:rFonts w:ascii="Arial" w:hAnsi="Arial"/>
      <w:sz w:val="22"/>
      <w:szCs w:val="20"/>
    </w:rPr>
  </w:style>
  <w:style w:type="paragraph" w:customStyle="1" w:styleId="NumOutline5">
    <w:name w:val="Num Outline 5"/>
    <w:basedOn w:val="Normal"/>
    <w:rsid w:val="00103A21"/>
    <w:pPr>
      <w:numPr>
        <w:ilvl w:val="4"/>
        <w:numId w:val="7"/>
      </w:numPr>
      <w:spacing w:after="240"/>
      <w:ind w:left="0"/>
      <w:jc w:val="both"/>
      <w:outlineLvl w:val="4"/>
    </w:pPr>
    <w:rPr>
      <w:rFonts w:ascii="Arial" w:hAnsi="Arial"/>
      <w:sz w:val="22"/>
      <w:szCs w:val="20"/>
    </w:rPr>
  </w:style>
  <w:style w:type="paragraph" w:customStyle="1" w:styleId="NumOutline6">
    <w:name w:val="Num Outline 6"/>
    <w:basedOn w:val="Normal"/>
    <w:rsid w:val="00103A21"/>
    <w:pPr>
      <w:numPr>
        <w:ilvl w:val="5"/>
        <w:numId w:val="7"/>
      </w:numPr>
      <w:spacing w:after="240"/>
      <w:ind w:left="0"/>
      <w:jc w:val="both"/>
      <w:outlineLvl w:val="5"/>
    </w:pPr>
    <w:rPr>
      <w:rFonts w:ascii="Arial" w:hAnsi="Arial"/>
      <w:sz w:val="22"/>
      <w:szCs w:val="20"/>
    </w:rPr>
  </w:style>
  <w:style w:type="paragraph" w:customStyle="1" w:styleId="NumOutline7">
    <w:name w:val="Num Outline 7"/>
    <w:basedOn w:val="Normal"/>
    <w:rsid w:val="00103A21"/>
    <w:pPr>
      <w:numPr>
        <w:ilvl w:val="6"/>
        <w:numId w:val="7"/>
      </w:numPr>
      <w:spacing w:after="240"/>
      <w:ind w:left="0"/>
      <w:jc w:val="both"/>
      <w:outlineLvl w:val="6"/>
    </w:pPr>
    <w:rPr>
      <w:rFonts w:ascii="Arial" w:hAnsi="Arial"/>
      <w:sz w:val="22"/>
      <w:szCs w:val="20"/>
    </w:rPr>
  </w:style>
  <w:style w:type="paragraph" w:customStyle="1" w:styleId="NumOutline8">
    <w:name w:val="Num Outline 8"/>
    <w:basedOn w:val="Normal"/>
    <w:next w:val="NumOutline7"/>
    <w:rsid w:val="00103A21"/>
    <w:pPr>
      <w:numPr>
        <w:ilvl w:val="7"/>
        <w:numId w:val="7"/>
      </w:numPr>
      <w:spacing w:before="240" w:after="60"/>
      <w:ind w:left="0"/>
      <w:outlineLvl w:val="7"/>
    </w:pPr>
    <w:rPr>
      <w:rFonts w:ascii="Arial" w:hAnsi="Arial"/>
      <w:i/>
      <w:sz w:val="20"/>
      <w:szCs w:val="20"/>
    </w:rPr>
  </w:style>
  <w:style w:type="paragraph" w:customStyle="1" w:styleId="NumOutline9">
    <w:name w:val="Num Outline 9"/>
    <w:basedOn w:val="Normal"/>
    <w:next w:val="NumOutline7"/>
    <w:rsid w:val="00103A21"/>
    <w:pPr>
      <w:numPr>
        <w:ilvl w:val="8"/>
        <w:numId w:val="7"/>
      </w:numPr>
      <w:spacing w:before="240" w:after="60"/>
      <w:ind w:left="0"/>
      <w:outlineLvl w:val="8"/>
    </w:pPr>
    <w:rPr>
      <w:rFonts w:ascii="Arial" w:hAnsi="Arial"/>
      <w:b/>
      <w:i/>
      <w:sz w:val="18"/>
      <w:szCs w:val="20"/>
    </w:rPr>
  </w:style>
  <w:style w:type="paragraph" w:styleId="Title">
    <w:name w:val="Title"/>
    <w:basedOn w:val="Normal"/>
    <w:qFormat/>
    <w:rsid w:val="00103A21"/>
    <w:pPr>
      <w:spacing w:before="240"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customStyle="1" w:styleId="TitleLG">
    <w:name w:val="Title LG"/>
    <w:basedOn w:val="Title"/>
    <w:rsid w:val="00103A21"/>
    <w:pPr>
      <w:ind w:left="720" w:right="720"/>
    </w:pPr>
    <w:rPr>
      <w:sz w:val="36"/>
      <w:szCs w:val="36"/>
    </w:rPr>
  </w:style>
  <w:style w:type="paragraph" w:customStyle="1" w:styleId="NormalSmall">
    <w:name w:val="Normal Small"/>
    <w:basedOn w:val="Normal"/>
    <w:rsid w:val="00103A21"/>
    <w:rPr>
      <w:rFonts w:ascii="Arial" w:hAnsi="Arial" w:cs="Arial"/>
      <w:b/>
      <w:bCs/>
      <w:sz w:val="18"/>
      <w:szCs w:val="22"/>
    </w:rPr>
  </w:style>
  <w:style w:type="paragraph" w:customStyle="1" w:styleId="NormalLarge">
    <w:name w:val="Normal Large"/>
    <w:basedOn w:val="Normal"/>
    <w:rsid w:val="00103A21"/>
    <w:rPr>
      <w:rFonts w:ascii="Arial" w:hAnsi="Arial"/>
      <w:sz w:val="28"/>
    </w:rPr>
  </w:style>
  <w:style w:type="character" w:styleId="PageNumber">
    <w:name w:val="page number"/>
    <w:basedOn w:val="DefaultParagraphFont"/>
    <w:rsid w:val="00103A21"/>
  </w:style>
  <w:style w:type="paragraph" w:styleId="BalloonText">
    <w:name w:val="Balloon Text"/>
    <w:basedOn w:val="Normal"/>
    <w:semiHidden/>
    <w:rsid w:val="00103A2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103A21"/>
    <w:pPr>
      <w:ind w:left="7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rsid w:val="00103A21"/>
    <w:pPr>
      <w:spacing w:before="120"/>
      <w:jc w:val="center"/>
    </w:pPr>
    <w:rPr>
      <w:rFonts w:ascii="Arial" w:hAnsi="Arial" w:cs="Arial"/>
      <w:b/>
      <w:bCs/>
      <w:sz w:val="28"/>
    </w:rPr>
  </w:style>
  <w:style w:type="paragraph" w:styleId="TOC5">
    <w:name w:val="toc 5"/>
    <w:basedOn w:val="Normal"/>
    <w:next w:val="Normal"/>
    <w:autoRedefine/>
    <w:semiHidden/>
    <w:rsid w:val="00103A2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103A2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103A2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103A2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103A21"/>
    <w:pPr>
      <w:ind w:left="1920"/>
    </w:pPr>
    <w:rPr>
      <w:sz w:val="18"/>
      <w:szCs w:val="18"/>
    </w:rPr>
  </w:style>
  <w:style w:type="paragraph" w:styleId="CommentText">
    <w:name w:val="annotation text"/>
    <w:basedOn w:val="Normal"/>
    <w:semiHidden/>
    <w:rsid w:val="00103A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03A21"/>
    <w:rPr>
      <w:b/>
      <w:bCs/>
    </w:rPr>
  </w:style>
  <w:style w:type="table" w:styleId="TableGrid">
    <w:name w:val="Table Grid"/>
    <w:basedOn w:val="TableNormal"/>
    <w:rsid w:val="001E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282261"/>
    <w:pPr>
      <w:spacing w:before="100" w:after="100"/>
    </w:pPr>
    <w:rPr>
      <w:color w:val="auto"/>
    </w:rPr>
  </w:style>
  <w:style w:type="paragraph" w:styleId="Revision">
    <w:name w:val="Revision"/>
    <w:hidden/>
    <w:uiPriority w:val="99"/>
    <w:semiHidden/>
    <w:rsid w:val="006B3D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40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80AFD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80AFD"/>
    <w:rPr>
      <w:rFonts w:ascii="Arial" w:eastAsiaTheme="minorEastAsia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0AFD"/>
    <w:rPr>
      <w:rFonts w:ascii="Arial" w:eastAsiaTheme="minorEastAsia" w:hAnsi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80AFD"/>
    <w:rPr>
      <w:rFonts w:ascii="Arial" w:eastAsiaTheme="minorEastAsia" w:hAnsi="Arial" w:cs="Arial"/>
      <w:sz w:val="22"/>
      <w:szCs w:val="22"/>
    </w:rPr>
  </w:style>
  <w:style w:type="paragraph" w:customStyle="1" w:styleId="pf0">
    <w:name w:val="pf0"/>
    <w:basedOn w:val="Normal"/>
    <w:rsid w:val="00CE44CB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E44CB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sclosures@erco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nerc.com/files/glossary_of_term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sclosures@erco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E6DE3FAD7634291E6C14EFB2C3F86" ma:contentTypeVersion="26" ma:contentTypeDescription="Create a new document." ma:contentTypeScope="" ma:versionID="3910e64db957390db6c0d9d849e77f2c">
  <xsd:schema xmlns:xsd="http://www.w3.org/2001/XMLSchema" xmlns:xs="http://www.w3.org/2001/XMLSchema" xmlns:p="http://schemas.microsoft.com/office/2006/metadata/properties" xmlns:ns2="c34af464-7aa1-4edd-9be4-83dffc1cb926" xmlns:ns3="d0a93543-017a-4c8d-b1ec-ee1e5e9fb6c9" xmlns:ns4="2eb14311-4a63-44ee-8250-d38460c06c1c" targetNamespace="http://schemas.microsoft.com/office/2006/metadata/properties" ma:root="true" ma:fieldsID="917656baf23e8a182431f4162107398e" ns2:_="" ns3:_="" ns4:_="">
    <xsd:import namespace="c34af464-7aa1-4edd-9be4-83dffc1cb926"/>
    <xsd:import namespace="d0a93543-017a-4c8d-b1ec-ee1e5e9fb6c9"/>
    <xsd:import namespace="2eb14311-4a63-44ee-8250-d38460c06c1c"/>
    <xsd:element name="properties">
      <xsd:complexType>
        <xsd:sequence>
          <xsd:element name="documentManagement">
            <xsd:complexType>
              <xsd:all>
                <xsd:element ref="ns2:Information_x0020_Classification"/>
                <xsd:element ref="ns3:ID_x0020_Index"/>
                <xsd:element ref="ns3:Date"/>
                <xsd:element ref="ns3:Document_x0020_Status" minOccurs="0"/>
                <xsd:element ref="ns3:Document_x0020_Description" minOccurs="0"/>
                <xsd:element ref="ns3:Corporate_x0020_Policy"/>
                <xsd:element ref="ns3:Governs" minOccurs="0"/>
                <xsd:element ref="ns3:Doc_x0020_Type"/>
                <xsd:element ref="ns3:Document_x0020_Owner"/>
                <xsd:element ref="ns3:Revision_x0020_Type" minOccurs="0"/>
                <xsd:element ref="ns4:BPR_x0020_Reference" minOccurs="0"/>
                <xsd:element ref="ns4:Initiate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Internal" ma:description="ERCOT Information Classification" ma:format="Dropdown" ma:internalName="Information_x0020_Classification">
      <xsd:simpleType>
        <xsd:restriction base="dms:Choice">
          <xsd:enumeration value="Public"/>
          <xsd:enumeration value="ERCOT Internal"/>
          <xsd:enumeration value="ERCOT 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93543-017a-4c8d-b1ec-ee1e5e9fb6c9" elementFormDefault="qualified">
    <xsd:import namespace="http://schemas.microsoft.com/office/2006/documentManagement/types"/>
    <xsd:import namespace="http://schemas.microsoft.com/office/infopath/2007/PartnerControls"/>
    <xsd:element name="ID_x0020_Index" ma:index="9" ma:displayName="ID Index" ma:internalName="ID_x0020_Index">
      <xsd:simpleType>
        <xsd:restriction base="dms:Text">
          <xsd:maxLength value="255"/>
        </xsd:restriction>
      </xsd:simpleType>
    </xsd:element>
    <xsd:element name="Date" ma:index="10" ma:displayName="Effective Date" ma:format="DateOnly" ma:internalName="Date">
      <xsd:simpleType>
        <xsd:restriction base="dms:DateTime"/>
      </xsd:simpleType>
    </xsd:element>
    <xsd:element name="Document_x0020_Status" ma:index="11" nillable="true" ma:displayName="Document Status" ma:default="Active" ma:format="Dropdown" ma:internalName="Document_x0020_Status">
      <xsd:simpleType>
        <xsd:restriction base="dms:Choice">
          <xsd:enumeration value="Active"/>
          <xsd:enumeration value="Active-Core"/>
          <xsd:enumeration value="Expired"/>
        </xsd:restriction>
      </xsd:simpleType>
    </xsd:element>
    <xsd:element name="Document_x0020_Description" ma:index="12" nillable="true" ma:displayName="Subject" ma:internalName="Document_x0020_Descrip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ssets"/>
                        <xsd:enumeration value="Compensation/Benefits/Leave"/>
                        <xsd:enumeration value="Compliance &amp; Legal"/>
                        <xsd:enumeration value="Contracts &amp; Procurement"/>
                        <xsd:enumeration value="Corporate Governance"/>
                        <xsd:enumeration value="Employment"/>
                        <xsd:enumeration value="Employment Termination"/>
                        <xsd:enumeration value="Financial"/>
                        <xsd:enumeration value="IT"/>
                        <xsd:enumeration value="Market &amp; Commercial Operations"/>
                        <xsd:enumeration value="Program Management"/>
                        <xsd:enumeration value="Security"/>
                        <xsd:enumeration value="System Operati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rporate_x0020_Policy" ma:index="13" ma:displayName="Corporate Policy" ma:format="Dropdown" ma:internalName="Corporate_x0020_Policy">
      <xsd:simpleType>
        <xsd:union memberTypes="dms:Text">
          <xsd:simpleType>
            <xsd:restriction base="dms:Choice">
              <xsd:enumeration value="1-Corporate Governance"/>
              <xsd:enumeration value="2-Asset"/>
              <xsd:enumeration value="3-Business Operations"/>
              <xsd:enumeration value="4-Information Governance"/>
              <xsd:enumeration value="5-Workforce"/>
              <xsd:enumeration value="6-Information Technology"/>
              <xsd:enumeration value="7-Security and Safety"/>
              <xsd:enumeration value="8-System Operations"/>
              <xsd:enumeration value="9-Market and Commercial Operations"/>
            </xsd:restriction>
          </xsd:simpleType>
        </xsd:union>
      </xsd:simpleType>
    </xsd:element>
    <xsd:element name="Governs" ma:index="14" nillable="true" ma:displayName="Governs" ma:default="ERCOT Employees" ma:internalName="Govern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RCOT Contract Workers"/>
                        <xsd:enumeration value="ERCOT Employees"/>
                        <xsd:enumeration value="Credit Personnel"/>
                        <xsd:enumeration value="Facilities Personnel"/>
                        <xsd:enumeration value="Finance Personnel"/>
                        <xsd:enumeration value="IT Personnel"/>
                        <xsd:enumeration value="Security Personnel"/>
                        <xsd:enumeration value="Procurement Personnel"/>
                        <xsd:enumeration value="Operations Personne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_x0020_Type" ma:index="15" ma:displayName="Doc Type" ma:format="Dropdown" ma:internalName="Doc_x0020_Type">
      <xsd:simpleType>
        <xsd:restriction base="dms:Choice">
          <xsd:enumeration value="Policy"/>
          <xsd:enumeration value="Standard"/>
          <xsd:enumeration value="Procedure"/>
          <xsd:enumeration value="Form"/>
          <xsd:enumeration value="Flow Chart"/>
          <xsd:enumeration value="Guideline"/>
          <xsd:enumeration value="Other"/>
        </xsd:restriction>
      </xsd:simpleType>
    </xsd:element>
    <xsd:element name="Document_x0020_Owner" ma:index="16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Type" ma:index="19" nillable="true" ma:displayName="Revision Type" ma:format="Dropdown" ma:internalName="Revision_x0020_Type">
      <xsd:simpleType>
        <xsd:restriction base="dms:Choice">
          <xsd:enumeration value="New Document"/>
          <xsd:enumeration value="Minor Change"/>
          <xsd:enumeration value="Major Change"/>
          <xsd:enumeration value="Date Refresh"/>
          <xsd:enumeration value="Other Admin Change"/>
          <xsd:enumeration value="Revised - No E-Wire Po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311-4a63-44ee-8250-d38460c06c1c" elementFormDefault="qualified">
    <xsd:import namespace="http://schemas.microsoft.com/office/2006/documentManagement/types"/>
    <xsd:import namespace="http://schemas.microsoft.com/office/infopath/2007/PartnerControls"/>
    <xsd:element name="BPR_x0020_Reference" ma:index="20" nillable="true" ma:displayName="BPR Reference" ma:internalName="BPR_x0020_Reference">
      <xsd:simpleType>
        <xsd:restriction base="dms:Text">
          <xsd:maxLength value="255"/>
        </xsd:restriction>
      </xsd:simpleType>
    </xsd:element>
    <xsd:element name="Initiate_x0020_Review" ma:index="22" nillable="true" ma:displayName="Initiate Review" ma:default="0" ma:internalName="Initiate_x0020_Revie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Information_x0020_Classification xmlns="c34af464-7aa1-4edd-9be4-83dffc1cb926">Public</Information_x0020_Classification>
    <Document_x0020_Description xmlns="d0a93543-017a-4c8d-b1ec-ee1e5e9fb6c9">
      <Value>Corporate Governance</Value>
      <Value>Security</Value>
    </Document_x0020_Description>
    <ID_x0020_Index xmlns="d0a93543-017a-4c8d-b1ec-ee1e5e9fb6c9">6</ID_x0020_Index>
    <Date xmlns="d0a93543-017a-4c8d-b1ec-ee1e5e9fb6c9">2021-12-10T06:00:00+00:00</Date>
    <Doc_x0020_Type xmlns="d0a93543-017a-4c8d-b1ec-ee1e5e9fb6c9">Standard</Doc_x0020_Type>
    <Governs xmlns="d0a93543-017a-4c8d-b1ec-ee1e5e9fb6c9">
      <Value>ERCOT Contract Workers</Value>
      <Value>ERCOT Employees</Value>
    </Governs>
    <Revision_x0020_Type xmlns="d0a93543-017a-4c8d-b1ec-ee1e5e9fb6c9">Other Admin Change</Revision_x0020_Type>
    <Document_x0020_Owner xmlns="d0a93543-017a-4c8d-b1ec-ee1e5e9fb6c9">
      <UserInfo>
        <DisplayName>Seely, Chad</DisplayName>
        <AccountId>816</AccountId>
        <AccountType/>
      </UserInfo>
    </Document_x0020_Owner>
    <Document_x0020_Status xmlns="d0a93543-017a-4c8d-b1ec-ee1e5e9fb6c9">Active-Core</Document_x0020_Status>
    <Corporate_x0020_Policy xmlns="d0a93543-017a-4c8d-b1ec-ee1e5e9fb6c9">7-Security and Safety</Corporate_x0020_Policy>
    <BPR_x0020_Reference xmlns="2eb14311-4a63-44ee-8250-d38460c06c1c" xsi:nil="true"/>
    <Initiate_x0020_Review xmlns="2eb14311-4a63-44ee-8250-d38460c06c1c">false</Initiate_x0020_Review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5BD2FB-9ED3-4677-AE04-B03BCC20B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05AD1-E783-4574-B987-B059C3FE7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AB0F9-FF74-4778-B0ED-AF1618F65CD1}"/>
</file>

<file path=customXml/itemProps4.xml><?xml version="1.0" encoding="utf-8"?>
<ds:datastoreItem xmlns:ds="http://schemas.openxmlformats.org/officeDocument/2006/customXml" ds:itemID="{BC3206AF-3B96-4703-B59A-66605626E96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34af464-7aa1-4edd-9be4-83dffc1cb926"/>
    <ds:schemaRef ds:uri="97a39364-ad92-46bb-aced-768559cbb0f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a93543-017a-4c8d-b1ec-ee1e5e9fb6c9"/>
  </ds:schemaRefs>
</ds:datastoreItem>
</file>

<file path=customXml/itemProps5.xml><?xml version="1.0" encoding="utf-8"?>
<ds:datastoreItem xmlns:ds="http://schemas.openxmlformats.org/officeDocument/2006/customXml" ds:itemID="{D55A91CE-79BA-44E9-AF36-D4DCD096D4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CS7.6 Information Classification Corporate Standard</vt:lpstr>
    </vt:vector>
  </TitlesOfParts>
  <Company>The Electric Reliability Council of Texas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CS7.6 Information Protection Corporate Standard</dc:title>
  <dc:creator>chasha</dc:creator>
  <cp:lastModifiedBy>Jewett, Jennifer</cp:lastModifiedBy>
  <cp:revision>74</cp:revision>
  <cp:lastPrinted>2015-10-13T13:07:00Z</cp:lastPrinted>
  <dcterms:created xsi:type="dcterms:W3CDTF">2015-08-14T13:55:00Z</dcterms:created>
  <dcterms:modified xsi:type="dcterms:W3CDTF">2022-11-02T18:52:00Z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#">
    <vt:lpwstr>1.9</vt:lpwstr>
  </property>
  <property fmtid="{D5CDD505-2E9C-101B-9397-08002B2CF9AE}" pid="3" name="Order">
    <vt:r8>18200</vt:r8>
  </property>
  <property fmtid="{D5CDD505-2E9C-101B-9397-08002B2CF9AE}" pid="4" name="ContentType">
    <vt:lpwstr>Document</vt:lpwstr>
  </property>
  <property fmtid="{D5CDD505-2E9C-101B-9397-08002B2CF9AE}" pid="5" name="ContentTypeId">
    <vt:lpwstr>0x010100897E6DE3FAD7634291E6C14EFB2C3F86</vt:lpwstr>
  </property>
  <property fmtid="{D5CDD505-2E9C-101B-9397-08002B2CF9AE}" pid="6" name="Owner">
    <vt:lpwstr>Ann Delenela</vt:lpwstr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Owner">
    <vt:lpwstr>Delenela, Ann28</vt:lpwstr>
  </property>
  <property fmtid="{D5CDD505-2E9C-101B-9397-08002B2CF9AE}" pid="11" name="Revision Type">
    <vt:lpwstr>Other Admin Change</vt:lpwstr>
  </property>
  <property fmtid="{D5CDD505-2E9C-101B-9397-08002B2CF9AE}" pid="12" name="Date">
    <vt:lpwstr>2009-09-30T06:00:00+00:00</vt:lpwstr>
  </property>
  <property fmtid="{D5CDD505-2E9C-101B-9397-08002B2CF9AE}" pid="13" name="Doc Type">
    <vt:lpwstr>Standard</vt:lpwstr>
  </property>
  <property fmtid="{D5CDD505-2E9C-101B-9397-08002B2CF9AE}" pid="14" name="Document Description">
    <vt:lpwstr>Corporate GovernanceSecurity</vt:lpwstr>
  </property>
  <property fmtid="{D5CDD505-2E9C-101B-9397-08002B2CF9AE}" pid="15" name="ID Index">
    <vt:lpwstr>6</vt:lpwstr>
  </property>
  <property fmtid="{D5CDD505-2E9C-101B-9397-08002B2CF9AE}" pid="16" name="Corporate Policy">
    <vt:lpwstr>7-Security and Safety</vt:lpwstr>
  </property>
  <property fmtid="{D5CDD505-2E9C-101B-9397-08002B2CF9AE}" pid="17" name="Initiate Review">
    <vt:lpwstr>false</vt:lpwstr>
  </property>
  <property fmtid="{D5CDD505-2E9C-101B-9397-08002B2CF9AE}" pid="18" name="Document Status">
    <vt:lpwstr>Active-Core</vt:lpwstr>
  </property>
  <property fmtid="{D5CDD505-2E9C-101B-9397-08002B2CF9AE}" pid="19" name="Governs">
    <vt:lpwstr>ERCOT Contract WorkersERCOT Employees</vt:lpwstr>
  </property>
  <property fmtid="{D5CDD505-2E9C-101B-9397-08002B2CF9AE}" pid="20" name="WorkflowCreationPath">
    <vt:lpwstr>cbba4a62-b105-494c-b099-982e9fc9451e,13;cbba4a62-b105-494c-b099-982e9fc9451e,17;cbba4a62-b105-494c-b099-982e9fc9451e,21;</vt:lpwstr>
  </property>
  <property fmtid="{D5CDD505-2E9C-101B-9397-08002B2CF9AE}" pid="21" name="WorkflowChangePath">
    <vt:lpwstr>cbba4a62-b105-494c-b099-982e9fc9451e,26;cbba4a62-b105-494c-b099-982e9fc9451e,28;cbba4a62-b105-494c-b099-982e9fc9451e,32;cbba4a62-b105-494c-b099-982e9fc9451e,34;cbba4a62-b105-494c-b099-982e9fc9451e,36;23c2c48c-148d-41c4-866e-72aadae3eda3,120;</vt:lpwstr>
  </property>
  <property fmtid="{D5CDD505-2E9C-101B-9397-08002B2CF9AE}" pid="22" name="_CopySource">
    <vt:lpwstr>http://ep.ercot.com/icmp/Policies  Procedures Working Library/CS7.6 Information Protection Corporate Standard.docx</vt:lpwstr>
  </property>
  <property fmtid="{D5CDD505-2E9C-101B-9397-08002B2CF9AE}" pid="23" name="_SharedFileIndex">
    <vt:lpwstr/>
  </property>
  <property fmtid="{D5CDD505-2E9C-101B-9397-08002B2CF9AE}" pid="24" name="_SourceUrl">
    <vt:lpwstr/>
  </property>
</Properties>
</file>