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0" w:type="dxa"/>
        <w:tblCellMar>
          <w:left w:w="0" w:type="dxa"/>
          <w:right w:w="0" w:type="dxa"/>
        </w:tblCellMar>
        <w:tblLook w:val="04A0" w:firstRow="1" w:lastRow="0" w:firstColumn="1" w:lastColumn="0" w:noHBand="0" w:noVBand="1"/>
      </w:tblPr>
      <w:tblGrid>
        <w:gridCol w:w="890"/>
        <w:gridCol w:w="7342"/>
        <w:gridCol w:w="1478"/>
      </w:tblGrid>
      <w:tr w:rsidR="00F304F8" w:rsidRPr="00F304F8" w:rsidTr="00F304F8">
        <w:tc>
          <w:tcPr>
            <w:tcW w:w="890" w:type="dxa"/>
          </w:tcPr>
          <w:p w:rsidR="00F304F8" w:rsidRPr="00F304F8" w:rsidRDefault="00F304F8" w:rsidP="00F304F8">
            <w:pPr>
              <w:numPr>
                <w:ilvl w:val="0"/>
                <w:numId w:val="3"/>
              </w:numPr>
              <w:spacing w:line="256" w:lineRule="auto"/>
              <w:rPr>
                <w:rFonts w:ascii="Arial" w:eastAsia="Times New Roman"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rPr>
                <w:rFonts w:ascii="Arial" w:eastAsia="Times New Roman" w:hAnsi="Arial" w:cs="Arial"/>
                <w:b/>
                <w:bCs/>
                <w:color w:val="000000"/>
                <w:sz w:val="24"/>
                <w:szCs w:val="24"/>
                <w:shd w:val="clear" w:color="auto" w:fill="FFFFFF"/>
              </w:rPr>
            </w:pPr>
            <w:r w:rsidRPr="00F304F8">
              <w:rPr>
                <w:rFonts w:ascii="Arial" w:eastAsia="Times New Roman" w:hAnsi="Arial" w:cs="Arial"/>
                <w:sz w:val="24"/>
                <w:szCs w:val="24"/>
              </w:rPr>
              <w:t>Welcome and Introductions</w:t>
            </w:r>
          </w:p>
        </w:tc>
        <w:tc>
          <w:tcPr>
            <w:tcW w:w="1478" w:type="dxa"/>
            <w:tcMar>
              <w:top w:w="0" w:type="dxa"/>
              <w:left w:w="108" w:type="dxa"/>
              <w:bottom w:w="0" w:type="dxa"/>
              <w:right w:w="108" w:type="dxa"/>
            </w:tcMar>
            <w:hideMark/>
          </w:tcPr>
          <w:p w:rsidR="00F304F8" w:rsidRPr="00F304F8" w:rsidRDefault="00F304F8">
            <w:pPr>
              <w:spacing w:line="256" w:lineRule="auto"/>
              <w:rPr>
                <w:rFonts w:ascii="Arial" w:hAnsi="Arial" w:cs="Arial"/>
                <w:bCs/>
                <w:sz w:val="24"/>
                <w:szCs w:val="24"/>
              </w:rPr>
            </w:pPr>
            <w:r w:rsidRPr="00F304F8">
              <w:rPr>
                <w:rFonts w:ascii="Arial" w:hAnsi="Arial" w:cs="Arial"/>
                <w:bCs/>
                <w:sz w:val="24"/>
                <w:szCs w:val="24"/>
              </w:rPr>
              <w:t>ERCOT</w:t>
            </w:r>
          </w:p>
        </w:tc>
      </w:tr>
      <w:tr w:rsidR="00F304F8" w:rsidRPr="00F304F8" w:rsidTr="00F304F8">
        <w:tc>
          <w:tcPr>
            <w:tcW w:w="890" w:type="dxa"/>
          </w:tcPr>
          <w:p w:rsidR="00F304F8" w:rsidRPr="00F304F8" w:rsidRDefault="00F304F8" w:rsidP="00F304F8">
            <w:pPr>
              <w:numPr>
                <w:ilvl w:val="0"/>
                <w:numId w:val="3"/>
              </w:numPr>
              <w:spacing w:line="256" w:lineRule="auto"/>
              <w:rPr>
                <w:rFonts w:ascii="Arial" w:eastAsia="Times New Roman"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rPr>
                <w:rFonts w:ascii="Arial" w:eastAsia="Times New Roman" w:hAnsi="Arial" w:cs="Arial"/>
                <w:b/>
                <w:bCs/>
                <w:color w:val="000000"/>
                <w:sz w:val="24"/>
                <w:szCs w:val="24"/>
                <w:shd w:val="clear" w:color="auto" w:fill="FFFFFF"/>
              </w:rPr>
            </w:pPr>
            <w:r w:rsidRPr="00F304F8">
              <w:rPr>
                <w:rFonts w:ascii="Arial" w:eastAsia="Times New Roman" w:hAnsi="Arial" w:cs="Arial"/>
                <w:sz w:val="24"/>
                <w:szCs w:val="24"/>
              </w:rPr>
              <w:t>History of the Issue and Level-Setting</w:t>
            </w:r>
          </w:p>
        </w:tc>
        <w:tc>
          <w:tcPr>
            <w:tcW w:w="1478" w:type="dxa"/>
            <w:tcMar>
              <w:top w:w="0" w:type="dxa"/>
              <w:left w:w="108" w:type="dxa"/>
              <w:bottom w:w="0" w:type="dxa"/>
              <w:right w:w="108" w:type="dxa"/>
            </w:tcMar>
            <w:hideMark/>
          </w:tcPr>
          <w:p w:rsidR="00F304F8" w:rsidRPr="00F304F8" w:rsidRDefault="00F304F8">
            <w:pPr>
              <w:spacing w:line="256" w:lineRule="auto"/>
              <w:rPr>
                <w:rFonts w:ascii="Arial" w:hAnsi="Arial" w:cs="Arial"/>
                <w:bCs/>
                <w:sz w:val="24"/>
                <w:szCs w:val="24"/>
              </w:rPr>
            </w:pPr>
            <w:r w:rsidRPr="00F304F8">
              <w:rPr>
                <w:rFonts w:ascii="Arial" w:hAnsi="Arial" w:cs="Arial"/>
                <w:bCs/>
                <w:sz w:val="24"/>
                <w:szCs w:val="24"/>
              </w:rPr>
              <w:t>S. Wiegand</w:t>
            </w:r>
          </w:p>
        </w:tc>
      </w:tr>
      <w:tr w:rsidR="00F304F8" w:rsidRPr="00F304F8" w:rsidTr="00F304F8">
        <w:tc>
          <w:tcPr>
            <w:tcW w:w="890" w:type="dxa"/>
          </w:tcPr>
          <w:p w:rsidR="00F304F8" w:rsidRPr="00F304F8" w:rsidRDefault="00F304F8" w:rsidP="00F304F8">
            <w:pPr>
              <w:numPr>
                <w:ilvl w:val="0"/>
                <w:numId w:val="3"/>
              </w:numPr>
              <w:spacing w:line="256" w:lineRule="auto"/>
              <w:contextualSpacing/>
              <w:rPr>
                <w:rFonts w:ascii="Arial"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contextualSpacing/>
              <w:rPr>
                <w:rFonts w:ascii="Arial" w:hAnsi="Arial" w:cs="Arial"/>
                <w:sz w:val="24"/>
                <w:szCs w:val="24"/>
              </w:rPr>
            </w:pPr>
            <w:r w:rsidRPr="00F304F8">
              <w:rPr>
                <w:rFonts w:ascii="Arial" w:hAnsi="Arial" w:cs="Arial"/>
                <w:sz w:val="24"/>
                <w:szCs w:val="24"/>
              </w:rPr>
              <w:t>Importan</w:t>
            </w:r>
            <w:bookmarkStart w:id="0" w:name="_GoBack"/>
            <w:bookmarkEnd w:id="0"/>
            <w:r w:rsidRPr="00F304F8">
              <w:rPr>
                <w:rFonts w:ascii="Arial" w:hAnsi="Arial" w:cs="Arial"/>
                <w:sz w:val="24"/>
                <w:szCs w:val="24"/>
              </w:rPr>
              <w:t>ce of AMS &amp; IDR Data Availability</w:t>
            </w:r>
          </w:p>
        </w:tc>
        <w:tc>
          <w:tcPr>
            <w:tcW w:w="1478" w:type="dxa"/>
            <w:tcMar>
              <w:top w:w="0" w:type="dxa"/>
              <w:left w:w="108" w:type="dxa"/>
              <w:bottom w:w="0" w:type="dxa"/>
              <w:right w:w="108" w:type="dxa"/>
            </w:tcMar>
            <w:hideMark/>
          </w:tcPr>
          <w:p w:rsidR="00F304F8" w:rsidRPr="00F304F8" w:rsidRDefault="00F304F8">
            <w:pPr>
              <w:spacing w:line="256" w:lineRule="auto"/>
              <w:rPr>
                <w:rFonts w:ascii="Arial" w:hAnsi="Arial" w:cs="Arial"/>
                <w:bCs/>
                <w:sz w:val="24"/>
                <w:szCs w:val="24"/>
              </w:rPr>
            </w:pPr>
            <w:r w:rsidRPr="00F304F8">
              <w:rPr>
                <w:rFonts w:ascii="Arial" w:hAnsi="Arial" w:cs="Arial"/>
                <w:bCs/>
                <w:sz w:val="24"/>
                <w:szCs w:val="24"/>
              </w:rPr>
              <w:t>B. Barnes</w:t>
            </w:r>
          </w:p>
        </w:tc>
      </w:tr>
      <w:tr w:rsidR="00F304F8" w:rsidRPr="00F304F8" w:rsidTr="00F304F8">
        <w:tc>
          <w:tcPr>
            <w:tcW w:w="890" w:type="dxa"/>
          </w:tcPr>
          <w:p w:rsidR="00F304F8" w:rsidRPr="00F304F8" w:rsidRDefault="00F304F8" w:rsidP="00F304F8">
            <w:pPr>
              <w:numPr>
                <w:ilvl w:val="0"/>
                <w:numId w:val="3"/>
              </w:numPr>
              <w:spacing w:line="256" w:lineRule="auto"/>
              <w:rPr>
                <w:rFonts w:ascii="Arial" w:eastAsia="Times New Roman"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rPr>
                <w:rFonts w:ascii="Arial" w:eastAsia="Times New Roman" w:hAnsi="Arial" w:cs="Arial"/>
                <w:sz w:val="24"/>
                <w:szCs w:val="24"/>
              </w:rPr>
            </w:pPr>
            <w:r w:rsidRPr="00F304F8">
              <w:rPr>
                <w:rFonts w:ascii="Arial" w:eastAsia="Times New Roman" w:hAnsi="Arial" w:cs="Arial"/>
                <w:sz w:val="24"/>
                <w:szCs w:val="24"/>
              </w:rPr>
              <w:t xml:space="preserve">Goals and Requirements of IDR Metered Premises to AMS Based Metering </w:t>
            </w:r>
          </w:p>
          <w:p w:rsidR="00F304F8" w:rsidRPr="00F304F8" w:rsidRDefault="00F304F8" w:rsidP="00557FBB">
            <w:pPr>
              <w:numPr>
                <w:ilvl w:val="1"/>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u w:val="single"/>
              </w:rPr>
              <w:t>Primary Goal:</w:t>
            </w:r>
            <w:r w:rsidRPr="00F304F8">
              <w:rPr>
                <w:rFonts w:ascii="Arial" w:eastAsia="Times New Roman" w:hAnsi="Arial" w:cs="Arial"/>
                <w:color w:val="000000"/>
                <w:sz w:val="24"/>
                <w:szCs w:val="24"/>
              </w:rPr>
              <w:t xml:space="preserve"> </w:t>
            </w:r>
          </w:p>
          <w:p w:rsidR="00F304F8" w:rsidRPr="00F304F8" w:rsidRDefault="00F304F8" w:rsidP="00557FBB">
            <w:pPr>
              <w:numPr>
                <w:ilvl w:val="2"/>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rPr>
              <w:t>Improve accuracy of ERCOT initial settlement (actual vs estimated) by transitioning current IDR metered premises, where possible, to AMS profiled premises which allows for provision of post Operating Day interval data</w:t>
            </w:r>
          </w:p>
          <w:p w:rsidR="00F304F8" w:rsidRPr="00F304F8" w:rsidRDefault="00F304F8" w:rsidP="00557FBB">
            <w:pPr>
              <w:numPr>
                <w:ilvl w:val="1"/>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u w:val="single"/>
              </w:rPr>
              <w:t>Requirements</w:t>
            </w:r>
            <w:r w:rsidRPr="00F304F8">
              <w:rPr>
                <w:rFonts w:ascii="Arial" w:eastAsia="Times New Roman" w:hAnsi="Arial" w:cs="Arial"/>
                <w:color w:val="000000"/>
                <w:sz w:val="24"/>
                <w:szCs w:val="24"/>
              </w:rPr>
              <w:t xml:space="preserve">: </w:t>
            </w:r>
          </w:p>
          <w:p w:rsidR="00F304F8" w:rsidRPr="00F304F8" w:rsidRDefault="00F304F8" w:rsidP="00557FBB">
            <w:pPr>
              <w:numPr>
                <w:ilvl w:val="2"/>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rPr>
              <w:t>Maintain a 4CP INDICATOR</w:t>
            </w:r>
          </w:p>
          <w:p w:rsidR="00F304F8" w:rsidRPr="00F304F8" w:rsidRDefault="00F304F8" w:rsidP="00557FBB">
            <w:pPr>
              <w:numPr>
                <w:ilvl w:val="2"/>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rPr>
              <w:t>Ensure expected DATA STREAM</w:t>
            </w:r>
          </w:p>
          <w:p w:rsidR="00F304F8" w:rsidRPr="00F304F8" w:rsidRDefault="00F304F8" w:rsidP="00557FBB">
            <w:pPr>
              <w:numPr>
                <w:ilvl w:val="2"/>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rPr>
              <w:t>Consider HISTORICAL DATA ACCESSIBILITY</w:t>
            </w:r>
          </w:p>
          <w:p w:rsidR="00F304F8" w:rsidRPr="00F304F8" w:rsidRDefault="00F304F8" w:rsidP="00557FBB">
            <w:pPr>
              <w:numPr>
                <w:ilvl w:val="2"/>
                <w:numId w:val="1"/>
              </w:numPr>
              <w:shd w:val="clear" w:color="auto" w:fill="FFFFFF"/>
              <w:spacing w:after="45" w:line="256" w:lineRule="auto"/>
              <w:contextualSpacing/>
              <w:rPr>
                <w:rFonts w:ascii="Arial" w:eastAsia="Times New Roman" w:hAnsi="Arial" w:cs="Arial"/>
                <w:color w:val="000000"/>
                <w:sz w:val="24"/>
                <w:szCs w:val="24"/>
              </w:rPr>
            </w:pPr>
            <w:r w:rsidRPr="00F304F8">
              <w:rPr>
                <w:rFonts w:ascii="Arial" w:eastAsia="Times New Roman" w:hAnsi="Arial" w:cs="Arial"/>
                <w:color w:val="000000"/>
                <w:sz w:val="24"/>
                <w:szCs w:val="24"/>
              </w:rPr>
              <w:t>Identify a TRANSITION PLAN</w:t>
            </w:r>
          </w:p>
        </w:tc>
        <w:tc>
          <w:tcPr>
            <w:tcW w:w="1478" w:type="dxa"/>
            <w:tcMar>
              <w:top w:w="0" w:type="dxa"/>
              <w:left w:w="108" w:type="dxa"/>
              <w:bottom w:w="0" w:type="dxa"/>
              <w:right w:w="108" w:type="dxa"/>
            </w:tcMar>
            <w:hideMark/>
          </w:tcPr>
          <w:p w:rsidR="00F304F8" w:rsidRPr="00F304F8" w:rsidRDefault="00F304F8">
            <w:pPr>
              <w:spacing w:line="256" w:lineRule="auto"/>
              <w:rPr>
                <w:rFonts w:ascii="Arial" w:hAnsi="Arial" w:cs="Arial"/>
                <w:bCs/>
                <w:sz w:val="24"/>
                <w:szCs w:val="24"/>
              </w:rPr>
            </w:pPr>
            <w:r w:rsidRPr="00F304F8">
              <w:rPr>
                <w:rFonts w:ascii="Arial" w:hAnsi="Arial" w:cs="Arial"/>
                <w:bCs/>
                <w:sz w:val="24"/>
                <w:szCs w:val="24"/>
              </w:rPr>
              <w:t>S. Wiegand</w:t>
            </w:r>
          </w:p>
        </w:tc>
      </w:tr>
      <w:tr w:rsidR="00F304F8" w:rsidRPr="00F304F8" w:rsidTr="00F304F8">
        <w:tc>
          <w:tcPr>
            <w:tcW w:w="890" w:type="dxa"/>
          </w:tcPr>
          <w:p w:rsidR="00F304F8" w:rsidRPr="00F304F8" w:rsidRDefault="00F304F8" w:rsidP="00F304F8">
            <w:pPr>
              <w:numPr>
                <w:ilvl w:val="0"/>
                <w:numId w:val="3"/>
              </w:numPr>
              <w:spacing w:line="256" w:lineRule="auto"/>
              <w:contextualSpacing/>
              <w:rPr>
                <w:rFonts w:ascii="Arial"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contextualSpacing/>
              <w:rPr>
                <w:rFonts w:ascii="Arial" w:hAnsi="Arial" w:cs="Arial"/>
                <w:sz w:val="24"/>
                <w:szCs w:val="24"/>
              </w:rPr>
            </w:pPr>
            <w:r w:rsidRPr="00F304F8">
              <w:rPr>
                <w:rFonts w:ascii="Arial" w:hAnsi="Arial" w:cs="Arial"/>
                <w:sz w:val="24"/>
                <w:szCs w:val="24"/>
              </w:rPr>
              <w:t>Review ERCOT’s Latest Proposal for New Load Profiles</w:t>
            </w:r>
          </w:p>
        </w:tc>
        <w:tc>
          <w:tcPr>
            <w:tcW w:w="1478" w:type="dxa"/>
            <w:tcMar>
              <w:top w:w="0" w:type="dxa"/>
              <w:left w:w="108" w:type="dxa"/>
              <w:bottom w:w="0" w:type="dxa"/>
              <w:right w:w="108" w:type="dxa"/>
            </w:tcMar>
            <w:hideMark/>
          </w:tcPr>
          <w:p w:rsidR="00F304F8" w:rsidRPr="00F304F8" w:rsidRDefault="00F304F8">
            <w:pPr>
              <w:spacing w:line="256" w:lineRule="auto"/>
              <w:rPr>
                <w:rFonts w:ascii="Arial" w:hAnsi="Arial" w:cs="Arial"/>
                <w:bCs/>
                <w:sz w:val="24"/>
                <w:szCs w:val="24"/>
              </w:rPr>
            </w:pPr>
            <w:r w:rsidRPr="00F304F8">
              <w:rPr>
                <w:rFonts w:ascii="Arial" w:hAnsi="Arial" w:cs="Arial"/>
                <w:bCs/>
                <w:sz w:val="24"/>
                <w:szCs w:val="24"/>
              </w:rPr>
              <w:t>ERCOT</w:t>
            </w:r>
          </w:p>
        </w:tc>
      </w:tr>
      <w:tr w:rsidR="00F304F8" w:rsidRPr="00F304F8" w:rsidTr="00F304F8">
        <w:tc>
          <w:tcPr>
            <w:tcW w:w="890" w:type="dxa"/>
          </w:tcPr>
          <w:p w:rsidR="00F304F8" w:rsidRPr="00F304F8" w:rsidRDefault="00F304F8" w:rsidP="00F304F8">
            <w:pPr>
              <w:numPr>
                <w:ilvl w:val="0"/>
                <w:numId w:val="3"/>
              </w:numPr>
              <w:spacing w:line="256" w:lineRule="auto"/>
              <w:contextualSpacing/>
              <w:rPr>
                <w:rFonts w:ascii="Arial"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contextualSpacing/>
              <w:rPr>
                <w:rFonts w:ascii="Arial" w:hAnsi="Arial" w:cs="Arial"/>
                <w:sz w:val="24"/>
                <w:szCs w:val="24"/>
              </w:rPr>
            </w:pPr>
            <w:r w:rsidRPr="00F304F8">
              <w:rPr>
                <w:rFonts w:ascii="Arial" w:hAnsi="Arial" w:cs="Arial"/>
                <w:sz w:val="24"/>
                <w:szCs w:val="24"/>
              </w:rPr>
              <w:t>Next Steps</w:t>
            </w:r>
          </w:p>
        </w:tc>
        <w:tc>
          <w:tcPr>
            <w:tcW w:w="1478" w:type="dxa"/>
            <w:tcMar>
              <w:top w:w="0" w:type="dxa"/>
              <w:left w:w="108" w:type="dxa"/>
              <w:bottom w:w="0" w:type="dxa"/>
              <w:right w:w="108" w:type="dxa"/>
            </w:tcMar>
          </w:tcPr>
          <w:p w:rsidR="00F304F8" w:rsidRPr="00F304F8" w:rsidRDefault="00F304F8">
            <w:pPr>
              <w:spacing w:line="256" w:lineRule="auto"/>
              <w:rPr>
                <w:rFonts w:ascii="Arial" w:hAnsi="Arial" w:cs="Arial"/>
                <w:bCs/>
                <w:sz w:val="24"/>
                <w:szCs w:val="24"/>
              </w:rPr>
            </w:pPr>
          </w:p>
        </w:tc>
      </w:tr>
      <w:tr w:rsidR="00F304F8" w:rsidRPr="00F304F8" w:rsidTr="00F304F8">
        <w:tc>
          <w:tcPr>
            <w:tcW w:w="890" w:type="dxa"/>
          </w:tcPr>
          <w:p w:rsidR="00F304F8" w:rsidRPr="00F304F8" w:rsidRDefault="00F304F8" w:rsidP="00F304F8">
            <w:pPr>
              <w:numPr>
                <w:ilvl w:val="0"/>
                <w:numId w:val="3"/>
              </w:numPr>
              <w:spacing w:line="256" w:lineRule="auto"/>
              <w:rPr>
                <w:rFonts w:ascii="Arial" w:eastAsia="Times New Roman" w:hAnsi="Arial" w:cs="Arial"/>
                <w:sz w:val="24"/>
                <w:szCs w:val="24"/>
              </w:rPr>
            </w:pPr>
          </w:p>
        </w:tc>
        <w:tc>
          <w:tcPr>
            <w:tcW w:w="7342" w:type="dxa"/>
            <w:tcMar>
              <w:top w:w="0" w:type="dxa"/>
              <w:left w:w="108" w:type="dxa"/>
              <w:bottom w:w="0" w:type="dxa"/>
              <w:right w:w="108" w:type="dxa"/>
            </w:tcMar>
            <w:hideMark/>
          </w:tcPr>
          <w:p w:rsidR="00F304F8" w:rsidRPr="00F304F8" w:rsidRDefault="00F304F8" w:rsidP="00F304F8">
            <w:pPr>
              <w:spacing w:line="256" w:lineRule="auto"/>
              <w:ind w:left="360"/>
              <w:rPr>
                <w:rFonts w:ascii="Arial" w:eastAsia="Times New Roman" w:hAnsi="Arial" w:cs="Arial"/>
                <w:b/>
                <w:bCs/>
                <w:color w:val="000000"/>
                <w:sz w:val="24"/>
                <w:szCs w:val="24"/>
                <w:shd w:val="clear" w:color="auto" w:fill="FFFFFF"/>
              </w:rPr>
            </w:pPr>
            <w:r w:rsidRPr="00F304F8">
              <w:rPr>
                <w:rFonts w:ascii="Arial" w:eastAsia="Times New Roman" w:hAnsi="Arial" w:cs="Arial"/>
                <w:sz w:val="24"/>
                <w:szCs w:val="24"/>
              </w:rPr>
              <w:t>Adjourn</w:t>
            </w:r>
          </w:p>
        </w:tc>
        <w:tc>
          <w:tcPr>
            <w:tcW w:w="1478" w:type="dxa"/>
            <w:tcMar>
              <w:top w:w="0" w:type="dxa"/>
              <w:left w:w="108" w:type="dxa"/>
              <w:bottom w:w="0" w:type="dxa"/>
              <w:right w:w="108" w:type="dxa"/>
            </w:tcMar>
          </w:tcPr>
          <w:p w:rsidR="00F304F8" w:rsidRPr="00F304F8" w:rsidRDefault="00F304F8">
            <w:pPr>
              <w:spacing w:line="256" w:lineRule="auto"/>
              <w:rPr>
                <w:rFonts w:ascii="Arial" w:hAnsi="Arial" w:cs="Arial"/>
                <w:b/>
                <w:bCs/>
                <w:sz w:val="24"/>
                <w:szCs w:val="24"/>
              </w:rPr>
            </w:pPr>
          </w:p>
        </w:tc>
      </w:tr>
    </w:tbl>
    <w:p w:rsidR="0034575F" w:rsidRDefault="00F304F8"/>
    <w:sectPr w:rsidR="00345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D1A8A"/>
    <w:multiLevelType w:val="hybridMultilevel"/>
    <w:tmpl w:val="9EE06B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353362"/>
    <w:multiLevelType w:val="hybridMultilevel"/>
    <w:tmpl w:val="F050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F8"/>
    <w:rsid w:val="003D1D5F"/>
    <w:rsid w:val="008A29D6"/>
    <w:rsid w:val="00F3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3AD4-8B1C-4120-B5CA-ED16F578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34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Mike</dc:creator>
  <cp:keywords/>
  <dc:description/>
  <cp:lastModifiedBy>McCarty, Mike</cp:lastModifiedBy>
  <cp:revision>1</cp:revision>
  <dcterms:created xsi:type="dcterms:W3CDTF">2020-09-28T18:27:00Z</dcterms:created>
  <dcterms:modified xsi:type="dcterms:W3CDTF">2020-09-28T18:36:00Z</dcterms:modified>
</cp:coreProperties>
</file>