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77777777" w:rsidR="0098347E" w:rsidRDefault="0098347E" w:rsidP="000C15E1">
      <w:pPr>
        <w:pStyle w:val="TOCHead"/>
        <w:widowControl w:val="0"/>
        <w:sectPr w:rsidR="0098347E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6DD8C7CC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DF6721">
        <w:rPr>
          <w:rFonts w:ascii="Arial" w:hAnsi="Arial" w:cs="Arial"/>
          <w:color w:val="5B6770" w:themeColor="text2"/>
          <w:sz w:val="22"/>
          <w:szCs w:val="22"/>
        </w:rPr>
        <w:t>1,116.8</w:t>
      </w:r>
      <w:r w:rsidR="00DF6721" w:rsidRPr="00FD3A02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DF6721">
        <w:rPr>
          <w:rFonts w:ascii="Arial" w:hAnsi="Arial" w:cs="Arial"/>
          <w:color w:val="5B6770" w:themeColor="text2"/>
          <w:sz w:val="22"/>
          <w:szCs w:val="22"/>
        </w:rPr>
        <w:t xml:space="preserve">August </w:t>
      </w:r>
      <w:r w:rsidR="00A30A42">
        <w:rPr>
          <w:rFonts w:ascii="Arial" w:hAnsi="Arial" w:cs="Arial"/>
          <w:color w:val="5B6770" w:themeColor="text2"/>
          <w:sz w:val="22"/>
          <w:szCs w:val="22"/>
        </w:rPr>
        <w:t>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116A3E38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DF6721">
        <w:rPr>
          <w:rFonts w:ascii="Arial" w:hAnsi="Arial" w:cs="Arial"/>
          <w:color w:val="5B6770" w:themeColor="text2"/>
          <w:sz w:val="22"/>
          <w:szCs w:val="22"/>
        </w:rPr>
        <w:t xml:space="preserve">691.4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DF6721">
        <w:rPr>
          <w:rFonts w:ascii="Arial" w:hAnsi="Arial" w:cs="Arial"/>
          <w:color w:val="5B6770" w:themeColor="text2"/>
          <w:sz w:val="22"/>
          <w:szCs w:val="22"/>
        </w:rPr>
        <w:t xml:space="preserve">August </w:t>
      </w:r>
      <w:r w:rsidR="00A30A42">
        <w:rPr>
          <w:rFonts w:ascii="Arial" w:hAnsi="Arial" w:cs="Arial"/>
          <w:color w:val="5B6770" w:themeColor="text2"/>
          <w:sz w:val="22"/>
          <w:szCs w:val="22"/>
        </w:rPr>
        <w:t>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116F4872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4B6A32">
        <w:rPr>
          <w:rFonts w:ascii="Arial" w:hAnsi="Arial" w:cs="Arial"/>
          <w:color w:val="5B6770" w:themeColor="text2"/>
          <w:sz w:val="22"/>
          <w:szCs w:val="22"/>
        </w:rPr>
        <w:t>26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Billion as of </w:t>
      </w:r>
      <w:r w:rsidR="004B6A32">
        <w:rPr>
          <w:rFonts w:ascii="Arial" w:hAnsi="Arial" w:cs="Arial"/>
          <w:color w:val="5B6770" w:themeColor="text2"/>
          <w:sz w:val="22"/>
          <w:szCs w:val="22"/>
        </w:rPr>
        <w:t xml:space="preserve">June 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1, 2020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59DAE694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</w:t>
      </w:r>
      <w:r w:rsidR="004B6A32">
        <w:rPr>
          <w:rFonts w:cs="Arial"/>
          <w:sz w:val="22"/>
          <w:szCs w:val="22"/>
        </w:rPr>
        <w:t>.06</w:t>
      </w:r>
      <w:r w:rsidR="004C7869">
        <w:rPr>
          <w:rFonts w:cs="Arial"/>
          <w:sz w:val="22"/>
          <w:szCs w:val="22"/>
        </w:rPr>
        <w:t xml:space="preserve"> </w:t>
      </w:r>
      <w:r w:rsidR="004B6A32">
        <w:rPr>
          <w:rFonts w:cs="Arial"/>
          <w:sz w:val="22"/>
          <w:szCs w:val="22"/>
        </w:rPr>
        <w:t>B</w:t>
      </w:r>
      <w:r w:rsidR="004C7869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as of </w:t>
      </w:r>
      <w:r w:rsidR="004B6A32">
        <w:rPr>
          <w:rFonts w:cs="Arial"/>
          <w:sz w:val="22"/>
          <w:szCs w:val="22"/>
        </w:rPr>
        <w:t xml:space="preserve">June </w:t>
      </w:r>
      <w:r w:rsidR="004C7869">
        <w:rPr>
          <w:rFonts w:cs="Arial"/>
          <w:sz w:val="22"/>
          <w:szCs w:val="22"/>
        </w:rPr>
        <w:t>1, 2020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144DE3E8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54A1750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4179C922" w14:textId="4EF581BC" w:rsidR="00320C40" w:rsidRDefault="00320C40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TNMP has submitted the Texas</w:t>
      </w:r>
      <w:r w:rsidRPr="00C53DCE">
        <w:rPr>
          <w:sz w:val="22"/>
          <w:szCs w:val="22"/>
        </w:rPr>
        <w:t xml:space="preserve"> City Transmission Improvement Project</w:t>
      </w:r>
      <w:r>
        <w:rPr>
          <w:sz w:val="22"/>
          <w:szCs w:val="22"/>
        </w:rPr>
        <w:t xml:space="preserve">. This is a Tier 2 project that is estimated to cost $29.3 million. This project is currently </w:t>
      </w:r>
      <w:r w:rsidR="00AF5DCD" w:rsidRPr="00AF5DCD">
        <w:rPr>
          <w:sz w:val="22"/>
          <w:szCs w:val="22"/>
        </w:rPr>
        <w:t>under ERCOT Independent Review</w:t>
      </w:r>
      <w:r>
        <w:rPr>
          <w:sz w:val="22"/>
          <w:szCs w:val="22"/>
        </w:rPr>
        <w:t>.</w:t>
      </w:r>
    </w:p>
    <w:p w14:paraId="71A3D9A5" w14:textId="1BEB267F" w:rsidR="00AF5DCD" w:rsidRDefault="00AF5DCD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AF5DCD">
        <w:rPr>
          <w:sz w:val="22"/>
          <w:szCs w:val="22"/>
        </w:rPr>
        <w:t xml:space="preserve">BEC has submitted the Moffat to </w:t>
      </w:r>
      <w:proofErr w:type="spellStart"/>
      <w:r w:rsidRPr="00AF5DCD">
        <w:rPr>
          <w:sz w:val="22"/>
          <w:szCs w:val="22"/>
        </w:rPr>
        <w:t>Hasse</w:t>
      </w:r>
      <w:proofErr w:type="spellEnd"/>
      <w:r w:rsidRPr="00AF5DCD">
        <w:rPr>
          <w:sz w:val="22"/>
          <w:szCs w:val="22"/>
        </w:rPr>
        <w:t xml:space="preserve"> Voltage Conversion Project. This is a Tier 2 project that is estimated to cost $55.2 million. This project is currently </w:t>
      </w:r>
      <w:r w:rsidR="001E728A" w:rsidRPr="00AF5DCD">
        <w:rPr>
          <w:sz w:val="22"/>
          <w:szCs w:val="22"/>
        </w:rPr>
        <w:t>under ERCOT Independent Review</w:t>
      </w:r>
      <w:r w:rsidRPr="00AF5DCD">
        <w:rPr>
          <w:sz w:val="22"/>
          <w:szCs w:val="22"/>
        </w:rPr>
        <w:t>.</w:t>
      </w:r>
    </w:p>
    <w:p w14:paraId="206BA3A2" w14:textId="5FC42B89" w:rsidR="001E728A" w:rsidRDefault="00A30A42" w:rsidP="001E728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121631">
        <w:rPr>
          <w:sz w:val="22"/>
          <w:szCs w:val="22"/>
        </w:rPr>
        <w:t>Horseshoe Springs Switch – Riverton Switch 138</w:t>
      </w:r>
      <w:r>
        <w:rPr>
          <w:sz w:val="22"/>
          <w:szCs w:val="22"/>
        </w:rPr>
        <w:t>-</w:t>
      </w:r>
      <w:r w:rsidRPr="00121631">
        <w:rPr>
          <w:sz w:val="22"/>
          <w:szCs w:val="22"/>
        </w:rPr>
        <w:t>kV Second Circuit</w:t>
      </w:r>
      <w:r>
        <w:rPr>
          <w:sz w:val="22"/>
          <w:szCs w:val="22"/>
        </w:rPr>
        <w:t xml:space="preserve"> Project. This is a Tier 3 project that is estimated to cost $52.3 million. This project </w:t>
      </w:r>
      <w:r w:rsidR="00DF6721">
        <w:rPr>
          <w:sz w:val="22"/>
          <w:szCs w:val="22"/>
        </w:rPr>
        <w:t>completed the RPG review on August 4, and ERCOT has issued an acceptance letter</w:t>
      </w:r>
      <w:r>
        <w:rPr>
          <w:sz w:val="22"/>
          <w:szCs w:val="22"/>
        </w:rPr>
        <w:t>.</w:t>
      </w:r>
    </w:p>
    <w:p w14:paraId="0EBC1D3A" w14:textId="77777777" w:rsidR="00DF6721" w:rsidRDefault="00DF6721" w:rsidP="00DF6721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FD3A02">
        <w:rPr>
          <w:sz w:val="22"/>
          <w:szCs w:val="22"/>
        </w:rPr>
        <w:t>Everman Switching Station Rebuild Project</w:t>
      </w:r>
      <w:r>
        <w:rPr>
          <w:sz w:val="22"/>
          <w:szCs w:val="22"/>
        </w:rPr>
        <w:t>. This is a Tier 3 project that is estimated to cost $36 million. This project is currently in the RPG comment period.</w:t>
      </w:r>
    </w:p>
    <w:p w14:paraId="09E46AD6" w14:textId="61B9F6B0" w:rsidR="00DF6721" w:rsidRPr="00320C40" w:rsidRDefault="00DF6721" w:rsidP="00DF6721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proofErr w:type="spellStart"/>
      <w:r>
        <w:rPr>
          <w:sz w:val="22"/>
          <w:szCs w:val="22"/>
        </w:rPr>
        <w:t>Coleto</w:t>
      </w:r>
      <w:proofErr w:type="spellEnd"/>
      <w:r>
        <w:rPr>
          <w:sz w:val="22"/>
          <w:szCs w:val="22"/>
        </w:rPr>
        <w:t xml:space="preserve"> Creek to </w:t>
      </w:r>
      <w:proofErr w:type="spellStart"/>
      <w:r>
        <w:rPr>
          <w:sz w:val="22"/>
          <w:szCs w:val="22"/>
        </w:rPr>
        <w:t>Kenedy</w:t>
      </w:r>
      <w:proofErr w:type="spellEnd"/>
      <w:r>
        <w:rPr>
          <w:sz w:val="22"/>
          <w:szCs w:val="22"/>
        </w:rPr>
        <w:t xml:space="preserve"> SS 138-</w:t>
      </w:r>
      <w:r w:rsidRPr="00FD3A02">
        <w:rPr>
          <w:sz w:val="22"/>
          <w:szCs w:val="22"/>
        </w:rPr>
        <w:t>kV Transmission Project</w:t>
      </w:r>
      <w:r>
        <w:rPr>
          <w:sz w:val="22"/>
          <w:szCs w:val="22"/>
        </w:rPr>
        <w:t>. This is a Tier 3 project that is estimated to cost $54.7 million. This project is currently in the RPG comment period.</w:t>
      </w:r>
    </w:p>
    <w:p w14:paraId="690BE197" w14:textId="77777777" w:rsidR="001E728A" w:rsidRDefault="001E728A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03C7DCD3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https://mis.ercot.com/pps/tibco/mis/Pages/Grid+Information/RegionalPlanning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0D94ACC5" w:rsidR="005C30B8" w:rsidRPr="00F81B3A" w:rsidRDefault="000B12E4" w:rsidP="00E91521">
      <w:pPr>
        <w:pStyle w:val="ListParagraph"/>
        <w:numPr>
          <w:ilvl w:val="0"/>
          <w:numId w:val="44"/>
        </w:numPr>
        <w:tabs>
          <w:tab w:val="left" w:pos="1260"/>
          <w:tab w:val="left" w:pos="252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4B6A32">
        <w:rPr>
          <w:rFonts w:eastAsia="SymbolMT" w:cs="Arial"/>
          <w:sz w:val="22"/>
          <w:szCs w:val="22"/>
        </w:rPr>
        <w:t>Oct 15</w:t>
      </w:r>
      <w:r w:rsidR="001A5CB3">
        <w:rPr>
          <w:rFonts w:eastAsia="SymbolMT" w:cs="Arial"/>
          <w:sz w:val="22"/>
          <w:szCs w:val="22"/>
        </w:rPr>
        <w:t>, 2020</w:t>
      </w:r>
      <w:r w:rsidR="005C30B8" w:rsidRPr="00F81B3A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 xml:space="preserve">Update 1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3C64E43F" w:rsidR="005C30B8" w:rsidRPr="00F81B3A" w:rsidRDefault="005C30B8" w:rsidP="00E91521">
      <w:pPr>
        <w:pStyle w:val="ListParagraph"/>
        <w:numPr>
          <w:ilvl w:val="0"/>
          <w:numId w:val="44"/>
        </w:numPr>
        <w:tabs>
          <w:tab w:val="left" w:pos="720"/>
        </w:tabs>
        <w:spacing w:after="240"/>
        <w:ind w:left="2520" w:hanging="216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 xml:space="preserve">By </w:t>
      </w:r>
      <w:r w:rsidR="004B6A32">
        <w:rPr>
          <w:rFonts w:eastAsia="SymbolMT" w:cs="Arial"/>
          <w:sz w:val="22"/>
          <w:szCs w:val="22"/>
        </w:rPr>
        <w:t>Oct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31</w:t>
      </w:r>
      <w:r w:rsidRPr="00F81B3A">
        <w:rPr>
          <w:rFonts w:eastAsia="SymbolMT" w:cs="Arial"/>
          <w:sz w:val="22"/>
          <w:szCs w:val="22"/>
        </w:rPr>
        <w:t xml:space="preserve">, 2020 </w:t>
      </w:r>
      <w:r w:rsidRPr="00F81B3A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4B6A32">
        <w:rPr>
          <w:rFonts w:eastAsia="SymbolMT" w:cs="Arial"/>
          <w:sz w:val="22"/>
          <w:szCs w:val="22"/>
        </w:rPr>
        <w:t xml:space="preserve">U1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16D268E5" w14:textId="24849D17" w:rsidR="005C30B8" w:rsidRPr="00F81B3A" w:rsidRDefault="005C30B8" w:rsidP="005C30B8">
      <w:pPr>
        <w:tabs>
          <w:tab w:val="left" w:pos="1620"/>
          <w:tab w:val="left" w:pos="3888"/>
        </w:tabs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2DEC41D5" w14:textId="03C722B5" w:rsidR="00DD2F04" w:rsidRDefault="000B12E4" w:rsidP="00985DEF">
      <w:pPr>
        <w:jc w:val="center"/>
      </w:pPr>
      <w:r w:rsidRPr="000B12E4">
        <w:rPr>
          <w:noProof/>
        </w:rPr>
        <w:t xml:space="preserve"> </w:t>
      </w:r>
      <w:r w:rsidR="004B6A32" w:rsidRPr="004B6A32">
        <w:rPr>
          <w:noProof/>
        </w:rPr>
        <w:t xml:space="preserve"> </w:t>
      </w:r>
      <w:r w:rsidR="00C5695A">
        <w:t xml:space="preserve"> </w:t>
      </w:r>
    </w:p>
    <w:p w14:paraId="6311C751" w14:textId="62CF3A50" w:rsidR="005C30B8" w:rsidRDefault="00717687" w:rsidP="00985DEF">
      <w:pPr>
        <w:jc w:val="center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inline distT="0" distB="0" distL="0" distR="0" wp14:anchorId="368B74B4" wp14:editId="75888758">
            <wp:extent cx="6286500" cy="58381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83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78163D5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48931" cy="39137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931" cy="391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77DF61D6">
            <wp:simplePos x="0" y="0"/>
            <wp:positionH relativeFrom="margin">
              <wp:align>left</wp:align>
            </wp:positionH>
            <wp:positionV relativeFrom="paragraph">
              <wp:posOffset>3910330</wp:posOffset>
            </wp:positionV>
            <wp:extent cx="4764070" cy="35521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4070" cy="355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43C74986" w14:textId="61DE6ED0" w:rsidR="001A5CB3" w:rsidRDefault="001A5CB3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SPWG </w:t>
      </w:r>
      <w:r w:rsidR="00DD2F04">
        <w:rPr>
          <w:sz w:val="22"/>
          <w:szCs w:val="22"/>
        </w:rPr>
        <w:t>completed and posted the 2020 FY base cases on July 17, 2020</w:t>
      </w:r>
    </w:p>
    <w:p w14:paraId="1A7CB91D" w14:textId="54712EF1" w:rsidR="00BB6435" w:rsidRDefault="00BB6435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posted the final report for </w:t>
      </w:r>
      <w:r w:rsidR="00A3349E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West Texas </w:t>
      </w:r>
      <w:r w:rsidR="00E310DE">
        <w:rPr>
          <w:sz w:val="22"/>
          <w:szCs w:val="22"/>
        </w:rPr>
        <w:t>Export Stability Assessment</w:t>
      </w:r>
      <w:r w:rsidR="00E310DE">
        <w:rPr>
          <w:rStyle w:val="FootnoteReference"/>
          <w:szCs w:val="22"/>
        </w:rPr>
        <w:footnoteReference w:id="2"/>
      </w:r>
      <w:r>
        <w:rPr>
          <w:sz w:val="22"/>
          <w:szCs w:val="22"/>
        </w:rPr>
        <w:t xml:space="preserve"> in July.</w:t>
      </w:r>
    </w:p>
    <w:p w14:paraId="0F90DF68" w14:textId="400D1039" w:rsidR="00F4606C" w:rsidRPr="00DE623D" w:rsidRDefault="00F4606C" w:rsidP="008F46EC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sectPr w:rsidR="00F4606C" w:rsidRPr="00DE623D" w:rsidSect="005C30B8">
      <w:headerReference w:type="default" r:id="rId2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A9852" w14:textId="77777777" w:rsidR="00A42959" w:rsidRDefault="00A42959" w:rsidP="0098347E">
      <w:r>
        <w:separator/>
      </w:r>
    </w:p>
  </w:endnote>
  <w:endnote w:type="continuationSeparator" w:id="0">
    <w:p w14:paraId="663D66A2" w14:textId="77777777" w:rsidR="00A42959" w:rsidRDefault="00A42959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7175C322" w:rsidR="0098347E" w:rsidRPr="006D7974" w:rsidRDefault="004E7DA4" w:rsidP="00F6430C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August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0FBEC" w14:textId="77777777" w:rsidR="00A42959" w:rsidRDefault="00A42959" w:rsidP="0098347E">
      <w:r>
        <w:separator/>
      </w:r>
    </w:p>
  </w:footnote>
  <w:footnote w:type="continuationSeparator" w:id="0">
    <w:p w14:paraId="0154D699" w14:textId="77777777" w:rsidR="00A42959" w:rsidRDefault="00A42959" w:rsidP="0098347E">
      <w:r>
        <w:continuationSeparator/>
      </w:r>
    </w:p>
  </w:footnote>
  <w:footnote w:id="1">
    <w:p w14:paraId="297918A3" w14:textId="4B140383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10485B">
        <w:rPr>
          <w:rFonts w:asciiTheme="minorHAnsi" w:hAnsiTheme="minorHAnsi" w:cstheme="minorHAnsi"/>
          <w:sz w:val="16"/>
          <w:szCs w:val="16"/>
        </w:rPr>
        <w:t>7</w:t>
      </w:r>
      <w:r w:rsidR="00DD4665">
        <w:rPr>
          <w:rFonts w:asciiTheme="minorHAnsi" w:hAnsiTheme="minorHAnsi" w:cstheme="minorHAnsi"/>
          <w:sz w:val="16"/>
          <w:szCs w:val="16"/>
        </w:rPr>
        <w:t>8 rigs, including a total in</w:t>
      </w:r>
      <w:r w:rsidRPr="00B273F5">
        <w:rPr>
          <w:rFonts w:asciiTheme="minorHAnsi" w:hAnsiTheme="minorHAnsi" w:cstheme="minorHAnsi"/>
          <w:sz w:val="16"/>
          <w:szCs w:val="16"/>
        </w:rPr>
        <w:t xml:space="preserve">crease of </w:t>
      </w:r>
      <w:r w:rsidR="0058776A">
        <w:rPr>
          <w:rFonts w:asciiTheme="minorHAnsi" w:hAnsiTheme="minorHAnsi" w:cstheme="minorHAnsi"/>
          <w:sz w:val="16"/>
          <w:szCs w:val="16"/>
        </w:rPr>
        <w:t>3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36782D">
        <w:rPr>
          <w:rFonts w:asciiTheme="minorHAnsi" w:hAnsiTheme="minorHAnsi" w:cstheme="minorHAnsi"/>
          <w:sz w:val="16"/>
          <w:szCs w:val="16"/>
        </w:rPr>
        <w:t>July</w:t>
      </w:r>
      <w:r w:rsidR="00DD4665">
        <w:rPr>
          <w:rFonts w:asciiTheme="minorHAnsi" w:hAnsiTheme="minorHAnsi" w:cstheme="minorHAnsi"/>
          <w:sz w:val="16"/>
          <w:szCs w:val="16"/>
        </w:rPr>
        <w:t xml:space="preserve"> to August</w:t>
      </w:r>
      <w:r w:rsidR="0036782D">
        <w:rPr>
          <w:rFonts w:asciiTheme="minorHAnsi" w:hAnsiTheme="minorHAnsi" w:cstheme="minorHAnsi"/>
          <w:sz w:val="16"/>
          <w:szCs w:val="16"/>
        </w:rPr>
        <w:t xml:space="preserve"> </w:t>
      </w:r>
      <w:r w:rsidR="00425B76">
        <w:rPr>
          <w:rFonts w:asciiTheme="minorHAnsi" w:hAnsiTheme="minorHAnsi" w:cstheme="minorHAnsi"/>
          <w:sz w:val="16"/>
          <w:szCs w:val="16"/>
        </w:rPr>
        <w:t>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5C1582EE" w14:textId="2E5B37E9" w:rsidR="00E310DE" w:rsidRDefault="00E310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F4BCC">
          <w:rPr>
            <w:rStyle w:val="Hyperlink"/>
          </w:rPr>
          <w:t>http://www.ercot.com/content/wcm/lists/197392/2020_West_Texas_Export_report_final.pdf</w:t>
        </w:r>
      </w:hyperlink>
    </w:p>
    <w:p w14:paraId="6120C314" w14:textId="77777777" w:rsidR="00E310DE" w:rsidRDefault="00E310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34DE0"/>
    <w:rsid w:val="00047A4B"/>
    <w:rsid w:val="00055674"/>
    <w:rsid w:val="0007244C"/>
    <w:rsid w:val="0007478B"/>
    <w:rsid w:val="000B12E4"/>
    <w:rsid w:val="000C15E1"/>
    <w:rsid w:val="000D759F"/>
    <w:rsid w:val="000E13E0"/>
    <w:rsid w:val="0010485B"/>
    <w:rsid w:val="00107455"/>
    <w:rsid w:val="00142B7A"/>
    <w:rsid w:val="00164C11"/>
    <w:rsid w:val="00176CA4"/>
    <w:rsid w:val="001A255A"/>
    <w:rsid w:val="001A5CB3"/>
    <w:rsid w:val="001B020D"/>
    <w:rsid w:val="001B5B0D"/>
    <w:rsid w:val="001E08A3"/>
    <w:rsid w:val="001E728A"/>
    <w:rsid w:val="00202BA3"/>
    <w:rsid w:val="00226149"/>
    <w:rsid w:val="00245ED7"/>
    <w:rsid w:val="00247018"/>
    <w:rsid w:val="00250F28"/>
    <w:rsid w:val="002577C5"/>
    <w:rsid w:val="0027122F"/>
    <w:rsid w:val="0027600E"/>
    <w:rsid w:val="00283188"/>
    <w:rsid w:val="002A7343"/>
    <w:rsid w:val="00320C40"/>
    <w:rsid w:val="003458EB"/>
    <w:rsid w:val="003546B8"/>
    <w:rsid w:val="00355D1E"/>
    <w:rsid w:val="0036782D"/>
    <w:rsid w:val="003B5CF3"/>
    <w:rsid w:val="003C5ED1"/>
    <w:rsid w:val="003D4F77"/>
    <w:rsid w:val="003E3F40"/>
    <w:rsid w:val="003E5D1A"/>
    <w:rsid w:val="00400CFA"/>
    <w:rsid w:val="00425B76"/>
    <w:rsid w:val="0044096E"/>
    <w:rsid w:val="00457313"/>
    <w:rsid w:val="00472E4C"/>
    <w:rsid w:val="00482384"/>
    <w:rsid w:val="004B6A32"/>
    <w:rsid w:val="004C7869"/>
    <w:rsid w:val="004E7DA4"/>
    <w:rsid w:val="00505AAB"/>
    <w:rsid w:val="00524917"/>
    <w:rsid w:val="0055122F"/>
    <w:rsid w:val="0058776A"/>
    <w:rsid w:val="00594A91"/>
    <w:rsid w:val="005A138F"/>
    <w:rsid w:val="005B55BE"/>
    <w:rsid w:val="005C30B8"/>
    <w:rsid w:val="005C51A7"/>
    <w:rsid w:val="00614611"/>
    <w:rsid w:val="00651034"/>
    <w:rsid w:val="006563AC"/>
    <w:rsid w:val="00656A7B"/>
    <w:rsid w:val="0068061B"/>
    <w:rsid w:val="006936D9"/>
    <w:rsid w:val="006D07E3"/>
    <w:rsid w:val="006D7974"/>
    <w:rsid w:val="006E4C53"/>
    <w:rsid w:val="00700285"/>
    <w:rsid w:val="00702B73"/>
    <w:rsid w:val="00717687"/>
    <w:rsid w:val="007357F6"/>
    <w:rsid w:val="007940A9"/>
    <w:rsid w:val="0079637D"/>
    <w:rsid w:val="007D0EED"/>
    <w:rsid w:val="007F7756"/>
    <w:rsid w:val="0084112D"/>
    <w:rsid w:val="0088788B"/>
    <w:rsid w:val="008E7B0D"/>
    <w:rsid w:val="008F29FA"/>
    <w:rsid w:val="008F46EC"/>
    <w:rsid w:val="00917EC0"/>
    <w:rsid w:val="009304B1"/>
    <w:rsid w:val="0095508F"/>
    <w:rsid w:val="0098347E"/>
    <w:rsid w:val="00985DEF"/>
    <w:rsid w:val="00990002"/>
    <w:rsid w:val="009955FD"/>
    <w:rsid w:val="00996158"/>
    <w:rsid w:val="009A0577"/>
    <w:rsid w:val="009B3EAA"/>
    <w:rsid w:val="009B41C6"/>
    <w:rsid w:val="009E544E"/>
    <w:rsid w:val="00A046EB"/>
    <w:rsid w:val="00A13F36"/>
    <w:rsid w:val="00A30A42"/>
    <w:rsid w:val="00A3349E"/>
    <w:rsid w:val="00A36FD4"/>
    <w:rsid w:val="00A42959"/>
    <w:rsid w:val="00A628E9"/>
    <w:rsid w:val="00A6620C"/>
    <w:rsid w:val="00AC3368"/>
    <w:rsid w:val="00AF439D"/>
    <w:rsid w:val="00AF5DCD"/>
    <w:rsid w:val="00B02A88"/>
    <w:rsid w:val="00B0539D"/>
    <w:rsid w:val="00B07A0B"/>
    <w:rsid w:val="00B122A8"/>
    <w:rsid w:val="00B273F5"/>
    <w:rsid w:val="00B32440"/>
    <w:rsid w:val="00B355BE"/>
    <w:rsid w:val="00B545BF"/>
    <w:rsid w:val="00B94FE8"/>
    <w:rsid w:val="00BA6A4A"/>
    <w:rsid w:val="00BB6435"/>
    <w:rsid w:val="00BF25D6"/>
    <w:rsid w:val="00C40BC3"/>
    <w:rsid w:val="00C553B3"/>
    <w:rsid w:val="00C5695A"/>
    <w:rsid w:val="00C60C53"/>
    <w:rsid w:val="00C712B5"/>
    <w:rsid w:val="00C726D1"/>
    <w:rsid w:val="00C91210"/>
    <w:rsid w:val="00C918B4"/>
    <w:rsid w:val="00C94AC6"/>
    <w:rsid w:val="00CD110F"/>
    <w:rsid w:val="00D94505"/>
    <w:rsid w:val="00DD15ED"/>
    <w:rsid w:val="00DD2F04"/>
    <w:rsid w:val="00DD4665"/>
    <w:rsid w:val="00DE623D"/>
    <w:rsid w:val="00DF6721"/>
    <w:rsid w:val="00E2379B"/>
    <w:rsid w:val="00E308D5"/>
    <w:rsid w:val="00E310DE"/>
    <w:rsid w:val="00E326E6"/>
    <w:rsid w:val="00E4095C"/>
    <w:rsid w:val="00E532C3"/>
    <w:rsid w:val="00E558A6"/>
    <w:rsid w:val="00E62CA7"/>
    <w:rsid w:val="00E67C79"/>
    <w:rsid w:val="00E77059"/>
    <w:rsid w:val="00E91521"/>
    <w:rsid w:val="00EA7D60"/>
    <w:rsid w:val="00EB2C58"/>
    <w:rsid w:val="00EC1203"/>
    <w:rsid w:val="00ED40B7"/>
    <w:rsid w:val="00EF2E5E"/>
    <w:rsid w:val="00F130EF"/>
    <w:rsid w:val="00F22FF0"/>
    <w:rsid w:val="00F4019C"/>
    <w:rsid w:val="00F4606C"/>
    <w:rsid w:val="00F6430C"/>
    <w:rsid w:val="00F67E96"/>
    <w:rsid w:val="00F81B3A"/>
    <w:rsid w:val="00F970D6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ps/tibco/mis/Pages/Grid+Information/Regional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ontent/wcm/lists/197392/2020_West_Texas_Export_report_final.pdf" TargetMode="Externa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B84B-26D6-49D1-AD0D-8652E591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FFB4999-8245-41CA-9AEB-D0414589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524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2020-09-14T13:45:00Z</dcterms:created>
  <dcterms:modified xsi:type="dcterms:W3CDTF">2020-09-14T13:45:00Z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