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bookmarkStart w:id="0" w:name="_GoBack"/>
      <w:bookmarkEnd w:id="0"/>
      <w:r w:rsidRPr="00123FEE">
        <w:rPr>
          <w:b/>
          <w:sz w:val="28"/>
        </w:rPr>
        <w:t>TDTMS</w:t>
      </w:r>
    </w:p>
    <w:p w:rsidR="00446742" w:rsidRPr="00123FEE" w:rsidRDefault="0054333F" w:rsidP="00123FEE">
      <w:pPr>
        <w:pStyle w:val="NoSpacing"/>
        <w:rPr>
          <w:b/>
          <w:sz w:val="28"/>
          <w:szCs w:val="24"/>
        </w:rPr>
      </w:pPr>
      <w:r>
        <w:rPr>
          <w:b/>
          <w:sz w:val="28"/>
          <w:szCs w:val="24"/>
        </w:rPr>
        <w:t>August 19th</w:t>
      </w:r>
      <w:r w:rsidR="002F5B65">
        <w:rPr>
          <w:b/>
          <w:sz w:val="28"/>
          <w:szCs w:val="24"/>
        </w:rPr>
        <w:t>,</w:t>
      </w:r>
      <w:r w:rsidR="005645B7">
        <w:rPr>
          <w:b/>
          <w:sz w:val="28"/>
          <w:szCs w:val="24"/>
        </w:rPr>
        <w:t xml:space="preserve"> 2020</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710"/>
        <w:gridCol w:w="1890"/>
      </w:tblGrid>
      <w:tr w:rsidR="00EA742D" w:rsidRPr="00020312" w:rsidTr="002E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54333F" w:rsidP="00446742">
            <w:pPr>
              <w:cnfStyle w:val="000000100000" w:firstRow="0" w:lastRow="0" w:firstColumn="0" w:lastColumn="0" w:oddVBand="0" w:evenVBand="0" w:oddHBand="1" w:evenHBand="0" w:firstRowFirstColumn="0" w:firstRowLastColumn="0" w:lastRowFirstColumn="0" w:lastRowLastColumn="0"/>
            </w:pPr>
            <w:r>
              <w:t xml:space="preserve">Trish </w:t>
            </w:r>
            <w:proofErr w:type="spellStart"/>
            <w:r>
              <w:t>Matus</w:t>
            </w:r>
            <w:proofErr w:type="spellEnd"/>
          </w:p>
        </w:tc>
        <w:tc>
          <w:tcPr>
            <w:tcW w:w="1800" w:type="dxa"/>
          </w:tcPr>
          <w:p w:rsidR="00446742" w:rsidRPr="00020312" w:rsidRDefault="0054333F" w:rsidP="00446742">
            <w:pPr>
              <w:cnfStyle w:val="000000100000" w:firstRow="0" w:lastRow="0" w:firstColumn="0" w:lastColumn="0" w:oddVBand="0" w:evenVBand="0" w:oddHBand="1" w:evenHBand="0" w:firstRowFirstColumn="0" w:firstRowLastColumn="0" w:lastRowFirstColumn="0" w:lastRowLastColumn="0"/>
            </w:pPr>
            <w:r>
              <w:t>ERCOT</w:t>
            </w:r>
          </w:p>
        </w:tc>
        <w:tc>
          <w:tcPr>
            <w:tcW w:w="171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89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ERCOT</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TXU</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Jordan Troublefield</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643E89" w:rsidP="002F5B65">
            <w:pPr>
              <w:cnfStyle w:val="000000100000" w:firstRow="0" w:lastRow="0" w:firstColumn="0" w:lastColumn="0" w:oddVBand="0" w:evenVBand="0" w:oddHBand="1" w:evenHBand="0" w:firstRowFirstColumn="0" w:firstRowLastColumn="0" w:lastRowFirstColumn="0" w:lastRowLastColumn="0"/>
            </w:pPr>
            <w:r>
              <w:t xml:space="preserve">Johan </w:t>
            </w:r>
            <w:proofErr w:type="spellStart"/>
            <w:r>
              <w:t>Krebbers</w:t>
            </w:r>
            <w:proofErr w:type="spellEnd"/>
          </w:p>
        </w:tc>
        <w:tc>
          <w:tcPr>
            <w:tcW w:w="1800" w:type="dxa"/>
          </w:tcPr>
          <w:p w:rsidR="002F5B65" w:rsidRPr="00020312" w:rsidRDefault="00643E89" w:rsidP="002F5B65">
            <w:pPr>
              <w:cnfStyle w:val="000000100000" w:firstRow="0" w:lastRow="0" w:firstColumn="0" w:lastColumn="0" w:oddVBand="0" w:evenVBand="0" w:oddHBand="1" w:evenHBand="0" w:firstRowFirstColumn="0" w:firstRowLastColumn="0" w:lastRowFirstColumn="0" w:lastRowLastColumn="0"/>
            </w:pPr>
            <w:r>
              <w:t>ERCOT</w:t>
            </w: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Kyle Patrick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NRG</w:t>
            </w:r>
          </w:p>
        </w:tc>
        <w:tc>
          <w:tcPr>
            <w:tcW w:w="2099" w:type="dxa"/>
          </w:tcPr>
          <w:p w:rsidR="002F5B65" w:rsidRPr="00020312" w:rsidRDefault="00643E89" w:rsidP="002F5B65">
            <w:pPr>
              <w:cnfStyle w:val="000000000000" w:firstRow="0" w:lastRow="0" w:firstColumn="0" w:lastColumn="0" w:oddVBand="0" w:evenVBand="0" w:oddHBand="0" w:evenHBand="0" w:firstRowFirstColumn="0" w:firstRowLastColumn="0" w:lastRowFirstColumn="0" w:lastRowLastColumn="0"/>
            </w:pPr>
            <w:r>
              <w:t>Paul Williamson</w:t>
            </w:r>
          </w:p>
        </w:tc>
        <w:tc>
          <w:tcPr>
            <w:tcW w:w="1800" w:type="dxa"/>
          </w:tcPr>
          <w:p w:rsidR="002F5B65" w:rsidRPr="00020312" w:rsidRDefault="00643E89" w:rsidP="002F5B65">
            <w:pPr>
              <w:cnfStyle w:val="000000000000" w:firstRow="0" w:lastRow="0" w:firstColumn="0" w:lastColumn="0" w:oddVBand="0" w:evenVBand="0" w:oddHBand="0" w:evenHBand="0" w:firstRowFirstColumn="0" w:firstRowLastColumn="0" w:lastRowFirstColumn="0" w:lastRowLastColumn="0"/>
            </w:pPr>
            <w:proofErr w:type="spellStart"/>
            <w:r>
              <w:t>ePSolutions</w:t>
            </w:r>
            <w:proofErr w:type="spellEnd"/>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2F5B65" w:rsidRPr="00D17CF3" w:rsidRDefault="002F5B65" w:rsidP="002F5B65">
            <w:pPr>
              <w:rPr>
                <w:b w:val="0"/>
              </w:rPr>
            </w:pPr>
            <w:r>
              <w:rPr>
                <w:b w:val="0"/>
              </w:rPr>
              <w:t>Mick Hanna</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2F5B65" w:rsidRPr="00020312" w:rsidRDefault="002F5B65" w:rsidP="002F5B65"/>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CE3D30">
        <w:rPr>
          <w:b/>
          <w:u w:val="single"/>
        </w:rPr>
        <w:t xml:space="preserve"> &amp; Antitrust</w:t>
      </w:r>
    </w:p>
    <w:p w:rsidR="00CE3D30" w:rsidRPr="00CE3D30" w:rsidRDefault="00CE3D30" w:rsidP="00245452">
      <w:pPr>
        <w:pStyle w:val="NoSpacing"/>
        <w:numPr>
          <w:ilvl w:val="0"/>
          <w:numId w:val="1"/>
        </w:numPr>
        <w:rPr>
          <w:u w:val="single"/>
        </w:rPr>
      </w:pPr>
      <w:r>
        <w:t xml:space="preserve">Antitrust Admonition was read by Sheri </w:t>
      </w:r>
    </w:p>
    <w:p w:rsidR="00326666" w:rsidRPr="00643E89" w:rsidRDefault="002F5B65" w:rsidP="00245452">
      <w:pPr>
        <w:pStyle w:val="NoSpacing"/>
        <w:numPr>
          <w:ilvl w:val="0"/>
          <w:numId w:val="1"/>
        </w:numPr>
        <w:rPr>
          <w:u w:val="single"/>
        </w:rPr>
      </w:pPr>
      <w:r>
        <w:t>M</w:t>
      </w:r>
      <w:r w:rsidR="00326666">
        <w:t xml:space="preserve">inutes </w:t>
      </w:r>
      <w:r w:rsidR="001D16C1">
        <w:t xml:space="preserve">from </w:t>
      </w:r>
      <w:r w:rsidR="00643E89">
        <w:t>7</w:t>
      </w:r>
      <w:r w:rsidR="00766E5D">
        <w:t>/</w:t>
      </w:r>
      <w:r w:rsidR="00643E89">
        <w:t>23</w:t>
      </w:r>
      <w:r>
        <w:t>/</w:t>
      </w:r>
      <w:r w:rsidR="00766E5D">
        <w:t>20</w:t>
      </w:r>
      <w:r w:rsidR="001D16C1">
        <w:t xml:space="preserve"> </w:t>
      </w:r>
      <w:r w:rsidR="00326666">
        <w:t>were approved</w:t>
      </w:r>
    </w:p>
    <w:p w:rsidR="00643E89" w:rsidRPr="005645B7" w:rsidRDefault="00643E89" w:rsidP="00245452">
      <w:pPr>
        <w:pStyle w:val="NoSpacing"/>
        <w:numPr>
          <w:ilvl w:val="0"/>
          <w:numId w:val="1"/>
        </w:numPr>
        <w:rPr>
          <w:u w:val="single"/>
        </w:rPr>
      </w:pPr>
      <w:r>
        <w:t>Noted, TDTMS did experience a few unwanted guests on the WebEx, however they were not disruptive</w:t>
      </w:r>
    </w:p>
    <w:p w:rsidR="005645B7" w:rsidRDefault="005645B7" w:rsidP="00AE3E48">
      <w:pPr>
        <w:pStyle w:val="NoSpacing"/>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proofErr w:type="gramStart"/>
      <w:r w:rsidR="00CE3D30">
        <w:rPr>
          <w:b/>
          <w:u w:val="single"/>
        </w:rPr>
        <w:t>And</w:t>
      </w:r>
      <w:proofErr w:type="gramEnd"/>
      <w:r w:rsidR="00CE3D30">
        <w:rPr>
          <w:b/>
          <w:u w:val="single"/>
        </w:rPr>
        <w:t xml:space="preserve"> MarkeTrak Monthly Performance Review</w:t>
      </w:r>
    </w:p>
    <w:p w:rsidR="002F5B65" w:rsidRDefault="00643E89" w:rsidP="00245452">
      <w:pPr>
        <w:pStyle w:val="NoSpacing"/>
        <w:numPr>
          <w:ilvl w:val="0"/>
          <w:numId w:val="1"/>
        </w:numPr>
      </w:pPr>
      <w:r>
        <w:t xml:space="preserve">One incident in July on 7/7 -with a migration in the past, a debug setting was not updated which caused a file to grow to an excessive size impacting performance.  Setting was corrected so going forward, query will only look </w:t>
      </w:r>
      <w:r w:rsidR="00000C4D">
        <w:t xml:space="preserve">at </w:t>
      </w:r>
      <w:r>
        <w:t>lack of unsuccessful actions</w:t>
      </w:r>
    </w:p>
    <w:p w:rsidR="00643E89" w:rsidRDefault="00643E89" w:rsidP="00245452">
      <w:pPr>
        <w:pStyle w:val="NoSpacing"/>
        <w:numPr>
          <w:ilvl w:val="0"/>
          <w:numId w:val="1"/>
        </w:numPr>
      </w:pPr>
      <w:r>
        <w:t>August 9</w:t>
      </w:r>
      <w:r w:rsidRPr="00643E89">
        <w:rPr>
          <w:vertAlign w:val="superscript"/>
        </w:rPr>
        <w:t>th</w:t>
      </w:r>
      <w:r>
        <w:t xml:space="preserve"> was a scheduled release weekend, however, ERCOT did not have plans to utilize.  Market participants requested if a scheduled release is cancelled to kindly send out a market notice as retail operations typically acknowledge those release dates in their operational calendar</w:t>
      </w:r>
    </w:p>
    <w:p w:rsidR="00643E89" w:rsidRDefault="00AE38A9" w:rsidP="00245452">
      <w:pPr>
        <w:pStyle w:val="NoSpacing"/>
        <w:numPr>
          <w:ilvl w:val="0"/>
          <w:numId w:val="1"/>
        </w:numPr>
      </w:pPr>
      <w:r>
        <w:t>MT SLAs were good – despite above incident, issues were not ‘caught’ with monitoring tool</w:t>
      </w:r>
    </w:p>
    <w:p w:rsidR="00210956" w:rsidRPr="002F5B65" w:rsidRDefault="002E52F7" w:rsidP="00210956">
      <w:pPr>
        <w:pStyle w:val="NoSpacing"/>
        <w:rPr>
          <w:b/>
          <w:u w:val="single"/>
        </w:rPr>
      </w:pPr>
      <w:r>
        <w:rPr>
          <w:b/>
          <w:noProof/>
          <w:u w:val="single"/>
        </w:rPr>
        <w:drawing>
          <wp:inline distT="0" distB="0" distL="0" distR="0" wp14:anchorId="7C455AA1">
            <wp:extent cx="5502910" cy="20825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6689" cy="2083949"/>
                    </a:xfrm>
                    <a:prstGeom prst="rect">
                      <a:avLst/>
                    </a:prstGeom>
                    <a:noFill/>
                  </pic:spPr>
                </pic:pic>
              </a:graphicData>
            </a:graphic>
          </wp:inline>
        </w:drawing>
      </w:r>
    </w:p>
    <w:p w:rsidR="002F5B65" w:rsidRPr="002F5B65" w:rsidRDefault="002F5B65" w:rsidP="002F5B65">
      <w:pPr>
        <w:pStyle w:val="NoSpacing"/>
        <w:ind w:left="720"/>
        <w:rPr>
          <w:b/>
          <w:u w:val="single"/>
        </w:rPr>
      </w:pPr>
    </w:p>
    <w:p w:rsidR="00EB2B86" w:rsidRDefault="00EB2B86" w:rsidP="002F5B65">
      <w:pPr>
        <w:pStyle w:val="NoSpacing"/>
        <w:rPr>
          <w:b/>
          <w:u w:val="single"/>
        </w:rPr>
      </w:pPr>
      <w:r w:rsidRPr="00EB2B86">
        <w:rPr>
          <w:b/>
          <w:u w:val="single"/>
        </w:rPr>
        <w:t>Transport Layer Security (TLS) Discussion/Timeline</w:t>
      </w:r>
      <w:r w:rsidR="00402D16">
        <w:rPr>
          <w:b/>
          <w:u w:val="single"/>
        </w:rPr>
        <w:t>/ERCOT NAESB Upgrade</w:t>
      </w:r>
    </w:p>
    <w:p w:rsidR="00210956" w:rsidRDefault="00D86915" w:rsidP="00245452">
      <w:pPr>
        <w:pStyle w:val="NoSpacing"/>
        <w:numPr>
          <w:ilvl w:val="0"/>
          <w:numId w:val="3"/>
        </w:numPr>
      </w:pPr>
      <w:r>
        <w:t xml:space="preserve">Dave Michelson and team have been working with REPs and EDI Service Providers </w:t>
      </w:r>
      <w:r w:rsidR="0022539C">
        <w:t xml:space="preserve">on configurations and compatibility issues to ensure all market participants can migrate to TLS 1.2.  </w:t>
      </w:r>
    </w:p>
    <w:p w:rsidR="0022539C" w:rsidRDefault="0022539C" w:rsidP="00245452">
      <w:pPr>
        <w:pStyle w:val="NoSpacing"/>
        <w:numPr>
          <w:ilvl w:val="1"/>
          <w:numId w:val="3"/>
        </w:numPr>
      </w:pPr>
      <w:r w:rsidRPr="0022539C">
        <w:rPr>
          <w:u w:val="single"/>
        </w:rPr>
        <w:t>Plan A</w:t>
      </w:r>
      <w:r>
        <w:t xml:space="preserve">:  ERCOT with one market participant whose system requires an upgrade </w:t>
      </w:r>
      <w:proofErr w:type="gramStart"/>
      <w:r>
        <w:t>in order to</w:t>
      </w:r>
      <w:proofErr w:type="gramEnd"/>
      <w:r>
        <w:t xml:space="preserve"> convert to TLS 1.2.  ERCOT cannot make the transition until this </w:t>
      </w:r>
      <w:proofErr w:type="spellStart"/>
      <w:r>
        <w:t>mp</w:t>
      </w:r>
      <w:proofErr w:type="spellEnd"/>
      <w:r>
        <w:t xml:space="preserve"> is ready</w:t>
      </w:r>
    </w:p>
    <w:p w:rsidR="0022539C" w:rsidRDefault="0022539C" w:rsidP="00245452">
      <w:pPr>
        <w:pStyle w:val="NoSpacing"/>
        <w:numPr>
          <w:ilvl w:val="1"/>
          <w:numId w:val="3"/>
        </w:numPr>
      </w:pPr>
      <w:r w:rsidRPr="0022539C">
        <w:rPr>
          <w:u w:val="single"/>
        </w:rPr>
        <w:t>Plan B</w:t>
      </w:r>
      <w:r>
        <w:t>:  ERCOT may have a new public key all market participants may need to import to remain compatible (30 second import)</w:t>
      </w:r>
    </w:p>
    <w:p w:rsidR="0022539C" w:rsidRDefault="0022539C" w:rsidP="00245452">
      <w:pPr>
        <w:pStyle w:val="NoSpacing"/>
        <w:numPr>
          <w:ilvl w:val="1"/>
          <w:numId w:val="3"/>
        </w:numPr>
      </w:pPr>
      <w:r>
        <w:rPr>
          <w:u w:val="single"/>
        </w:rPr>
        <w:t>Plan C</w:t>
      </w:r>
      <w:r w:rsidRPr="0022539C">
        <w:t>:</w:t>
      </w:r>
      <w:r>
        <w:t xml:space="preserve">  may have to move the migration date of 11/2 further out</w:t>
      </w:r>
    </w:p>
    <w:p w:rsidR="0022539C" w:rsidRDefault="0022539C" w:rsidP="00245452">
      <w:pPr>
        <w:pStyle w:val="NoSpacing"/>
        <w:numPr>
          <w:ilvl w:val="0"/>
          <w:numId w:val="3"/>
        </w:numPr>
      </w:pPr>
      <w:r>
        <w:t xml:space="preserve">Dave will hold another Friday call with the IT folks to address any questions.  A market notice should go out.  </w:t>
      </w:r>
    </w:p>
    <w:p w:rsidR="00A86140" w:rsidRDefault="00021FA8" w:rsidP="00021FA8">
      <w:pPr>
        <w:pStyle w:val="NoSpacing"/>
        <w:rPr>
          <w:b/>
          <w:u w:val="single"/>
        </w:rPr>
      </w:pPr>
      <w:r w:rsidRPr="00021FA8">
        <w:rPr>
          <w:b/>
          <w:u w:val="single"/>
        </w:rPr>
        <w:lastRenderedPageBreak/>
        <w:t xml:space="preserve">MarkeTrak Subtype Analysis – </w:t>
      </w:r>
      <w:proofErr w:type="gramStart"/>
      <w:r w:rsidR="0022539C">
        <w:rPr>
          <w:b/>
          <w:u w:val="single"/>
        </w:rPr>
        <w:t>Six month</w:t>
      </w:r>
      <w:proofErr w:type="gramEnd"/>
      <w:r w:rsidR="0022539C">
        <w:rPr>
          <w:b/>
          <w:u w:val="single"/>
        </w:rPr>
        <w:t xml:space="preserve"> review of trends</w:t>
      </w:r>
    </w:p>
    <w:p w:rsidR="00F93EB7" w:rsidRPr="0022539C" w:rsidRDefault="0022539C" w:rsidP="00245452">
      <w:pPr>
        <w:pStyle w:val="NoSpacing"/>
        <w:numPr>
          <w:ilvl w:val="0"/>
          <w:numId w:val="2"/>
        </w:numPr>
        <w:rPr>
          <w:b/>
          <w:u w:val="single"/>
        </w:rPr>
      </w:pPr>
      <w:r>
        <w:t xml:space="preserve">Observations from the </w:t>
      </w:r>
      <w:proofErr w:type="gramStart"/>
      <w:r>
        <w:t>high level</w:t>
      </w:r>
      <w:proofErr w:type="gramEnd"/>
      <w:r>
        <w:t xml:space="preserve"> review of 6 months of MarkeTrak data:</w:t>
      </w:r>
    </w:p>
    <w:p w:rsidR="0022539C" w:rsidRPr="00733B41" w:rsidRDefault="0022539C" w:rsidP="00245452">
      <w:pPr>
        <w:pStyle w:val="NoSpacing"/>
        <w:numPr>
          <w:ilvl w:val="1"/>
          <w:numId w:val="2"/>
        </w:numPr>
        <w:rPr>
          <w:b/>
          <w:u w:val="single"/>
        </w:rPr>
      </w:pPr>
      <w:r w:rsidRPr="00733B41">
        <w:rPr>
          <w:u w:val="single"/>
        </w:rPr>
        <w:t>IAS family</w:t>
      </w:r>
      <w:r>
        <w:t xml:space="preserve"> has declined 19% in the last six months and 26% from same time last year likely due to effects of COVID </w:t>
      </w:r>
      <w:r w:rsidR="00733B41">
        <w:t>– suspension of Door to Door activity, fewer transactions.  It was point out, even with the pandemic IAD ‘does not go away’.</w:t>
      </w:r>
    </w:p>
    <w:p w:rsidR="00733B41" w:rsidRPr="00733B41" w:rsidRDefault="00733B41" w:rsidP="00245452">
      <w:pPr>
        <w:pStyle w:val="NoSpacing"/>
        <w:numPr>
          <w:ilvl w:val="1"/>
          <w:numId w:val="2"/>
        </w:numPr>
        <w:rPr>
          <w:b/>
          <w:u w:val="single"/>
        </w:rPr>
      </w:pPr>
      <w:r w:rsidRPr="00733B41">
        <w:rPr>
          <w:u w:val="single"/>
        </w:rPr>
        <w:t>Usage &amp; Billing Missing</w:t>
      </w:r>
      <w:r>
        <w:t xml:space="preserve"> have nearly tripled – thoughts on impacts:  CNP system conversion, cancel/rebills with ERP program – also observed last time U&amp;B MTs saw a dramatic uptick was went another TDU performed a major system conversion</w:t>
      </w:r>
    </w:p>
    <w:p w:rsidR="00733B41" w:rsidRPr="00733B41" w:rsidRDefault="00733B41" w:rsidP="00245452">
      <w:pPr>
        <w:pStyle w:val="NoSpacing"/>
        <w:numPr>
          <w:ilvl w:val="1"/>
          <w:numId w:val="2"/>
        </w:numPr>
        <w:rPr>
          <w:b/>
          <w:u w:val="single"/>
        </w:rPr>
      </w:pPr>
      <w:r w:rsidRPr="00733B41">
        <w:rPr>
          <w:u w:val="single"/>
        </w:rPr>
        <w:t>Projects</w:t>
      </w:r>
      <w:r>
        <w:t xml:space="preserve"> has increased – the subtype used for Meter Cycle Change requests – supporting the need for a new subtype </w:t>
      </w:r>
    </w:p>
    <w:p w:rsidR="00733B41" w:rsidRPr="00733B41" w:rsidRDefault="00733B41" w:rsidP="00245452">
      <w:pPr>
        <w:pStyle w:val="NoSpacing"/>
        <w:numPr>
          <w:ilvl w:val="1"/>
          <w:numId w:val="2"/>
        </w:numPr>
        <w:rPr>
          <w:b/>
          <w:u w:val="single"/>
        </w:rPr>
      </w:pPr>
      <w:r w:rsidRPr="00733B41">
        <w:rPr>
          <w:u w:val="single"/>
        </w:rPr>
        <w:t>Other</w:t>
      </w:r>
      <w:r>
        <w:t xml:space="preserve"> – typically an indicator for education or a new subtype – per TDSP, this is the subtype used for the activity around AMS/IDR meters where a customer can elect to keep a BUS profile vs BUSIDRRQ profile</w:t>
      </w:r>
    </w:p>
    <w:p w:rsidR="00733B41" w:rsidRPr="00733B41" w:rsidRDefault="00733B41" w:rsidP="00245452">
      <w:pPr>
        <w:pStyle w:val="NoSpacing"/>
        <w:numPr>
          <w:ilvl w:val="1"/>
          <w:numId w:val="2"/>
        </w:numPr>
        <w:rPr>
          <w:b/>
          <w:u w:val="single"/>
        </w:rPr>
      </w:pPr>
      <w:r w:rsidRPr="00733B41">
        <w:rPr>
          <w:u w:val="single"/>
        </w:rPr>
        <w:t>Switch Hold Removal</w:t>
      </w:r>
      <w:r>
        <w:t xml:space="preserve"> MTs have dropped likely due to ERP activity – could see an increase upon program conclusion</w:t>
      </w:r>
    </w:p>
    <w:p w:rsidR="00733B41" w:rsidRPr="00733B41" w:rsidRDefault="00733B41" w:rsidP="00245452">
      <w:pPr>
        <w:pStyle w:val="NoSpacing"/>
        <w:numPr>
          <w:ilvl w:val="1"/>
          <w:numId w:val="2"/>
        </w:numPr>
        <w:rPr>
          <w:b/>
          <w:u w:val="single"/>
        </w:rPr>
      </w:pPr>
      <w:r>
        <w:rPr>
          <w:u w:val="single"/>
        </w:rPr>
        <w:t xml:space="preserve">Market Rule </w:t>
      </w:r>
      <w:r>
        <w:t>subtype has over 27,000 MTs submitted due to Electricity Relief Program (ERP)</w:t>
      </w:r>
    </w:p>
    <w:p w:rsidR="00733B41" w:rsidRDefault="00733B41" w:rsidP="00733B41">
      <w:pPr>
        <w:pStyle w:val="NoSpacing"/>
        <w:rPr>
          <w:b/>
          <w:u w:val="single"/>
        </w:rPr>
      </w:pPr>
      <w:r>
        <w:rPr>
          <w:b/>
          <w:noProof/>
          <w:u w:val="single"/>
        </w:rPr>
        <w:drawing>
          <wp:inline distT="0" distB="0" distL="0" distR="0" wp14:anchorId="61D0D5C3">
            <wp:extent cx="6664150" cy="29413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8854" cy="2947810"/>
                    </a:xfrm>
                    <a:prstGeom prst="rect">
                      <a:avLst/>
                    </a:prstGeom>
                    <a:noFill/>
                  </pic:spPr>
                </pic:pic>
              </a:graphicData>
            </a:graphic>
          </wp:inline>
        </w:drawing>
      </w:r>
    </w:p>
    <w:p w:rsidR="00733B41" w:rsidRDefault="00733B41" w:rsidP="00733B41">
      <w:pPr>
        <w:pStyle w:val="NoSpacing"/>
        <w:rPr>
          <w:b/>
          <w:u w:val="single"/>
        </w:rPr>
      </w:pPr>
      <w:r w:rsidRPr="00733B41">
        <w:rPr>
          <w:noProof/>
        </w:rPr>
        <w:drawing>
          <wp:inline distT="0" distB="0" distL="0" distR="0">
            <wp:extent cx="6800850" cy="2312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2312158"/>
                    </a:xfrm>
                    <a:prstGeom prst="rect">
                      <a:avLst/>
                    </a:prstGeom>
                    <a:noFill/>
                    <a:ln>
                      <a:noFill/>
                    </a:ln>
                  </pic:spPr>
                </pic:pic>
              </a:graphicData>
            </a:graphic>
          </wp:inline>
        </w:drawing>
      </w:r>
    </w:p>
    <w:p w:rsidR="00733B41" w:rsidRPr="00402D16" w:rsidRDefault="00733B41" w:rsidP="00733B41">
      <w:pPr>
        <w:pStyle w:val="NoSpacing"/>
        <w:rPr>
          <w:b/>
          <w:u w:val="single"/>
        </w:rPr>
      </w:pPr>
    </w:p>
    <w:p w:rsidR="00402D16" w:rsidRDefault="00402D16" w:rsidP="00402D16">
      <w:pPr>
        <w:pStyle w:val="NoSpacing"/>
      </w:pPr>
    </w:p>
    <w:p w:rsidR="00733B41" w:rsidRDefault="00733B41" w:rsidP="00402D16">
      <w:pPr>
        <w:pStyle w:val="NoSpacing"/>
      </w:pPr>
    </w:p>
    <w:p w:rsidR="00402D16" w:rsidRDefault="00402D16" w:rsidP="00402D16">
      <w:pPr>
        <w:pStyle w:val="NoSpacing"/>
        <w:rPr>
          <w:b/>
          <w:u w:val="single"/>
        </w:rPr>
      </w:pPr>
      <w:r w:rsidRPr="00402D16">
        <w:rPr>
          <w:b/>
          <w:u w:val="single"/>
        </w:rPr>
        <w:lastRenderedPageBreak/>
        <w:t>IAG Proposal/Solution</w:t>
      </w:r>
    </w:p>
    <w:p w:rsidR="000D3187" w:rsidRPr="009805C2" w:rsidRDefault="009805C2" w:rsidP="00020E68">
      <w:pPr>
        <w:pStyle w:val="NoSpacing"/>
      </w:pPr>
      <w:r>
        <w:t xml:space="preserve">Matrix was not reviewed other than to point out the PUSH vs PULL options, which reflects who is responsible for initiating the BDMVI, the Gaining REP with a DROP or the status quo with the Losing REP issuing a BDMVI.  The WG </w:t>
      </w:r>
      <w:r w:rsidR="00D77953">
        <w:t xml:space="preserve">is holding on further discussion until the data </w:t>
      </w:r>
      <w:r w:rsidR="000D3187">
        <w:t xml:space="preserve">set can provide specific timelines for the following workflow.  </w:t>
      </w:r>
      <w:r w:rsidR="000D3187" w:rsidRPr="000D3187">
        <w:rPr>
          <w:highlight w:val="yellow"/>
        </w:rPr>
        <w:t>ACTION</w:t>
      </w:r>
      <w:r w:rsidR="000D3187">
        <w:t>:  Sam, Kyle, Sheri, and Dave Michelson will review data set.</w:t>
      </w:r>
    </w:p>
    <w:tbl>
      <w:tblPr>
        <w:tblW w:w="8081" w:type="dxa"/>
        <w:tblLook w:val="04A0" w:firstRow="1" w:lastRow="0" w:firstColumn="1" w:lastColumn="0" w:noHBand="0" w:noVBand="1"/>
      </w:tblPr>
      <w:tblGrid>
        <w:gridCol w:w="1496"/>
        <w:gridCol w:w="6151"/>
        <w:gridCol w:w="266"/>
        <w:gridCol w:w="266"/>
      </w:tblGrid>
      <w:tr w:rsidR="000D3187" w:rsidRPr="00C44212" w:rsidTr="00E5445F">
        <w:trPr>
          <w:trHeight w:val="294"/>
        </w:trPr>
        <w:tc>
          <w:tcPr>
            <w:tcW w:w="8081" w:type="dxa"/>
            <w:gridSpan w:val="4"/>
            <w:tcBorders>
              <w:top w:val="single" w:sz="8" w:space="0" w:color="auto"/>
              <w:left w:val="single" w:sz="8" w:space="0" w:color="auto"/>
              <w:bottom w:val="nil"/>
              <w:right w:val="single" w:sz="8" w:space="0" w:color="000000"/>
            </w:tcBorders>
            <w:shd w:val="clear" w:color="000000" w:fill="FFFF00"/>
            <w:noWrap/>
            <w:vAlign w:val="bottom"/>
            <w:hideMark/>
          </w:tcPr>
          <w:p w:rsidR="000D3187" w:rsidRPr="00C44212" w:rsidRDefault="000D3187" w:rsidP="00E5445F">
            <w:pPr>
              <w:spacing w:after="0" w:line="240" w:lineRule="auto"/>
              <w:jc w:val="center"/>
              <w:rPr>
                <w:rFonts w:ascii="Calibri" w:eastAsia="Times New Roman" w:hAnsi="Calibri" w:cs="Times New Roman"/>
                <w:color w:val="000000"/>
              </w:rPr>
            </w:pPr>
            <w:bookmarkStart w:id="1" w:name="_Hlk50990501"/>
            <w:r w:rsidRPr="00C44212">
              <w:rPr>
                <w:rFonts w:ascii="Calibri" w:eastAsia="Times New Roman" w:hAnsi="Calibri" w:cs="Times New Roman"/>
                <w:color w:val="000000"/>
              </w:rPr>
              <w:t>Inadvertent Situation Flow</w:t>
            </w:r>
          </w:p>
        </w:tc>
      </w:tr>
      <w:tr w:rsidR="000D3187" w:rsidRPr="00C44212" w:rsidTr="00E5445F">
        <w:trPr>
          <w:trHeight w:val="288"/>
        </w:trPr>
        <w:tc>
          <w:tcPr>
            <w:tcW w:w="8081" w:type="dxa"/>
            <w:gridSpan w:val="4"/>
            <w:tcBorders>
              <w:top w:val="single" w:sz="8" w:space="0" w:color="auto"/>
              <w:left w:val="single" w:sz="8" w:space="0" w:color="auto"/>
              <w:bottom w:val="nil"/>
              <w:right w:val="single" w:sz="8" w:space="0" w:color="000000"/>
            </w:tcBorders>
            <w:shd w:val="clear" w:color="000000" w:fill="F2F2F2"/>
            <w:noWrap/>
            <w:vAlign w:val="bottom"/>
            <w:hideMark/>
          </w:tcPr>
          <w:p w:rsidR="000D3187" w:rsidRPr="00C44212" w:rsidRDefault="000D3187" w:rsidP="00E5445F">
            <w:pPr>
              <w:spacing w:after="0" w:line="240" w:lineRule="auto"/>
              <w:jc w:val="center"/>
              <w:rPr>
                <w:rFonts w:ascii="Calibri" w:eastAsia="Times New Roman" w:hAnsi="Calibri" w:cs="Times New Roman"/>
                <w:color w:val="000000"/>
              </w:rPr>
            </w:pPr>
            <w:r w:rsidRPr="00C44212">
              <w:rPr>
                <w:rFonts w:ascii="Calibri" w:eastAsia="Times New Roman" w:hAnsi="Calibri" w:cs="Times New Roman"/>
                <w:color w:val="000000"/>
              </w:rPr>
              <w:t xml:space="preserve">Time elapsed </w:t>
            </w:r>
          </w:p>
        </w:tc>
      </w:tr>
      <w:tr w:rsidR="000D3187" w:rsidRPr="00C44212" w:rsidTr="00E5445F">
        <w:trPr>
          <w:trHeight w:val="288"/>
        </w:trPr>
        <w:tc>
          <w:tcPr>
            <w:tcW w:w="1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1 → 2</w:t>
            </w:r>
          </w:p>
        </w:tc>
        <w:tc>
          <w:tcPr>
            <w:tcW w:w="6368" w:type="dxa"/>
            <w:gridSpan w:val="2"/>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original transaction to submittal of MT</w:t>
            </w:r>
          </w:p>
        </w:tc>
        <w:tc>
          <w:tcPr>
            <w:tcW w:w="217" w:type="dxa"/>
            <w:tcBorders>
              <w:top w:val="single" w:sz="4" w:space="0" w:color="auto"/>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2 → 4</w:t>
            </w:r>
          </w:p>
        </w:tc>
        <w:tc>
          <w:tcPr>
            <w:tcW w:w="6151" w:type="dxa"/>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agreement between CRs</w:t>
            </w:r>
          </w:p>
        </w:tc>
        <w:tc>
          <w:tcPr>
            <w:tcW w:w="217" w:type="dxa"/>
            <w:tcBorders>
              <w:top w:val="nil"/>
              <w:left w:val="nil"/>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4 → 6</w:t>
            </w:r>
          </w:p>
        </w:tc>
        <w:tc>
          <w:tcPr>
            <w:tcW w:w="6151" w:type="dxa"/>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Losing CR to send BDMVI</w:t>
            </w:r>
          </w:p>
        </w:tc>
        <w:tc>
          <w:tcPr>
            <w:tcW w:w="217" w:type="dxa"/>
            <w:tcBorders>
              <w:top w:val="nil"/>
              <w:left w:val="nil"/>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5 → 6</w:t>
            </w:r>
          </w:p>
        </w:tc>
        <w:tc>
          <w:tcPr>
            <w:tcW w:w="6585"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Ready to Receive to submittal of BDMVI</w:t>
            </w:r>
          </w:p>
        </w:tc>
      </w:tr>
      <w:tr w:rsidR="000D3187" w:rsidRPr="00C44212" w:rsidTr="00E5445F">
        <w:trPr>
          <w:trHeight w:val="294"/>
        </w:trPr>
        <w:tc>
          <w:tcPr>
            <w:tcW w:w="1496" w:type="dxa"/>
            <w:tcBorders>
              <w:top w:val="nil"/>
              <w:left w:val="single" w:sz="8" w:space="0" w:color="auto"/>
              <w:bottom w:val="single" w:sz="8"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2 → 8</w:t>
            </w:r>
          </w:p>
        </w:tc>
        <w:tc>
          <w:tcPr>
            <w:tcW w:w="6151" w:type="dxa"/>
            <w:tcBorders>
              <w:top w:val="nil"/>
              <w:left w:val="nil"/>
              <w:bottom w:val="single" w:sz="8"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total resolution time</w:t>
            </w:r>
          </w:p>
        </w:tc>
        <w:tc>
          <w:tcPr>
            <w:tcW w:w="217" w:type="dxa"/>
            <w:tcBorders>
              <w:top w:val="nil"/>
              <w:left w:val="nil"/>
              <w:bottom w:val="single" w:sz="8"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8"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bookmarkEnd w:id="1"/>
    </w:tbl>
    <w:p w:rsidR="00D17997" w:rsidRPr="009805C2" w:rsidRDefault="00D17997" w:rsidP="00020E68">
      <w:pPr>
        <w:pStyle w:val="NoSpacing"/>
      </w:pPr>
    </w:p>
    <w:p w:rsidR="00020E68" w:rsidRPr="007660CA" w:rsidRDefault="00EF48D4" w:rsidP="000D3187">
      <w:pPr>
        <w:pStyle w:val="NoSpacing"/>
        <w:rPr>
          <w:b/>
          <w:u w:val="single"/>
        </w:rPr>
      </w:pPr>
      <w:r>
        <w:t>The WG agreed to ensure the IAG solution is thorough and not to rush to complete to meet TAC deadline as noted below.</w:t>
      </w:r>
    </w:p>
    <w:p w:rsidR="00EF48D4" w:rsidRDefault="00EF48D4" w:rsidP="00EF48D4">
      <w:pPr>
        <w:pStyle w:val="NoSpacing"/>
      </w:pPr>
    </w:p>
    <w:p w:rsidR="00EF48D4" w:rsidRDefault="00EF48D4" w:rsidP="00EF48D4">
      <w:pPr>
        <w:pStyle w:val="NoSpacing"/>
        <w:rPr>
          <w:b/>
          <w:u w:val="single"/>
        </w:rPr>
      </w:pPr>
      <w:r w:rsidRPr="00EF48D4">
        <w:rPr>
          <w:b/>
          <w:u w:val="single"/>
        </w:rPr>
        <w:t>MarkeTrak Enhancement Discussion</w:t>
      </w:r>
    </w:p>
    <w:p w:rsidR="002E6D10" w:rsidRDefault="00EF48D4" w:rsidP="00245452">
      <w:pPr>
        <w:pStyle w:val="NoSpacing"/>
        <w:numPr>
          <w:ilvl w:val="0"/>
          <w:numId w:val="4"/>
        </w:numPr>
      </w:pPr>
      <w:r>
        <w:t xml:space="preserve">WG reviewed all proposed MT enhancements and </w:t>
      </w:r>
      <w:r w:rsidR="002E6D10">
        <w:t xml:space="preserve">with the assistance of Dave Michelson classified each as either an SCR – more administrative </w:t>
      </w:r>
      <w:proofErr w:type="gramStart"/>
      <w:r w:rsidR="002E6D10">
        <w:t>OR  a</w:t>
      </w:r>
      <w:proofErr w:type="gramEnd"/>
      <w:r w:rsidR="002E6D10">
        <w:t xml:space="preserve"> validation – aligning with a TXSET 5.0 Project.  Attached is the revised spreadsheet separating the two.</w:t>
      </w:r>
    </w:p>
    <w:p w:rsidR="002E6D10" w:rsidRDefault="002E6D10" w:rsidP="00245452">
      <w:pPr>
        <w:pStyle w:val="NoSpacing"/>
        <w:numPr>
          <w:ilvl w:val="0"/>
          <w:numId w:val="4"/>
        </w:numPr>
      </w:pPr>
      <w:r>
        <w:t xml:space="preserve">Next meeting the WG will begin to organize for the submittal of an SCR </w:t>
      </w:r>
    </w:p>
    <w:p w:rsidR="002E6D10" w:rsidRDefault="002E6D10" w:rsidP="002E6D10">
      <w:pPr>
        <w:pStyle w:val="NoSpacing"/>
      </w:pPr>
    </w:p>
    <w:p w:rsidR="007660CA" w:rsidRDefault="002E6D10" w:rsidP="002E6D10">
      <w:pPr>
        <w:pStyle w:val="NoSpacing"/>
        <w:rPr>
          <w:b/>
          <w:u w:val="single"/>
        </w:rPr>
      </w:pPr>
      <w:r w:rsidRPr="002E6D10">
        <w:rPr>
          <w:b/>
          <w:u w:val="single"/>
        </w:rPr>
        <w:t>Switch Holds</w:t>
      </w:r>
      <w:r w:rsidR="007F145E" w:rsidRPr="002E6D10">
        <w:rPr>
          <w:b/>
          <w:u w:val="single"/>
        </w:rPr>
        <w:t xml:space="preserve"> </w:t>
      </w:r>
    </w:p>
    <w:p w:rsidR="002E6D10" w:rsidRDefault="002E6D10" w:rsidP="002E6D10">
      <w:pPr>
        <w:pStyle w:val="NoSpacing"/>
      </w:pPr>
      <w:r>
        <w:t>Kyle noted one market participant has exhibited concerning behavior on their interpretation of the Retail Market Guide as it relates to the release of switch holds and the supporting documentation validating a disassociation of the current occupant to the proposed occupant.  The WG will briefly review the Guides to determine if language changes are needed to clarify the removal of a switch hold.</w:t>
      </w:r>
    </w:p>
    <w:p w:rsidR="002E6D10" w:rsidRPr="002E6D10" w:rsidRDefault="002E6D10" w:rsidP="002E6D10">
      <w:pPr>
        <w:pStyle w:val="NoSpacing"/>
      </w:pPr>
    </w:p>
    <w:p w:rsidR="007660CA" w:rsidRPr="007660CA" w:rsidRDefault="007660CA" w:rsidP="007660CA">
      <w:pPr>
        <w:pStyle w:val="NoSpacing"/>
        <w:rPr>
          <w:b/>
          <w:u w:val="single"/>
        </w:rPr>
      </w:pPr>
      <w:r w:rsidRPr="007660CA">
        <w:rPr>
          <w:b/>
          <w:u w:val="single"/>
        </w:rPr>
        <w:t xml:space="preserve">AGENDA for </w:t>
      </w:r>
      <w:r w:rsidR="002E6D10">
        <w:rPr>
          <w:b/>
          <w:u w:val="single"/>
        </w:rPr>
        <w:t>9</w:t>
      </w:r>
      <w:r w:rsidR="00C44212">
        <w:rPr>
          <w:b/>
          <w:u w:val="single"/>
        </w:rPr>
        <w:t>/</w:t>
      </w:r>
      <w:r w:rsidR="002E6D10">
        <w:rPr>
          <w:b/>
          <w:u w:val="single"/>
        </w:rPr>
        <w:t>17</w:t>
      </w:r>
      <w:r w:rsidRPr="007660CA">
        <w:rPr>
          <w:b/>
          <w:u w:val="single"/>
        </w:rPr>
        <w:t>/20 Meeting</w:t>
      </w:r>
    </w:p>
    <w:p w:rsidR="00257783" w:rsidRPr="00257783" w:rsidRDefault="00257783" w:rsidP="00245452">
      <w:pPr>
        <w:pStyle w:val="NoSpacing"/>
        <w:numPr>
          <w:ilvl w:val="0"/>
          <w:numId w:val="5"/>
        </w:numPr>
        <w:rPr>
          <w:b/>
          <w:u w:val="single"/>
        </w:rPr>
      </w:pPr>
      <w:r>
        <w:t>ERCOT Update</w:t>
      </w:r>
    </w:p>
    <w:p w:rsidR="00257783" w:rsidRPr="00257783" w:rsidRDefault="00257783" w:rsidP="00245452">
      <w:pPr>
        <w:pStyle w:val="NoSpacing"/>
        <w:numPr>
          <w:ilvl w:val="1"/>
          <w:numId w:val="5"/>
        </w:numPr>
        <w:rPr>
          <w:b/>
          <w:u w:val="single"/>
        </w:rPr>
      </w:pPr>
      <w:r>
        <w:t>System Instances and MarkeTrak Monthly Performance Review</w:t>
      </w:r>
    </w:p>
    <w:p w:rsidR="00257783" w:rsidRPr="00257783" w:rsidRDefault="00257783" w:rsidP="00245452">
      <w:pPr>
        <w:pStyle w:val="NoSpacing"/>
        <w:numPr>
          <w:ilvl w:val="1"/>
          <w:numId w:val="5"/>
        </w:numPr>
        <w:rPr>
          <w:b/>
          <w:u w:val="single"/>
        </w:rPr>
      </w:pPr>
      <w:r>
        <w:t xml:space="preserve">Consent of 2021 SLAs for Market Data Transparency and MarkeTrak Performance </w:t>
      </w:r>
    </w:p>
    <w:p w:rsidR="00257783" w:rsidRPr="00257783" w:rsidRDefault="00257783" w:rsidP="00245452">
      <w:pPr>
        <w:pStyle w:val="NoSpacing"/>
        <w:numPr>
          <w:ilvl w:val="1"/>
          <w:numId w:val="5"/>
        </w:numPr>
        <w:rPr>
          <w:b/>
          <w:u w:val="single"/>
        </w:rPr>
      </w:pPr>
      <w:r>
        <w:t>Transport Layer Security (TLS) Discussion – ERCOT NAESB Project</w:t>
      </w:r>
    </w:p>
    <w:p w:rsidR="00257783" w:rsidRPr="00257783" w:rsidRDefault="00257783" w:rsidP="00245452">
      <w:pPr>
        <w:pStyle w:val="NoSpacing"/>
        <w:numPr>
          <w:ilvl w:val="0"/>
          <w:numId w:val="5"/>
        </w:numPr>
        <w:rPr>
          <w:b/>
          <w:u w:val="single"/>
        </w:rPr>
      </w:pPr>
      <w:r>
        <w:t>Review Switch Hold Removal guides – Retail Market Guide</w:t>
      </w:r>
    </w:p>
    <w:p w:rsidR="00257783" w:rsidRDefault="00257783" w:rsidP="00245452">
      <w:pPr>
        <w:pStyle w:val="NoSpacing"/>
        <w:numPr>
          <w:ilvl w:val="0"/>
          <w:numId w:val="5"/>
        </w:numPr>
        <w:rPr>
          <w:b/>
          <w:u w:val="single"/>
        </w:rPr>
      </w:pPr>
      <w:r>
        <w:t>IAG Subtype Analysis – timeline data (MT historical data points)</w:t>
      </w:r>
    </w:p>
    <w:p w:rsidR="00453CB9" w:rsidRDefault="00257783" w:rsidP="00123FEE">
      <w:pPr>
        <w:pStyle w:val="NoSpacing"/>
        <w:rPr>
          <w:b/>
          <w:u w:val="single"/>
        </w:rPr>
      </w:pPr>
      <w:r w:rsidRPr="00257783">
        <w:rPr>
          <w:noProof/>
        </w:rPr>
        <w:drawing>
          <wp:inline distT="0" distB="0" distL="0" distR="0">
            <wp:extent cx="6800850" cy="1644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0" cy="1644284"/>
                    </a:xfrm>
                    <a:prstGeom prst="rect">
                      <a:avLst/>
                    </a:prstGeom>
                    <a:noFill/>
                    <a:ln>
                      <a:noFill/>
                    </a:ln>
                  </pic:spPr>
                </pic:pic>
              </a:graphicData>
            </a:graphic>
          </wp:inline>
        </w:drawing>
      </w:r>
    </w:p>
    <w:p w:rsidR="00453CB9" w:rsidRPr="00257783" w:rsidRDefault="00257783" w:rsidP="00245452">
      <w:pPr>
        <w:pStyle w:val="NoSpacing"/>
        <w:numPr>
          <w:ilvl w:val="0"/>
          <w:numId w:val="5"/>
        </w:numPr>
        <w:rPr>
          <w:b/>
          <w:u w:val="single"/>
        </w:rPr>
      </w:pPr>
      <w:r>
        <w:t>IAG Proposed Solution – does the data support one option over the other?</w:t>
      </w:r>
    </w:p>
    <w:p w:rsidR="00257783" w:rsidRPr="00257783" w:rsidRDefault="00257783" w:rsidP="00245452">
      <w:pPr>
        <w:pStyle w:val="NoSpacing"/>
        <w:numPr>
          <w:ilvl w:val="0"/>
          <w:numId w:val="5"/>
        </w:numPr>
        <w:rPr>
          <w:b/>
          <w:u w:val="single"/>
        </w:rPr>
      </w:pPr>
      <w:r>
        <w:t>MT Enhancements- review of SCR items</w:t>
      </w:r>
    </w:p>
    <w:p w:rsidR="00257783" w:rsidRPr="00257783" w:rsidRDefault="00257783" w:rsidP="00245452">
      <w:pPr>
        <w:pStyle w:val="NoSpacing"/>
        <w:numPr>
          <w:ilvl w:val="1"/>
          <w:numId w:val="5"/>
        </w:numPr>
        <w:rPr>
          <w:b/>
          <w:u w:val="single"/>
        </w:rPr>
      </w:pPr>
      <w:r>
        <w:t>Rolodex entries</w:t>
      </w:r>
    </w:p>
    <w:p w:rsidR="00257783" w:rsidRPr="00257783" w:rsidRDefault="00257783" w:rsidP="00245452">
      <w:pPr>
        <w:pStyle w:val="NoSpacing"/>
        <w:numPr>
          <w:ilvl w:val="1"/>
          <w:numId w:val="5"/>
        </w:numPr>
        <w:rPr>
          <w:b/>
          <w:u w:val="single"/>
        </w:rPr>
      </w:pPr>
      <w:proofErr w:type="spellStart"/>
      <w:r>
        <w:t>Unexecutable</w:t>
      </w:r>
      <w:proofErr w:type="spellEnd"/>
      <w:r>
        <w:t xml:space="preserve"> reasons</w:t>
      </w:r>
    </w:p>
    <w:p w:rsidR="00453CB9" w:rsidRPr="00453CB9" w:rsidRDefault="00257783" w:rsidP="00245452">
      <w:pPr>
        <w:pStyle w:val="NoSpacing"/>
        <w:numPr>
          <w:ilvl w:val="0"/>
          <w:numId w:val="5"/>
        </w:numPr>
      </w:pPr>
      <w:r>
        <w:t>Review of the lower volume of MT Subtype data – can subtypes be removed from tool?</w:t>
      </w:r>
    </w:p>
    <w:sectPr w:rsidR="00453CB9" w:rsidRPr="00453CB9"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D6877"/>
    <w:multiLevelType w:val="hybridMultilevel"/>
    <w:tmpl w:val="C274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1F33"/>
    <w:multiLevelType w:val="hybridMultilevel"/>
    <w:tmpl w:val="7744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5B49"/>
    <w:rsid w:val="000A1F65"/>
    <w:rsid w:val="000C0AF2"/>
    <w:rsid w:val="000C20CF"/>
    <w:rsid w:val="000C5FAB"/>
    <w:rsid w:val="000D3187"/>
    <w:rsid w:val="000E13F8"/>
    <w:rsid w:val="00110EA2"/>
    <w:rsid w:val="00123FEE"/>
    <w:rsid w:val="001303F8"/>
    <w:rsid w:val="00131DDA"/>
    <w:rsid w:val="00153056"/>
    <w:rsid w:val="00171E07"/>
    <w:rsid w:val="001B1170"/>
    <w:rsid w:val="001C4664"/>
    <w:rsid w:val="001D16C1"/>
    <w:rsid w:val="001E1FBF"/>
    <w:rsid w:val="00210956"/>
    <w:rsid w:val="0022539C"/>
    <w:rsid w:val="00227F00"/>
    <w:rsid w:val="002417F6"/>
    <w:rsid w:val="00245452"/>
    <w:rsid w:val="00257783"/>
    <w:rsid w:val="00266626"/>
    <w:rsid w:val="00275BB9"/>
    <w:rsid w:val="002B73B5"/>
    <w:rsid w:val="002C5F35"/>
    <w:rsid w:val="002E188E"/>
    <w:rsid w:val="002E4AA8"/>
    <w:rsid w:val="002E52F7"/>
    <w:rsid w:val="002E6D10"/>
    <w:rsid w:val="002F12FE"/>
    <w:rsid w:val="002F5B65"/>
    <w:rsid w:val="002F6A98"/>
    <w:rsid w:val="003147A9"/>
    <w:rsid w:val="0032177A"/>
    <w:rsid w:val="003224FF"/>
    <w:rsid w:val="00326666"/>
    <w:rsid w:val="0032714F"/>
    <w:rsid w:val="00327A45"/>
    <w:rsid w:val="0035068E"/>
    <w:rsid w:val="00351211"/>
    <w:rsid w:val="00370FAA"/>
    <w:rsid w:val="00387FDB"/>
    <w:rsid w:val="003939F4"/>
    <w:rsid w:val="00397D90"/>
    <w:rsid w:val="003A0149"/>
    <w:rsid w:val="003B2CDB"/>
    <w:rsid w:val="003C2B32"/>
    <w:rsid w:val="003D3023"/>
    <w:rsid w:val="003D62FC"/>
    <w:rsid w:val="003D7918"/>
    <w:rsid w:val="00402166"/>
    <w:rsid w:val="00402D16"/>
    <w:rsid w:val="00404E6C"/>
    <w:rsid w:val="00420104"/>
    <w:rsid w:val="00423A26"/>
    <w:rsid w:val="00446742"/>
    <w:rsid w:val="004510BA"/>
    <w:rsid w:val="00453CB9"/>
    <w:rsid w:val="0046383E"/>
    <w:rsid w:val="00473E06"/>
    <w:rsid w:val="00474281"/>
    <w:rsid w:val="004852C1"/>
    <w:rsid w:val="00487203"/>
    <w:rsid w:val="004A02A5"/>
    <w:rsid w:val="004B0BD3"/>
    <w:rsid w:val="004C5528"/>
    <w:rsid w:val="004C672D"/>
    <w:rsid w:val="004F3B6C"/>
    <w:rsid w:val="005101FF"/>
    <w:rsid w:val="0051096F"/>
    <w:rsid w:val="00527ADA"/>
    <w:rsid w:val="00540840"/>
    <w:rsid w:val="0054333F"/>
    <w:rsid w:val="00543BB4"/>
    <w:rsid w:val="00544D4C"/>
    <w:rsid w:val="00546D6E"/>
    <w:rsid w:val="00547B3B"/>
    <w:rsid w:val="00553D72"/>
    <w:rsid w:val="005572E8"/>
    <w:rsid w:val="00562FBA"/>
    <w:rsid w:val="005645B7"/>
    <w:rsid w:val="005A25C3"/>
    <w:rsid w:val="006149AB"/>
    <w:rsid w:val="0062681D"/>
    <w:rsid w:val="00637F5C"/>
    <w:rsid w:val="00643E89"/>
    <w:rsid w:val="00653F95"/>
    <w:rsid w:val="006758D3"/>
    <w:rsid w:val="006816F8"/>
    <w:rsid w:val="00683CC7"/>
    <w:rsid w:val="006F0C42"/>
    <w:rsid w:val="00702CF5"/>
    <w:rsid w:val="00707132"/>
    <w:rsid w:val="00720A5D"/>
    <w:rsid w:val="00733B41"/>
    <w:rsid w:val="007533E9"/>
    <w:rsid w:val="0076567B"/>
    <w:rsid w:val="007660CA"/>
    <w:rsid w:val="00766E5D"/>
    <w:rsid w:val="00770025"/>
    <w:rsid w:val="0079359B"/>
    <w:rsid w:val="007966CC"/>
    <w:rsid w:val="007C090E"/>
    <w:rsid w:val="007C5998"/>
    <w:rsid w:val="007F145E"/>
    <w:rsid w:val="007F3FC1"/>
    <w:rsid w:val="00806140"/>
    <w:rsid w:val="00807049"/>
    <w:rsid w:val="00860321"/>
    <w:rsid w:val="00862522"/>
    <w:rsid w:val="008636F7"/>
    <w:rsid w:val="00875092"/>
    <w:rsid w:val="00887CAB"/>
    <w:rsid w:val="00891A72"/>
    <w:rsid w:val="008B5C93"/>
    <w:rsid w:val="008D78D2"/>
    <w:rsid w:val="008E6934"/>
    <w:rsid w:val="008F2439"/>
    <w:rsid w:val="008F4DC4"/>
    <w:rsid w:val="008F6D8F"/>
    <w:rsid w:val="0090152E"/>
    <w:rsid w:val="00932C1B"/>
    <w:rsid w:val="0095114C"/>
    <w:rsid w:val="00963F70"/>
    <w:rsid w:val="009805C2"/>
    <w:rsid w:val="009A0B03"/>
    <w:rsid w:val="009D5ECB"/>
    <w:rsid w:val="009D7D5C"/>
    <w:rsid w:val="009F63FD"/>
    <w:rsid w:val="009F7D81"/>
    <w:rsid w:val="00A001C8"/>
    <w:rsid w:val="00A01863"/>
    <w:rsid w:val="00A14B4A"/>
    <w:rsid w:val="00A17B5F"/>
    <w:rsid w:val="00A274B3"/>
    <w:rsid w:val="00A367C4"/>
    <w:rsid w:val="00A43FBD"/>
    <w:rsid w:val="00A47BA1"/>
    <w:rsid w:val="00A5566F"/>
    <w:rsid w:val="00A5593F"/>
    <w:rsid w:val="00A60FAD"/>
    <w:rsid w:val="00A67EE2"/>
    <w:rsid w:val="00A86140"/>
    <w:rsid w:val="00A86544"/>
    <w:rsid w:val="00A95E96"/>
    <w:rsid w:val="00AA7CB2"/>
    <w:rsid w:val="00AB4932"/>
    <w:rsid w:val="00AC7F6D"/>
    <w:rsid w:val="00AE38A9"/>
    <w:rsid w:val="00AE3E48"/>
    <w:rsid w:val="00AF71B5"/>
    <w:rsid w:val="00B05A4F"/>
    <w:rsid w:val="00B22D19"/>
    <w:rsid w:val="00B31199"/>
    <w:rsid w:val="00B64B2E"/>
    <w:rsid w:val="00B66384"/>
    <w:rsid w:val="00B877FC"/>
    <w:rsid w:val="00B90882"/>
    <w:rsid w:val="00BB0367"/>
    <w:rsid w:val="00BB571E"/>
    <w:rsid w:val="00BC33B9"/>
    <w:rsid w:val="00C1359E"/>
    <w:rsid w:val="00C21A42"/>
    <w:rsid w:val="00C27CC0"/>
    <w:rsid w:val="00C32B22"/>
    <w:rsid w:val="00C44212"/>
    <w:rsid w:val="00C66CDF"/>
    <w:rsid w:val="00C70FD8"/>
    <w:rsid w:val="00C7529A"/>
    <w:rsid w:val="00C9361E"/>
    <w:rsid w:val="00CA0ED7"/>
    <w:rsid w:val="00CA1A12"/>
    <w:rsid w:val="00CA2667"/>
    <w:rsid w:val="00CB2304"/>
    <w:rsid w:val="00CD26E3"/>
    <w:rsid w:val="00CD7EFB"/>
    <w:rsid w:val="00CE3D30"/>
    <w:rsid w:val="00D00FE4"/>
    <w:rsid w:val="00D021DD"/>
    <w:rsid w:val="00D059C5"/>
    <w:rsid w:val="00D15CA5"/>
    <w:rsid w:val="00D17997"/>
    <w:rsid w:val="00D17CF3"/>
    <w:rsid w:val="00D21886"/>
    <w:rsid w:val="00D30343"/>
    <w:rsid w:val="00D40728"/>
    <w:rsid w:val="00D66857"/>
    <w:rsid w:val="00D734CD"/>
    <w:rsid w:val="00D77953"/>
    <w:rsid w:val="00D848CA"/>
    <w:rsid w:val="00D86915"/>
    <w:rsid w:val="00DC64DC"/>
    <w:rsid w:val="00DD1441"/>
    <w:rsid w:val="00DE49C2"/>
    <w:rsid w:val="00E12C6D"/>
    <w:rsid w:val="00E44630"/>
    <w:rsid w:val="00E522FE"/>
    <w:rsid w:val="00E65CE9"/>
    <w:rsid w:val="00E7036C"/>
    <w:rsid w:val="00E72A60"/>
    <w:rsid w:val="00E822B6"/>
    <w:rsid w:val="00E871A3"/>
    <w:rsid w:val="00EA742D"/>
    <w:rsid w:val="00EB2B86"/>
    <w:rsid w:val="00EB3273"/>
    <w:rsid w:val="00EB6375"/>
    <w:rsid w:val="00EC285D"/>
    <w:rsid w:val="00EC7CD0"/>
    <w:rsid w:val="00ED6B55"/>
    <w:rsid w:val="00EE7981"/>
    <w:rsid w:val="00EF31E0"/>
    <w:rsid w:val="00EF48D4"/>
    <w:rsid w:val="00F021C5"/>
    <w:rsid w:val="00F02BDF"/>
    <w:rsid w:val="00F2039B"/>
    <w:rsid w:val="00F44DF8"/>
    <w:rsid w:val="00F51CAB"/>
    <w:rsid w:val="00F81867"/>
    <w:rsid w:val="00F8406C"/>
    <w:rsid w:val="00F8712A"/>
    <w:rsid w:val="00F93EB7"/>
    <w:rsid w:val="00FA647E"/>
    <w:rsid w:val="00FB04C0"/>
    <w:rsid w:val="00FD4DD1"/>
    <w:rsid w:val="00FD7895"/>
    <w:rsid w:val="00FE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C36E13-11E5-4271-8429-617F9A26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dcterms:created xsi:type="dcterms:W3CDTF">2020-09-14T21:13:00Z</dcterms:created>
  <dcterms:modified xsi:type="dcterms:W3CDTF">2020-09-14T21:13:00Z</dcterms:modified>
</cp:coreProperties>
</file>