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E1C3E" w14:textId="77777777" w:rsidR="00387971" w:rsidRDefault="00B22EA7" w:rsidP="00002163">
      <w:pPr>
        <w:jc w:val="right"/>
      </w:pPr>
      <w:r>
        <w:rPr>
          <w:noProof/>
        </w:rPr>
        <w:drawing>
          <wp:inline distT="0" distB="0" distL="0" distR="0" wp14:anchorId="5C9E1C79" wp14:editId="5C9E1C7A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E1C3F" w14:textId="15B3D061" w:rsidR="00387971" w:rsidRPr="00646598" w:rsidRDefault="00224941" w:rsidP="00EA2B1F">
      <w:pPr>
        <w:pStyle w:val="StyleStylespacerRightBefore400pt9pt"/>
      </w:pPr>
      <w:bookmarkStart w:id="0" w:name="_GoBack"/>
      <w:bookmarkEnd w:id="0"/>
      <w:r>
        <w:t>Market Data Transparency</w:t>
      </w:r>
      <w:r w:rsidR="009F0179" w:rsidRPr="00646598">
        <w:br/>
      </w:r>
    </w:p>
    <w:p w14:paraId="5C9E1C40" w14:textId="7B4E67A8" w:rsidR="00AE70F7" w:rsidRPr="00646598" w:rsidRDefault="00224941" w:rsidP="00EA2B1F">
      <w:pPr>
        <w:pStyle w:val="StyleArial18ptBoldText2Right"/>
      </w:pPr>
      <w:r>
        <w:t>Terms of Use</w:t>
      </w:r>
    </w:p>
    <w:p w14:paraId="5C9E1C41" w14:textId="32B2513D" w:rsidR="00AE70F7" w:rsidRPr="00646598" w:rsidRDefault="002129A3" w:rsidP="00AE70F7">
      <w:pPr>
        <w:pStyle w:val="spacer"/>
        <w:widowControl w:val="0"/>
        <w:spacing w:before="240"/>
        <w:jc w:val="right"/>
        <w:rPr>
          <w:b/>
          <w:sz w:val="24"/>
          <w:szCs w:val="24"/>
        </w:rPr>
      </w:pPr>
      <w:r w:rsidRPr="00646598">
        <w:rPr>
          <w:b/>
          <w:sz w:val="24"/>
          <w:szCs w:val="24"/>
        </w:rPr>
        <w:t>Version</w:t>
      </w:r>
      <w:r w:rsidR="001F36CA" w:rsidRPr="00646598">
        <w:rPr>
          <w:b/>
          <w:sz w:val="24"/>
          <w:szCs w:val="24"/>
        </w:rPr>
        <w:t xml:space="preserve"> 1.</w:t>
      </w:r>
      <w:r w:rsidR="00A7561E">
        <w:rPr>
          <w:b/>
          <w:sz w:val="24"/>
          <w:szCs w:val="24"/>
        </w:rPr>
        <w:t>2</w:t>
      </w:r>
    </w:p>
    <w:p w14:paraId="5C9E1C42" w14:textId="77777777" w:rsidR="00AE70F7" w:rsidRPr="00AE70F7" w:rsidRDefault="00AE70F7" w:rsidP="00AE70F7">
      <w:pPr>
        <w:pStyle w:val="spacer"/>
        <w:widowControl w:val="0"/>
        <w:spacing w:before="240"/>
        <w:jc w:val="right"/>
        <w:rPr>
          <w:sz w:val="24"/>
          <w:szCs w:val="24"/>
        </w:rPr>
      </w:pPr>
    </w:p>
    <w:p w14:paraId="5C9E1C43" w14:textId="77777777" w:rsidR="003C5767" w:rsidRDefault="003C5767" w:rsidP="00400806">
      <w:pPr>
        <w:pStyle w:val="TOCHead"/>
        <w:sectPr w:rsidR="003C5767" w:rsidSect="00302001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5C9E1C44" w14:textId="77777777" w:rsidR="00B0784A" w:rsidRPr="00646598" w:rsidRDefault="001A131B" w:rsidP="00EA2B1F">
      <w:pPr>
        <w:pStyle w:val="StyleTOCHeadAccent1"/>
      </w:pPr>
      <w:r w:rsidRPr="00646598">
        <w:lastRenderedPageBreak/>
        <w:t>Document Revisions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134"/>
        <w:gridCol w:w="3726"/>
        <w:gridCol w:w="1980"/>
      </w:tblGrid>
      <w:tr w:rsidR="0017100B" w14:paraId="5C9E1C49" w14:textId="77777777" w:rsidTr="0080518D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E1C45" w14:textId="77777777" w:rsidR="0017100B" w:rsidRPr="00FA1221" w:rsidRDefault="0017100B" w:rsidP="00D055CC">
            <w:pPr>
              <w:pStyle w:val="tablehead"/>
            </w:pPr>
            <w:r w:rsidRPr="00FA1221"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E1C46" w14:textId="77777777" w:rsidR="0017100B" w:rsidRPr="00FA1221" w:rsidRDefault="0017100B" w:rsidP="00D055CC">
            <w:pPr>
              <w:pStyle w:val="tablehead"/>
            </w:pPr>
            <w:r w:rsidRPr="00FA1221">
              <w:t>Version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E1C47" w14:textId="77777777" w:rsidR="0017100B" w:rsidRPr="00FA1221" w:rsidRDefault="0017100B" w:rsidP="00D055CC">
            <w:pPr>
              <w:pStyle w:val="tablehead"/>
            </w:pPr>
            <w:r w:rsidRPr="00FA1221">
              <w:t>Description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E1C48" w14:textId="77777777" w:rsidR="0017100B" w:rsidRPr="00FA1221" w:rsidRDefault="0017100B" w:rsidP="00D055CC">
            <w:pPr>
              <w:pStyle w:val="tablehead"/>
            </w:pPr>
            <w:r w:rsidRPr="00FA1221">
              <w:t>Author(s)</w:t>
            </w:r>
          </w:p>
        </w:tc>
      </w:tr>
      <w:tr w:rsidR="0017100B" w14:paraId="5C9E1C4E" w14:textId="77777777" w:rsidTr="0080518D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E1C4A" w14:textId="31EBE700" w:rsidR="0017100B" w:rsidRDefault="00224941" w:rsidP="00D055CC">
            <w:pPr>
              <w:pStyle w:val="table"/>
            </w:pPr>
            <w:r>
              <w:t>11/23/2010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1C4B" w14:textId="77777777" w:rsidR="0017100B" w:rsidRDefault="006E489C" w:rsidP="00D055CC">
            <w:pPr>
              <w:pStyle w:val="table"/>
            </w:pPr>
            <w:r>
              <w:t>1.0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1C4C" w14:textId="024BD30A" w:rsidR="0017100B" w:rsidRDefault="00224941" w:rsidP="00D055CC">
            <w:pPr>
              <w:pStyle w:val="table"/>
            </w:pPr>
            <w:r>
              <w:t xml:space="preserve">Initial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9E1C4D" w14:textId="5D52904A" w:rsidR="0017100B" w:rsidRDefault="00224941" w:rsidP="00D055CC">
            <w:pPr>
              <w:pStyle w:val="table"/>
            </w:pPr>
            <w:r>
              <w:rPr>
                <w:sz w:val="20"/>
                <w:szCs w:val="20"/>
              </w:rPr>
              <w:t>T. Felton</w:t>
            </w:r>
          </w:p>
        </w:tc>
      </w:tr>
      <w:tr w:rsidR="00224941" w14:paraId="29EEB721" w14:textId="77777777" w:rsidTr="0080518D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4617B" w14:textId="45F428A2" w:rsidR="00224941" w:rsidRDefault="00224941" w:rsidP="00D055CC">
            <w:pPr>
              <w:pStyle w:val="table"/>
            </w:pPr>
            <w:r>
              <w:t>07/21/2020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8F6" w14:textId="42C798CE" w:rsidR="00224941" w:rsidRDefault="00224941" w:rsidP="00D055CC">
            <w:pPr>
              <w:pStyle w:val="table"/>
            </w:pPr>
            <w:r>
              <w:t>1.1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DA2F" w14:textId="7E3DFB63" w:rsidR="00224941" w:rsidRDefault="00224941" w:rsidP="00D055CC">
            <w:pPr>
              <w:pStyle w:val="table"/>
            </w:pPr>
            <w:r>
              <w:t>Revision Updates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10F75E" w14:textId="00FC1296" w:rsidR="00224941" w:rsidRDefault="00224941" w:rsidP="00224941">
            <w:pPr>
              <w:pStyle w:val="table"/>
              <w:rPr>
                <w:sz w:val="20"/>
                <w:szCs w:val="20"/>
              </w:rPr>
            </w:pPr>
            <w:r w:rsidRPr="0022494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Lofton </w:t>
            </w:r>
          </w:p>
        </w:tc>
      </w:tr>
      <w:tr w:rsidR="00A7561E" w14:paraId="37C7CAD9" w14:textId="77777777" w:rsidTr="0080518D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75054" w14:textId="06BDBB35" w:rsidR="00A7561E" w:rsidRDefault="00A7561E" w:rsidP="00D055CC">
            <w:pPr>
              <w:pStyle w:val="table"/>
            </w:pPr>
            <w:r>
              <w:t>08/11/2020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C3A" w14:textId="37C38199" w:rsidR="00A7561E" w:rsidRDefault="00A7561E" w:rsidP="00D055CC">
            <w:pPr>
              <w:pStyle w:val="table"/>
            </w:pPr>
            <w:r>
              <w:t>1.2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44B2" w14:textId="624F9DE7" w:rsidR="00A7561E" w:rsidRDefault="00A7561E" w:rsidP="00D055CC">
            <w:pPr>
              <w:pStyle w:val="table"/>
            </w:pPr>
            <w:r>
              <w:t>Edits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F4285" w14:textId="23698029" w:rsidR="00A7561E" w:rsidRPr="00224941" w:rsidRDefault="00A7561E" w:rsidP="0022494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House</w:t>
            </w:r>
          </w:p>
        </w:tc>
      </w:tr>
    </w:tbl>
    <w:p w14:paraId="5C9E1C4F" w14:textId="77777777" w:rsidR="00B0784A" w:rsidRDefault="00B0784A"/>
    <w:p w14:paraId="5C9E1C50" w14:textId="16C09DDA" w:rsidR="00B40C6E" w:rsidRDefault="00B40C6E">
      <w:pPr>
        <w:pStyle w:val="BodyText"/>
      </w:pPr>
    </w:p>
    <w:p w14:paraId="21D66DBF" w14:textId="77777777" w:rsidR="00B40C6E" w:rsidRPr="00B40C6E" w:rsidRDefault="00B40C6E" w:rsidP="00B40C6E"/>
    <w:p w14:paraId="506A755A" w14:textId="77777777" w:rsidR="00B40C6E" w:rsidRPr="00B40C6E" w:rsidRDefault="00B40C6E" w:rsidP="00B40C6E"/>
    <w:p w14:paraId="61CF8710" w14:textId="77777777" w:rsidR="00B40C6E" w:rsidRPr="00B40C6E" w:rsidRDefault="00B40C6E" w:rsidP="00B40C6E"/>
    <w:p w14:paraId="71465C13" w14:textId="77777777" w:rsidR="00B40C6E" w:rsidRPr="00B40C6E" w:rsidRDefault="00B40C6E" w:rsidP="00B40C6E">
      <w:pPr>
        <w:ind w:firstLine="720"/>
      </w:pPr>
    </w:p>
    <w:p w14:paraId="76748291" w14:textId="05B61710" w:rsidR="00B40C6E" w:rsidRDefault="00B40C6E" w:rsidP="00B40C6E">
      <w:pPr>
        <w:tabs>
          <w:tab w:val="left" w:pos="851"/>
        </w:tabs>
      </w:pPr>
      <w:r>
        <w:tab/>
      </w:r>
    </w:p>
    <w:p w14:paraId="5DBA25A7" w14:textId="77777777" w:rsidR="00B40C6E" w:rsidRPr="00B40C6E" w:rsidRDefault="00B40C6E" w:rsidP="00B40C6E"/>
    <w:p w14:paraId="3A101211" w14:textId="77777777" w:rsidR="00B40C6E" w:rsidRPr="00B40C6E" w:rsidRDefault="00B40C6E" w:rsidP="00B40C6E"/>
    <w:p w14:paraId="1A21E198" w14:textId="77777777" w:rsidR="00B40C6E" w:rsidRPr="00B40C6E" w:rsidRDefault="00B40C6E" w:rsidP="00B40C6E"/>
    <w:p w14:paraId="359F82E6" w14:textId="20D8457C" w:rsidR="00B40C6E" w:rsidRDefault="00B40C6E" w:rsidP="00B40C6E"/>
    <w:p w14:paraId="04790764" w14:textId="77777777" w:rsidR="00B40C6E" w:rsidRPr="00B40C6E" w:rsidRDefault="00B40C6E" w:rsidP="00B40C6E"/>
    <w:p w14:paraId="23EE618B" w14:textId="321D30EA" w:rsidR="00B40C6E" w:rsidRDefault="00B40C6E" w:rsidP="00B40C6E">
      <w:pPr>
        <w:ind w:firstLine="720"/>
      </w:pPr>
    </w:p>
    <w:p w14:paraId="24EA5395" w14:textId="4C95350C" w:rsidR="00400806" w:rsidRPr="00B40C6E" w:rsidRDefault="00B40C6E" w:rsidP="00B40C6E">
      <w:pPr>
        <w:tabs>
          <w:tab w:val="left" w:pos="714"/>
        </w:tabs>
        <w:sectPr w:rsidR="00400806" w:rsidRPr="00B40C6E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ab/>
      </w:r>
    </w:p>
    <w:p w14:paraId="5C9E1C55" w14:textId="6161AA7B" w:rsidR="00ED126F" w:rsidRDefault="00ED126F" w:rsidP="00CF5CF3">
      <w:pPr>
        <w:pStyle w:val="Stylecutline8pt"/>
      </w:pPr>
      <w:r>
        <w:lastRenderedPageBreak/>
        <w:tab/>
      </w:r>
    </w:p>
    <w:p w14:paraId="5C9E1C56" w14:textId="77777777" w:rsidR="00400806" w:rsidRDefault="00400806" w:rsidP="00400806">
      <w:pPr>
        <w:pStyle w:val="BodyText"/>
      </w:pPr>
    </w:p>
    <w:p w14:paraId="5C9E1C58" w14:textId="77777777" w:rsidR="00C14165" w:rsidRPr="00F923C7" w:rsidRDefault="00B0784A" w:rsidP="00EA2B1F">
      <w:pPr>
        <w:pStyle w:val="StyleTOCHeadAccent1"/>
      </w:pPr>
      <w:bookmarkStart w:id="1" w:name="_Toc85269770"/>
      <w:r w:rsidRPr="00F923C7">
        <w:t>Table of Contents</w:t>
      </w:r>
      <w:bookmarkEnd w:id="1"/>
    </w:p>
    <w:p w14:paraId="73B728A2" w14:textId="77777777" w:rsidR="002C001A" w:rsidRDefault="00AC4F79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642F07">
        <w:rPr>
          <w:rFonts w:cs="Arial"/>
        </w:rPr>
        <w:fldChar w:fldCharType="begin"/>
      </w:r>
      <w:r w:rsidRPr="00642F07">
        <w:rPr>
          <w:rFonts w:cs="Arial"/>
        </w:rPr>
        <w:instrText xml:space="preserve"> TOC \o "1-3" \h \z \u </w:instrText>
      </w:r>
      <w:r w:rsidRPr="00642F07">
        <w:rPr>
          <w:rFonts w:cs="Arial"/>
        </w:rPr>
        <w:fldChar w:fldCharType="separate"/>
      </w:r>
      <w:hyperlink w:anchor="_Toc47974814" w:history="1">
        <w:r w:rsidR="002C001A" w:rsidRPr="00A07B63">
          <w:rPr>
            <w:rStyle w:val="Hyperlink"/>
            <w:noProof/>
          </w:rPr>
          <w:t>1.</w:t>
        </w:r>
        <w:r w:rsidR="002C001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2C001A" w:rsidRPr="00A07B63">
          <w:rPr>
            <w:rStyle w:val="Hyperlink"/>
            <w:noProof/>
          </w:rPr>
          <w:t>Terms of Use</w:t>
        </w:r>
        <w:r w:rsidR="002C001A">
          <w:rPr>
            <w:noProof/>
            <w:webHidden/>
          </w:rPr>
          <w:tab/>
        </w:r>
        <w:r w:rsidR="002C001A">
          <w:rPr>
            <w:noProof/>
            <w:webHidden/>
          </w:rPr>
          <w:fldChar w:fldCharType="begin"/>
        </w:r>
        <w:r w:rsidR="002C001A">
          <w:rPr>
            <w:noProof/>
            <w:webHidden/>
          </w:rPr>
          <w:instrText xml:space="preserve"> PAGEREF _Toc47974814 \h </w:instrText>
        </w:r>
        <w:r w:rsidR="002C001A">
          <w:rPr>
            <w:noProof/>
            <w:webHidden/>
          </w:rPr>
        </w:r>
        <w:r w:rsidR="002C001A">
          <w:rPr>
            <w:noProof/>
            <w:webHidden/>
          </w:rPr>
          <w:fldChar w:fldCharType="separate"/>
        </w:r>
        <w:r w:rsidR="002C001A">
          <w:rPr>
            <w:noProof/>
            <w:webHidden/>
          </w:rPr>
          <w:t>1</w:t>
        </w:r>
        <w:r w:rsidR="002C001A">
          <w:rPr>
            <w:noProof/>
            <w:webHidden/>
          </w:rPr>
          <w:fldChar w:fldCharType="end"/>
        </w:r>
      </w:hyperlink>
    </w:p>
    <w:p w14:paraId="549EBA39" w14:textId="77777777" w:rsidR="002C001A" w:rsidRDefault="00287E46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7974815" w:history="1">
        <w:r w:rsidR="002C001A" w:rsidRPr="00A07B63">
          <w:rPr>
            <w:rStyle w:val="Hyperlink"/>
            <w:noProof/>
          </w:rPr>
          <w:t>2.</w:t>
        </w:r>
        <w:r w:rsidR="002C001A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2C001A" w:rsidRPr="00A07B63">
          <w:rPr>
            <w:rStyle w:val="Hyperlink"/>
            <w:noProof/>
          </w:rPr>
          <w:t>Violations to This Policy</w:t>
        </w:r>
        <w:r w:rsidR="002C001A">
          <w:rPr>
            <w:noProof/>
            <w:webHidden/>
          </w:rPr>
          <w:tab/>
        </w:r>
        <w:r w:rsidR="002C001A">
          <w:rPr>
            <w:noProof/>
            <w:webHidden/>
          </w:rPr>
          <w:fldChar w:fldCharType="begin"/>
        </w:r>
        <w:r w:rsidR="002C001A">
          <w:rPr>
            <w:noProof/>
            <w:webHidden/>
          </w:rPr>
          <w:instrText xml:space="preserve"> PAGEREF _Toc47974815 \h </w:instrText>
        </w:r>
        <w:r w:rsidR="002C001A">
          <w:rPr>
            <w:noProof/>
            <w:webHidden/>
          </w:rPr>
        </w:r>
        <w:r w:rsidR="002C001A">
          <w:rPr>
            <w:noProof/>
            <w:webHidden/>
          </w:rPr>
          <w:fldChar w:fldCharType="separate"/>
        </w:r>
        <w:r w:rsidR="002C001A">
          <w:rPr>
            <w:noProof/>
            <w:webHidden/>
          </w:rPr>
          <w:t>1</w:t>
        </w:r>
        <w:r w:rsidR="002C001A">
          <w:rPr>
            <w:noProof/>
            <w:webHidden/>
          </w:rPr>
          <w:fldChar w:fldCharType="end"/>
        </w:r>
      </w:hyperlink>
    </w:p>
    <w:p w14:paraId="70449011" w14:textId="77777777" w:rsidR="00A7561E" w:rsidRPr="00287E46" w:rsidRDefault="00AC4F79" w:rsidP="00287E46">
      <w:pPr>
        <w:pStyle w:val="Heading1"/>
        <w:numPr>
          <w:ilvl w:val="0"/>
          <w:numId w:val="0"/>
        </w:numPr>
        <w:ind w:left="540"/>
      </w:pPr>
      <w:r w:rsidRPr="00642F07">
        <w:rPr>
          <w:sz w:val="21"/>
        </w:rPr>
        <w:fldChar w:fldCharType="end"/>
      </w:r>
      <w:bookmarkStart w:id="2" w:name="_Toc47974814"/>
    </w:p>
    <w:p w14:paraId="355F5DC0" w14:textId="1157CDC5" w:rsidR="00224941" w:rsidRDefault="00224941" w:rsidP="00224941">
      <w:pPr>
        <w:pStyle w:val="Heading1"/>
      </w:pPr>
      <w:r>
        <w:t>Terms of Use</w:t>
      </w:r>
      <w:bookmarkEnd w:id="2"/>
    </w:p>
    <w:p w14:paraId="269C6B97" w14:textId="341B6F70" w:rsidR="00224941" w:rsidRPr="000568C3" w:rsidRDefault="009540CB" w:rsidP="00224941">
      <w:pPr>
        <w:rPr>
          <w:color w:val="000000"/>
        </w:rPr>
      </w:pPr>
      <w:r>
        <w:rPr>
          <w:color w:val="000000"/>
        </w:rPr>
        <w:t>ERCOT publishes public,</w:t>
      </w:r>
      <w:r w:rsidR="00224941" w:rsidRPr="000568C3">
        <w:rPr>
          <w:color w:val="000000"/>
        </w:rPr>
        <w:t xml:space="preserve"> secure</w:t>
      </w:r>
      <w:r>
        <w:rPr>
          <w:color w:val="000000"/>
        </w:rPr>
        <w:t xml:space="preserve">, and certified </w:t>
      </w:r>
      <w:r w:rsidR="00224941" w:rsidRPr="000568C3">
        <w:rPr>
          <w:color w:val="000000"/>
        </w:rPr>
        <w:t>market information on its website</w:t>
      </w:r>
      <w:r>
        <w:rPr>
          <w:color w:val="000000"/>
        </w:rPr>
        <w:t>s</w:t>
      </w:r>
      <w:r w:rsidR="00224941" w:rsidRPr="000568C3">
        <w:rPr>
          <w:color w:val="000000"/>
        </w:rPr>
        <w:t xml:space="preserve"> at regular intervals. These reports can be accessed by Market Participants using</w:t>
      </w:r>
      <w:r w:rsidR="00EF21B4">
        <w:rPr>
          <w:color w:val="000000"/>
        </w:rPr>
        <w:t xml:space="preserve"> an</w:t>
      </w:r>
      <w:r w:rsidR="00224941" w:rsidRPr="000568C3">
        <w:rPr>
          <w:color w:val="000000"/>
        </w:rPr>
        <w:t xml:space="preserve"> </w:t>
      </w:r>
      <w:r w:rsidR="00224941" w:rsidRPr="005A366C">
        <w:rPr>
          <w:color w:val="000000"/>
        </w:rPr>
        <w:t>Application Programmatic Interface (AP</w:t>
      </w:r>
      <w:r>
        <w:rPr>
          <w:color w:val="000000"/>
        </w:rPr>
        <w:t xml:space="preserve">I), External Web Services (EWS), ERCOT.com and </w:t>
      </w:r>
      <w:r w:rsidR="00224941" w:rsidRPr="005A366C">
        <w:rPr>
          <w:color w:val="000000"/>
        </w:rPr>
        <w:t>the Market Information System (MIS).</w:t>
      </w:r>
      <w:r w:rsidR="00224941" w:rsidRPr="007D3AE8">
        <w:rPr>
          <w:color w:val="000000"/>
        </w:rPr>
        <w:t xml:space="preserve"> </w:t>
      </w:r>
      <w:r w:rsidR="00224941" w:rsidRPr="000568C3">
        <w:rPr>
          <w:color w:val="000000"/>
        </w:rPr>
        <w:t>Protocols require that ERCOT ensure all Market Participants have access to the ERCOT MIS on a nondiscriminatory basis (Section 12).</w:t>
      </w:r>
    </w:p>
    <w:p w14:paraId="59D8355A" w14:textId="77777777" w:rsidR="00224941" w:rsidRPr="000568C3" w:rsidRDefault="00224941" w:rsidP="00224941">
      <w:pPr>
        <w:rPr>
          <w:color w:val="000000"/>
        </w:rPr>
      </w:pPr>
    </w:p>
    <w:p w14:paraId="45B9505C" w14:textId="55BF08CA" w:rsidR="004028EC" w:rsidRDefault="00224941" w:rsidP="00224941">
      <w:pPr>
        <w:rPr>
          <w:color w:val="000000"/>
        </w:rPr>
      </w:pPr>
      <w:r w:rsidRPr="005A366C">
        <w:rPr>
          <w:color w:val="000000"/>
        </w:rPr>
        <w:t>ERCOT policy</w:t>
      </w:r>
      <w:r>
        <w:rPr>
          <w:color w:val="000000"/>
        </w:rPr>
        <w:t xml:space="preserve"> requires that query</w:t>
      </w:r>
      <w:r w:rsidRPr="005A366C">
        <w:rPr>
          <w:color w:val="000000"/>
        </w:rPr>
        <w:t xml:space="preserve"> or scan rates </w:t>
      </w:r>
      <w:r>
        <w:rPr>
          <w:color w:val="000000"/>
        </w:rPr>
        <w:t>not</w:t>
      </w:r>
      <w:r w:rsidRPr="005A366C">
        <w:rPr>
          <w:color w:val="000000"/>
        </w:rPr>
        <w:t xml:space="preserve"> exceed three times the frequency an extract or report is generated. </w:t>
      </w:r>
      <w:r w:rsidR="004028EC">
        <w:rPr>
          <w:color w:val="000000"/>
        </w:rPr>
        <w:t>T</w:t>
      </w:r>
      <w:r w:rsidRPr="005A366C">
        <w:rPr>
          <w:color w:val="000000"/>
        </w:rPr>
        <w:t xml:space="preserve">he </w:t>
      </w:r>
      <w:hyperlink r:id="rId14" w:history="1">
        <w:r w:rsidRPr="004028EC">
          <w:rPr>
            <w:rStyle w:val="Hyperlink"/>
          </w:rPr>
          <w:t>ERCOT</w:t>
        </w:r>
        <w:r w:rsidR="004028EC" w:rsidRPr="004028EC">
          <w:rPr>
            <w:rStyle w:val="Hyperlink"/>
          </w:rPr>
          <w:t xml:space="preserve"> Market Information List (EMIL)</w:t>
        </w:r>
      </w:hyperlink>
      <w:r w:rsidRPr="005A366C">
        <w:rPr>
          <w:color w:val="000000"/>
        </w:rPr>
        <w:t xml:space="preserve"> </w:t>
      </w:r>
      <w:r w:rsidR="004028EC">
        <w:rPr>
          <w:color w:val="000000"/>
        </w:rPr>
        <w:t>shows how often each extract or report is generated and posted by ERCOT. Users can find this information under the “Generation Frequency” area of</w:t>
      </w:r>
      <w:r w:rsidR="00EF21B4">
        <w:rPr>
          <w:color w:val="000000"/>
        </w:rPr>
        <w:t xml:space="preserve"> the</w:t>
      </w:r>
      <w:r w:rsidR="004028EC">
        <w:rPr>
          <w:color w:val="000000"/>
        </w:rPr>
        <w:t xml:space="preserve"> </w:t>
      </w:r>
      <w:hyperlink r:id="rId15" w:history="1">
        <w:r w:rsidR="004028EC" w:rsidRPr="004028EC">
          <w:rPr>
            <w:rStyle w:val="Hyperlink"/>
          </w:rPr>
          <w:t>EMIL</w:t>
        </w:r>
      </w:hyperlink>
      <w:r w:rsidR="004028EC">
        <w:rPr>
          <w:color w:val="000000"/>
        </w:rPr>
        <w:t xml:space="preserve">. </w:t>
      </w:r>
    </w:p>
    <w:p w14:paraId="568D9B94" w14:textId="77777777" w:rsidR="00447F73" w:rsidRDefault="00447F73" w:rsidP="00224941">
      <w:pPr>
        <w:rPr>
          <w:color w:val="000000"/>
        </w:rPr>
      </w:pPr>
    </w:p>
    <w:p w14:paraId="11966598" w14:textId="77777777" w:rsidR="00447F73" w:rsidRDefault="00447F73" w:rsidP="00224941">
      <w:pPr>
        <w:rPr>
          <w:color w:val="000000"/>
        </w:rPr>
      </w:pPr>
    </w:p>
    <w:tbl>
      <w:tblPr>
        <w:tblW w:w="10350" w:type="dxa"/>
        <w:tblInd w:w="-550" w:type="dxa"/>
        <w:tblLook w:val="04A0" w:firstRow="1" w:lastRow="0" w:firstColumn="1" w:lastColumn="0" w:noHBand="0" w:noVBand="1"/>
      </w:tblPr>
      <w:tblGrid>
        <w:gridCol w:w="1350"/>
        <w:gridCol w:w="1170"/>
        <w:gridCol w:w="5310"/>
        <w:gridCol w:w="2520"/>
      </w:tblGrid>
      <w:tr w:rsidR="004028EC" w:rsidRPr="009A798F" w14:paraId="7DFE5FB7" w14:textId="77777777" w:rsidTr="00447F73">
        <w:trPr>
          <w:trHeight w:val="154"/>
        </w:trPr>
        <w:tc>
          <w:tcPr>
            <w:tcW w:w="1350" w:type="dxa"/>
            <w:tcBorders>
              <w:top w:val="single" w:sz="8" w:space="0" w:color="608BB4"/>
              <w:left w:val="single" w:sz="8" w:space="0" w:color="608BB4"/>
              <w:bottom w:val="single" w:sz="8" w:space="0" w:color="608BB4"/>
              <w:right w:val="single" w:sz="8" w:space="0" w:color="608BB4"/>
            </w:tcBorders>
            <w:shd w:val="clear" w:color="000000" w:fill="E6B9B8"/>
            <w:noWrap/>
            <w:hideMark/>
          </w:tcPr>
          <w:p w14:paraId="239C19BD" w14:textId="77777777" w:rsidR="004028EC" w:rsidRPr="009A798F" w:rsidRDefault="004028EC" w:rsidP="00447F73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9A798F">
              <w:rPr>
                <w:rFonts w:cs="Arial"/>
                <w:i/>
                <w:iCs/>
                <w:color w:val="000000"/>
                <w:sz w:val="16"/>
                <w:szCs w:val="16"/>
              </w:rPr>
              <w:t>EMIL ID</w:t>
            </w:r>
          </w:p>
        </w:tc>
        <w:tc>
          <w:tcPr>
            <w:tcW w:w="1170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shd w:val="clear" w:color="000000" w:fill="E6B9B8"/>
          </w:tcPr>
          <w:p w14:paraId="1D57C386" w14:textId="77777777" w:rsidR="004028EC" w:rsidRDefault="00447F73" w:rsidP="00447F73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Report</w:t>
            </w:r>
          </w:p>
          <w:p w14:paraId="3515315D" w14:textId="276A9D9C" w:rsidR="00447F73" w:rsidRPr="009A798F" w:rsidRDefault="00447F73" w:rsidP="00447F73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Type ID</w:t>
            </w:r>
          </w:p>
        </w:tc>
        <w:tc>
          <w:tcPr>
            <w:tcW w:w="5310" w:type="dxa"/>
            <w:tcBorders>
              <w:top w:val="single" w:sz="8" w:space="0" w:color="608BB4"/>
              <w:left w:val="single" w:sz="8" w:space="0" w:color="608BB4"/>
              <w:bottom w:val="single" w:sz="8" w:space="0" w:color="608BB4"/>
              <w:right w:val="single" w:sz="8" w:space="0" w:color="608BB4"/>
            </w:tcBorders>
            <w:shd w:val="clear" w:color="000000" w:fill="E6B9B8"/>
            <w:noWrap/>
            <w:hideMark/>
          </w:tcPr>
          <w:p w14:paraId="3694210E" w14:textId="5515817B" w:rsidR="004028EC" w:rsidRPr="009A798F" w:rsidRDefault="004028EC" w:rsidP="00447F73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9A798F">
              <w:rPr>
                <w:rFonts w:cs="Arial"/>
                <w:i/>
                <w:iCs/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520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shd w:val="clear" w:color="000000" w:fill="E6B9B8"/>
            <w:noWrap/>
            <w:hideMark/>
          </w:tcPr>
          <w:p w14:paraId="6BC4F52B" w14:textId="77777777" w:rsidR="004028EC" w:rsidRPr="009A798F" w:rsidRDefault="004028EC" w:rsidP="00447F73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9A798F">
              <w:rPr>
                <w:rFonts w:cs="Arial"/>
                <w:i/>
                <w:iCs/>
                <w:color w:val="000000"/>
                <w:sz w:val="16"/>
                <w:szCs w:val="16"/>
              </w:rPr>
              <w:t>Generating Frequency</w:t>
            </w:r>
          </w:p>
        </w:tc>
      </w:tr>
      <w:tr w:rsidR="004028EC" w:rsidRPr="009A798F" w14:paraId="3D32D4C2" w14:textId="77777777" w:rsidTr="00447F73">
        <w:trPr>
          <w:trHeight w:val="331"/>
        </w:trPr>
        <w:tc>
          <w:tcPr>
            <w:tcW w:w="1350" w:type="dxa"/>
            <w:tcBorders>
              <w:top w:val="nil"/>
              <w:left w:val="single" w:sz="8" w:space="0" w:color="608BB4"/>
              <w:bottom w:val="single" w:sz="8" w:space="0" w:color="608BB4"/>
              <w:right w:val="single" w:sz="8" w:space="0" w:color="608BB4"/>
            </w:tcBorders>
            <w:shd w:val="clear" w:color="auto" w:fill="auto"/>
            <w:noWrap/>
            <w:vAlign w:val="bottom"/>
            <w:hideMark/>
          </w:tcPr>
          <w:p w14:paraId="22AADB4E" w14:textId="4AF4ABAB" w:rsidR="004028EC" w:rsidRDefault="004028EC" w:rsidP="00447F73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NP6-905-CD</w:t>
            </w:r>
          </w:p>
        </w:tc>
        <w:tc>
          <w:tcPr>
            <w:tcW w:w="1170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vAlign w:val="bottom"/>
          </w:tcPr>
          <w:p w14:paraId="4C924BCF" w14:textId="6122566C" w:rsidR="004028EC" w:rsidRDefault="004028EC" w:rsidP="00447F73">
            <w:pPr>
              <w:rPr>
                <w:rFonts w:cs="Arial"/>
                <w:color w:val="000000"/>
                <w:sz w:val="16"/>
                <w:szCs w:val="16"/>
              </w:rPr>
            </w:pPr>
            <w:r w:rsidRPr="004028EC">
              <w:rPr>
                <w:rFonts w:cs="Arial"/>
                <w:color w:val="000000"/>
                <w:sz w:val="16"/>
                <w:szCs w:val="16"/>
              </w:rPr>
              <w:t>12301</w:t>
            </w:r>
          </w:p>
        </w:tc>
        <w:tc>
          <w:tcPr>
            <w:tcW w:w="5310" w:type="dxa"/>
            <w:tcBorders>
              <w:top w:val="nil"/>
              <w:left w:val="single" w:sz="8" w:space="0" w:color="608BB4"/>
              <w:bottom w:val="single" w:sz="8" w:space="0" w:color="608BB4"/>
              <w:right w:val="single" w:sz="8" w:space="0" w:color="608BB4"/>
            </w:tcBorders>
            <w:shd w:val="clear" w:color="auto" w:fill="auto"/>
            <w:noWrap/>
            <w:vAlign w:val="bottom"/>
            <w:hideMark/>
          </w:tcPr>
          <w:p w14:paraId="0FAC0180" w14:textId="091382EC" w:rsidR="004028EC" w:rsidRDefault="004028EC" w:rsidP="0054294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Settlement Point Prices at Resource Nodes, Hubs and Load Zones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608BB4"/>
              <w:right w:val="single" w:sz="8" w:space="0" w:color="608BB4"/>
            </w:tcBorders>
            <w:shd w:val="clear" w:color="auto" w:fill="auto"/>
            <w:noWrap/>
            <w:vAlign w:val="bottom"/>
            <w:hideMark/>
          </w:tcPr>
          <w:p w14:paraId="54C24DE3" w14:textId="77777777" w:rsidR="004028EC" w:rsidRPr="009A798F" w:rsidRDefault="004028EC" w:rsidP="0054294D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Chron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- 15 Minutes</w:t>
            </w:r>
          </w:p>
        </w:tc>
      </w:tr>
    </w:tbl>
    <w:p w14:paraId="6218E167" w14:textId="3DFA12B8" w:rsidR="00224941" w:rsidRPr="002A0BB7" w:rsidRDefault="00EF21B4" w:rsidP="00224941">
      <w:pPr>
        <w:pStyle w:val="Caption"/>
        <w:keepNext/>
        <w:rPr>
          <w:b/>
          <w:i w:val="0"/>
          <w:color w:val="auto"/>
        </w:rPr>
      </w:pPr>
      <w:r>
        <w:rPr>
          <w:b/>
          <w:i w:val="0"/>
          <w:color w:val="auto"/>
        </w:rPr>
        <w:br/>
      </w:r>
      <w:r w:rsidR="00224941" w:rsidRPr="002A0BB7">
        <w:rPr>
          <w:b/>
          <w:i w:val="0"/>
          <w:color w:val="auto"/>
        </w:rPr>
        <w:t>Example: Query rate for NP6-905-CD should</w:t>
      </w:r>
      <w:r w:rsidR="00447F73">
        <w:rPr>
          <w:b/>
          <w:i w:val="0"/>
          <w:color w:val="auto"/>
        </w:rPr>
        <w:t xml:space="preserve"> not exceed once every 5 minutes or a maximum of 3 times in 15 minutes.</w:t>
      </w:r>
      <w:r w:rsidR="00224941" w:rsidRPr="002A0BB7">
        <w:rPr>
          <w:b/>
          <w:i w:val="0"/>
          <w:color w:val="auto"/>
        </w:rPr>
        <w:t xml:space="preserve"> </w:t>
      </w:r>
    </w:p>
    <w:p w14:paraId="6F8C1ED5" w14:textId="77777777" w:rsidR="00224941" w:rsidRDefault="00224941" w:rsidP="00224941"/>
    <w:p w14:paraId="223117E9" w14:textId="22DEB1CA" w:rsidR="00FE7ED6" w:rsidRDefault="00FE7ED6" w:rsidP="00FE7ED6">
      <w:pPr>
        <w:pStyle w:val="Heading1"/>
      </w:pPr>
      <w:bookmarkStart w:id="3" w:name="_Toc47974815"/>
      <w:r>
        <w:t>Violations to This Policy</w:t>
      </w:r>
      <w:bookmarkEnd w:id="3"/>
    </w:p>
    <w:p w14:paraId="6D87B93A" w14:textId="77777777" w:rsidR="00224941" w:rsidRPr="00447F73" w:rsidRDefault="00224941" w:rsidP="00224941">
      <w:pPr>
        <w:rPr>
          <w:color w:val="000000" w:themeColor="text1"/>
        </w:rPr>
      </w:pPr>
      <w:r w:rsidRPr="00447F73">
        <w:rPr>
          <w:color w:val="000000" w:themeColor="text1"/>
        </w:rPr>
        <w:t>This policy applies to both:</w:t>
      </w:r>
    </w:p>
    <w:p w14:paraId="0AD9DCFC" w14:textId="77777777" w:rsidR="00224941" w:rsidRPr="00447F73" w:rsidRDefault="00224941" w:rsidP="00224941">
      <w:pPr>
        <w:pStyle w:val="ListParagraph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447F73">
        <w:rPr>
          <w:color w:val="000000" w:themeColor="text1"/>
          <w:sz w:val="24"/>
          <w:szCs w:val="24"/>
        </w:rPr>
        <w:t>Automated screen scraping programs that access the ERCOT URL(s) listed in the table</w:t>
      </w:r>
    </w:p>
    <w:p w14:paraId="62FF6D36" w14:textId="1CC10BB8" w:rsidR="00224941" w:rsidRPr="00447F73" w:rsidRDefault="00224941" w:rsidP="00224941">
      <w:pPr>
        <w:pStyle w:val="ListParagraph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447F73">
        <w:rPr>
          <w:color w:val="000000" w:themeColor="text1"/>
          <w:sz w:val="24"/>
          <w:szCs w:val="24"/>
        </w:rPr>
        <w:t xml:space="preserve">Programs that use </w:t>
      </w:r>
      <w:r w:rsidR="00EF21B4">
        <w:rPr>
          <w:color w:val="000000" w:themeColor="text1"/>
          <w:sz w:val="24"/>
          <w:szCs w:val="24"/>
        </w:rPr>
        <w:t xml:space="preserve">an </w:t>
      </w:r>
      <w:r w:rsidRPr="00447F73">
        <w:rPr>
          <w:color w:val="000000" w:themeColor="text1"/>
          <w:sz w:val="24"/>
          <w:szCs w:val="24"/>
        </w:rPr>
        <w:t xml:space="preserve">API to query and download report data </w:t>
      </w:r>
      <w:r w:rsidRPr="00447F73">
        <w:rPr>
          <w:rFonts w:eastAsia="Times New Roman"/>
          <w:color w:val="000000" w:themeColor="text1"/>
          <w:sz w:val="24"/>
          <w:szCs w:val="24"/>
        </w:rPr>
        <w:t>via the API or EWS</w:t>
      </w:r>
    </w:p>
    <w:p w14:paraId="7C0D9D43" w14:textId="77777777" w:rsidR="00224941" w:rsidRPr="00447F73" w:rsidRDefault="00224941" w:rsidP="00224941">
      <w:pPr>
        <w:rPr>
          <w:color w:val="000000" w:themeColor="text1"/>
        </w:rPr>
      </w:pPr>
    </w:p>
    <w:p w14:paraId="3156FBB7" w14:textId="77777777" w:rsidR="00224941" w:rsidRPr="00447F73" w:rsidRDefault="00224941" w:rsidP="00224941">
      <w:pPr>
        <w:rPr>
          <w:rFonts w:cs="Arial"/>
          <w:color w:val="000000" w:themeColor="text1"/>
        </w:rPr>
      </w:pPr>
      <w:r w:rsidRPr="00447F73">
        <w:rPr>
          <w:color w:val="000000" w:themeColor="text1"/>
        </w:rPr>
        <w:t>The objectives of this policy are to:</w:t>
      </w:r>
    </w:p>
    <w:p w14:paraId="7103765E" w14:textId="77777777" w:rsidR="00224941" w:rsidRPr="00447F73" w:rsidRDefault="00224941" w:rsidP="00224941">
      <w:pPr>
        <w:numPr>
          <w:ilvl w:val="0"/>
          <w:numId w:val="23"/>
        </w:numPr>
        <w:rPr>
          <w:rFonts w:ascii="Calibri" w:hAnsi="Calibri"/>
          <w:color w:val="000000" w:themeColor="text1"/>
        </w:rPr>
      </w:pPr>
      <w:r w:rsidRPr="00447F73">
        <w:rPr>
          <w:color w:val="000000" w:themeColor="text1"/>
        </w:rPr>
        <w:lastRenderedPageBreak/>
        <w:t>Prevent overloading of ERCOT computing resources that may occur due to excessive queries</w:t>
      </w:r>
    </w:p>
    <w:p w14:paraId="2CE0DAA7" w14:textId="3074F9D6" w:rsidR="00224941" w:rsidRPr="00447F73" w:rsidRDefault="00224941" w:rsidP="00224941">
      <w:pPr>
        <w:numPr>
          <w:ilvl w:val="0"/>
          <w:numId w:val="23"/>
        </w:numPr>
        <w:rPr>
          <w:color w:val="000000" w:themeColor="text1"/>
        </w:rPr>
      </w:pPr>
      <w:r w:rsidRPr="00447F73">
        <w:rPr>
          <w:color w:val="000000" w:themeColor="text1"/>
        </w:rPr>
        <w:t>Ensure optimal transactional request/response performance to all Market Participants</w:t>
      </w:r>
    </w:p>
    <w:p w14:paraId="4930FEBA" w14:textId="77777777" w:rsidR="00224941" w:rsidRPr="00447F73" w:rsidRDefault="00224941" w:rsidP="00224941">
      <w:pPr>
        <w:rPr>
          <w:rFonts w:eastAsia="Calibri"/>
          <w:color w:val="000000" w:themeColor="text1"/>
        </w:rPr>
      </w:pPr>
    </w:p>
    <w:p w14:paraId="77A8F90A" w14:textId="77777777" w:rsidR="00224941" w:rsidRPr="00447F73" w:rsidRDefault="00224941" w:rsidP="00224941">
      <w:pPr>
        <w:rPr>
          <w:i/>
          <w:iCs/>
          <w:color w:val="000000" w:themeColor="text1"/>
        </w:rPr>
      </w:pPr>
      <w:r w:rsidRPr="00447F73">
        <w:rPr>
          <w:b/>
          <w:bCs/>
          <w:color w:val="000000" w:themeColor="text1"/>
          <w:u w:val="single"/>
        </w:rPr>
        <w:t>Note</w:t>
      </w:r>
      <w:r w:rsidRPr="00447F73">
        <w:rPr>
          <w:b/>
          <w:bCs/>
          <w:color w:val="000000" w:themeColor="text1"/>
        </w:rPr>
        <w:t>:</w:t>
      </w:r>
      <w:r w:rsidRPr="00447F73">
        <w:rPr>
          <w:color w:val="000000" w:themeColor="text1"/>
        </w:rPr>
        <w:t xml:space="preserve"> </w:t>
      </w:r>
      <w:r w:rsidRPr="00447F73">
        <w:rPr>
          <w:i/>
          <w:iCs/>
          <w:color w:val="000000" w:themeColor="text1"/>
        </w:rPr>
        <w:t>Query submission at a faster rate will not provide additional benefits to the Market Participant.</w:t>
      </w:r>
    </w:p>
    <w:p w14:paraId="2866DBD0" w14:textId="77777777" w:rsidR="00224941" w:rsidRPr="00447F73" w:rsidRDefault="00224941" w:rsidP="00224941">
      <w:pPr>
        <w:rPr>
          <w:color w:val="000000" w:themeColor="text1"/>
        </w:rPr>
      </w:pPr>
    </w:p>
    <w:p w14:paraId="0D0B72B0" w14:textId="1974B3E2" w:rsidR="00224941" w:rsidRPr="00447F73" w:rsidRDefault="00224941" w:rsidP="00224941">
      <w:pPr>
        <w:rPr>
          <w:color w:val="000000" w:themeColor="text1"/>
        </w:rPr>
      </w:pPr>
      <w:r w:rsidRPr="00447F73">
        <w:rPr>
          <w:color w:val="000000" w:themeColor="text1"/>
        </w:rPr>
        <w:t xml:space="preserve">In case of violations </w:t>
      </w:r>
      <w:r w:rsidR="00447F73">
        <w:rPr>
          <w:color w:val="000000" w:themeColor="text1"/>
        </w:rPr>
        <w:t>to</w:t>
      </w:r>
      <w:r w:rsidRPr="00447F73">
        <w:rPr>
          <w:color w:val="000000" w:themeColor="text1"/>
        </w:rPr>
        <w:t xml:space="preserve"> this policy, ERCOT reserves the right to block </w:t>
      </w:r>
      <w:r w:rsidR="00A7561E">
        <w:rPr>
          <w:color w:val="000000" w:themeColor="text1"/>
        </w:rPr>
        <w:t>an</w:t>
      </w:r>
      <w:r w:rsidRPr="00447F73">
        <w:rPr>
          <w:color w:val="000000" w:themeColor="text1"/>
        </w:rPr>
        <w:t xml:space="preserve"> offending IP address</w:t>
      </w:r>
      <w:r w:rsidR="00447F73">
        <w:rPr>
          <w:color w:val="000000" w:themeColor="text1"/>
        </w:rPr>
        <w:t>,</w:t>
      </w:r>
      <w:r w:rsidRPr="00447F73">
        <w:rPr>
          <w:color w:val="000000" w:themeColor="text1"/>
        </w:rPr>
        <w:t xml:space="preserve"> or </w:t>
      </w:r>
      <w:r w:rsidR="00A7561E">
        <w:rPr>
          <w:color w:val="000000" w:themeColor="text1"/>
        </w:rPr>
        <w:t>a</w:t>
      </w:r>
      <w:r w:rsidRPr="00447F73">
        <w:rPr>
          <w:color w:val="000000" w:themeColor="text1"/>
        </w:rPr>
        <w:t xml:space="preserve"> group of IP addresses</w:t>
      </w:r>
      <w:r w:rsidR="00447F73">
        <w:rPr>
          <w:color w:val="000000" w:themeColor="text1"/>
        </w:rPr>
        <w:t>,</w:t>
      </w:r>
      <w:r w:rsidRPr="00447F73">
        <w:rPr>
          <w:color w:val="000000" w:themeColor="text1"/>
        </w:rPr>
        <w:t xml:space="preserve"> at the Organizationally Unique Identifier (OUI) level. Further, ERCOT reserves the right to block IP addresses at the domain level, with the </w:t>
      </w:r>
      <w:r w:rsidR="00A7561E">
        <w:rPr>
          <w:color w:val="000000" w:themeColor="text1"/>
        </w:rPr>
        <w:t>e</w:t>
      </w:r>
      <w:r w:rsidRPr="00447F73">
        <w:rPr>
          <w:color w:val="000000" w:themeColor="text1"/>
        </w:rPr>
        <w:t xml:space="preserve">ffect that offending systems will not be able to access any ERCOT web pages or services. The </w:t>
      </w:r>
      <w:r w:rsidR="00447F73">
        <w:rPr>
          <w:color w:val="000000" w:themeColor="text1"/>
        </w:rPr>
        <w:t>entity</w:t>
      </w:r>
      <w:r w:rsidRPr="00447F73">
        <w:rPr>
          <w:color w:val="000000" w:themeColor="text1"/>
        </w:rPr>
        <w:t xml:space="preserve"> will be unblocked once </w:t>
      </w:r>
      <w:r w:rsidR="00447F73">
        <w:rPr>
          <w:color w:val="000000" w:themeColor="text1"/>
        </w:rPr>
        <w:t xml:space="preserve">the </w:t>
      </w:r>
      <w:r w:rsidRPr="00447F73">
        <w:rPr>
          <w:color w:val="000000" w:themeColor="text1"/>
        </w:rPr>
        <w:t xml:space="preserve">adjusted queries </w:t>
      </w:r>
      <w:r w:rsidR="00447F73">
        <w:rPr>
          <w:color w:val="000000" w:themeColor="text1"/>
        </w:rPr>
        <w:t xml:space="preserve">are </w:t>
      </w:r>
      <w:r w:rsidRPr="00447F73">
        <w:rPr>
          <w:color w:val="000000" w:themeColor="text1"/>
        </w:rPr>
        <w:t>in line with this policy.</w:t>
      </w:r>
    </w:p>
    <w:p w14:paraId="0B3B7F4A" w14:textId="77777777" w:rsidR="00224941" w:rsidRPr="00447F73" w:rsidRDefault="00224941" w:rsidP="00224941">
      <w:pPr>
        <w:rPr>
          <w:color w:val="000000" w:themeColor="text1"/>
        </w:rPr>
      </w:pPr>
    </w:p>
    <w:p w14:paraId="048EF9F3" w14:textId="77777777" w:rsidR="00224941" w:rsidRPr="00447F73" w:rsidRDefault="00224941" w:rsidP="00224941">
      <w:pPr>
        <w:rPr>
          <w:color w:val="000000" w:themeColor="text1"/>
        </w:rPr>
      </w:pPr>
      <w:r w:rsidRPr="00447F73">
        <w:rPr>
          <w:color w:val="000000" w:themeColor="text1"/>
        </w:rPr>
        <w:t>For questions or clarifications related to this policy, Market Participants may:</w:t>
      </w:r>
    </w:p>
    <w:p w14:paraId="7C179E5D" w14:textId="2D259D60" w:rsidR="00224941" w:rsidRPr="00447F73" w:rsidRDefault="00447F73" w:rsidP="00224941">
      <w:pPr>
        <w:pStyle w:val="ListParagraph"/>
        <w:numPr>
          <w:ilvl w:val="0"/>
          <w:numId w:val="2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="00224941" w:rsidRPr="00447F73">
        <w:rPr>
          <w:color w:val="000000" w:themeColor="text1"/>
          <w:sz w:val="24"/>
          <w:szCs w:val="24"/>
        </w:rPr>
        <w:t>all their Account Manager</w:t>
      </w:r>
      <w:r>
        <w:rPr>
          <w:color w:val="000000" w:themeColor="text1"/>
          <w:sz w:val="24"/>
          <w:szCs w:val="24"/>
        </w:rPr>
        <w:t xml:space="preserve"> directly</w:t>
      </w:r>
    </w:p>
    <w:p w14:paraId="312353BE" w14:textId="17132F2A" w:rsidR="00224941" w:rsidRPr="00447F73" w:rsidRDefault="00224941" w:rsidP="00224941">
      <w:pPr>
        <w:pStyle w:val="ListParagraph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447F73">
        <w:rPr>
          <w:color w:val="000000" w:themeColor="text1"/>
          <w:sz w:val="24"/>
          <w:szCs w:val="24"/>
        </w:rPr>
        <w:t xml:space="preserve">Call Client Services </w:t>
      </w:r>
      <w:r w:rsidR="00A7561E">
        <w:rPr>
          <w:color w:val="000000" w:themeColor="text1"/>
          <w:sz w:val="24"/>
          <w:szCs w:val="24"/>
        </w:rPr>
        <w:t>at</w:t>
      </w:r>
      <w:r w:rsidRPr="00447F73">
        <w:rPr>
          <w:color w:val="000000" w:themeColor="text1"/>
          <w:sz w:val="24"/>
          <w:szCs w:val="24"/>
        </w:rPr>
        <w:t xml:space="preserve"> (512) 248-3900</w:t>
      </w:r>
    </w:p>
    <w:p w14:paraId="3350608A" w14:textId="1C2CE378" w:rsidR="00224941" w:rsidRPr="00447F73" w:rsidRDefault="00224941" w:rsidP="00224941">
      <w:pPr>
        <w:pStyle w:val="ListParagraph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447F73">
        <w:rPr>
          <w:color w:val="000000" w:themeColor="text1"/>
          <w:sz w:val="24"/>
          <w:szCs w:val="24"/>
        </w:rPr>
        <w:t xml:space="preserve">Send </w:t>
      </w:r>
      <w:r w:rsidR="00A7561E">
        <w:rPr>
          <w:color w:val="000000" w:themeColor="text1"/>
          <w:sz w:val="24"/>
          <w:szCs w:val="24"/>
        </w:rPr>
        <w:t xml:space="preserve">an </w:t>
      </w:r>
      <w:r w:rsidRPr="00447F73">
        <w:rPr>
          <w:color w:val="000000" w:themeColor="text1"/>
          <w:sz w:val="24"/>
          <w:szCs w:val="24"/>
        </w:rPr>
        <w:t xml:space="preserve">email to </w:t>
      </w:r>
      <w:hyperlink r:id="rId16" w:history="1">
        <w:r w:rsidR="00FE7ED6" w:rsidRPr="00B96D1B">
          <w:rPr>
            <w:rStyle w:val="Hyperlink"/>
            <w:sz w:val="24"/>
            <w:szCs w:val="24"/>
          </w:rPr>
          <w:t>ClientServices@ercot.com</w:t>
        </w:r>
      </w:hyperlink>
    </w:p>
    <w:p w14:paraId="2D9450AC" w14:textId="77777777" w:rsidR="00224941" w:rsidRPr="00447F73" w:rsidRDefault="00224941" w:rsidP="00224941">
      <w:pPr>
        <w:rPr>
          <w:color w:val="000000" w:themeColor="text1"/>
        </w:rPr>
      </w:pPr>
    </w:p>
    <w:p w14:paraId="2DE7955A" w14:textId="77777777" w:rsidR="00224941" w:rsidRPr="00447F73" w:rsidRDefault="00224941" w:rsidP="00224941">
      <w:pPr>
        <w:rPr>
          <w:color w:val="000000" w:themeColor="text1"/>
        </w:rPr>
      </w:pPr>
      <w:r w:rsidRPr="00447F73">
        <w:rPr>
          <w:color w:val="000000" w:themeColor="text1"/>
        </w:rPr>
        <w:t>For questions or clarifications related to technical issues, Market Participants may:</w:t>
      </w:r>
    </w:p>
    <w:p w14:paraId="28596062" w14:textId="6A06A420" w:rsidR="00224941" w:rsidRPr="00447F73" w:rsidRDefault="00224941" w:rsidP="00224941">
      <w:pPr>
        <w:pStyle w:val="ListParagraph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447F73">
        <w:rPr>
          <w:color w:val="000000" w:themeColor="text1"/>
          <w:sz w:val="24"/>
          <w:szCs w:val="24"/>
        </w:rPr>
        <w:t xml:space="preserve">Call </w:t>
      </w:r>
      <w:r w:rsidR="00A7561E">
        <w:rPr>
          <w:color w:val="000000" w:themeColor="text1"/>
          <w:sz w:val="24"/>
          <w:szCs w:val="24"/>
        </w:rPr>
        <w:t>the ERCOT</w:t>
      </w:r>
      <w:r w:rsidRPr="00447F73">
        <w:rPr>
          <w:color w:val="000000" w:themeColor="text1"/>
          <w:sz w:val="24"/>
          <w:szCs w:val="24"/>
        </w:rPr>
        <w:t xml:space="preserve"> HelpDesk</w:t>
      </w:r>
      <w:r w:rsidR="00A7561E">
        <w:rPr>
          <w:color w:val="000000" w:themeColor="text1"/>
          <w:sz w:val="24"/>
          <w:szCs w:val="24"/>
        </w:rPr>
        <w:t xml:space="preserve"> at</w:t>
      </w:r>
      <w:r w:rsidRPr="00447F73">
        <w:rPr>
          <w:color w:val="000000" w:themeColor="text1"/>
          <w:sz w:val="24"/>
          <w:szCs w:val="24"/>
        </w:rPr>
        <w:t xml:space="preserve"> (512) 248-6800</w:t>
      </w:r>
      <w:r w:rsidR="00A7561E">
        <w:rPr>
          <w:color w:val="000000" w:themeColor="text1"/>
          <w:sz w:val="24"/>
          <w:szCs w:val="24"/>
        </w:rPr>
        <w:t xml:space="preserve"> or </w:t>
      </w:r>
      <w:r w:rsidR="00A7561E" w:rsidRPr="00A7561E">
        <w:rPr>
          <w:color w:val="000000" w:themeColor="text1"/>
          <w:sz w:val="24"/>
          <w:szCs w:val="24"/>
        </w:rPr>
        <w:t>1-866-870-8124</w:t>
      </w:r>
    </w:p>
    <w:p w14:paraId="5C9E1C5C" w14:textId="1BD348B7" w:rsidR="001F7C8D" w:rsidRDefault="00224941" w:rsidP="00FE7ED6">
      <w:pPr>
        <w:pStyle w:val="ListParagraph"/>
        <w:numPr>
          <w:ilvl w:val="0"/>
          <w:numId w:val="25"/>
        </w:numPr>
        <w:rPr>
          <w:rStyle w:val="Style105pt"/>
          <w:color w:val="000000" w:themeColor="text1"/>
          <w:sz w:val="24"/>
          <w:szCs w:val="24"/>
        </w:rPr>
      </w:pPr>
      <w:r w:rsidRPr="00447F73">
        <w:rPr>
          <w:color w:val="000000" w:themeColor="text1"/>
          <w:sz w:val="24"/>
          <w:szCs w:val="24"/>
        </w:rPr>
        <w:t xml:space="preserve">Send </w:t>
      </w:r>
      <w:r w:rsidR="00A7561E">
        <w:rPr>
          <w:color w:val="000000" w:themeColor="text1"/>
          <w:sz w:val="24"/>
          <w:szCs w:val="24"/>
        </w:rPr>
        <w:t xml:space="preserve">an </w:t>
      </w:r>
      <w:r w:rsidRPr="00447F73">
        <w:rPr>
          <w:color w:val="000000" w:themeColor="text1"/>
          <w:sz w:val="24"/>
          <w:szCs w:val="24"/>
        </w:rPr>
        <w:t xml:space="preserve">email to </w:t>
      </w:r>
      <w:hyperlink r:id="rId17" w:history="1">
        <w:r w:rsidR="00FE7ED6" w:rsidRPr="00B96D1B">
          <w:rPr>
            <w:rStyle w:val="Hyperlink"/>
            <w:sz w:val="24"/>
            <w:szCs w:val="24"/>
          </w:rPr>
          <w:t>HelpDesk@ercot.com</w:t>
        </w:r>
      </w:hyperlink>
      <w:r w:rsidR="00FE7ED6">
        <w:rPr>
          <w:rStyle w:val="Style105pt"/>
          <w:color w:val="000000" w:themeColor="text1"/>
          <w:sz w:val="24"/>
          <w:szCs w:val="24"/>
        </w:rPr>
        <w:t xml:space="preserve"> </w:t>
      </w:r>
    </w:p>
    <w:sectPr w:rsidR="001F7C8D" w:rsidSect="003C5767">
      <w:headerReference w:type="even" r:id="rId18"/>
      <w:footerReference w:type="default" r:id="rId19"/>
      <w:headerReference w:type="first" r:id="rId2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8AE51" w14:textId="77777777" w:rsidR="001F50AA" w:rsidRDefault="001F50AA">
      <w:r>
        <w:separator/>
      </w:r>
    </w:p>
  </w:endnote>
  <w:endnote w:type="continuationSeparator" w:id="0">
    <w:p w14:paraId="5C7AF40D" w14:textId="77777777" w:rsidR="001F50AA" w:rsidRDefault="001F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E1C80" w14:textId="50BD9268" w:rsidR="001E376F" w:rsidRPr="00F923C7" w:rsidRDefault="001E376F" w:rsidP="00302001">
    <w:pPr>
      <w:pStyle w:val="table"/>
      <w:tabs>
        <w:tab w:val="right" w:pos="8460"/>
      </w:tabs>
      <w:rPr>
        <w:color w:val="00AEC7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E1C8D" w14:textId="026ABC6C" w:rsidR="001E376F" w:rsidRPr="00B40C6E" w:rsidRDefault="001E376F" w:rsidP="00B40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7DABF" w14:textId="77777777" w:rsidR="001F50AA" w:rsidRDefault="001F50AA">
      <w:r>
        <w:separator/>
      </w:r>
    </w:p>
  </w:footnote>
  <w:footnote w:type="continuationSeparator" w:id="0">
    <w:p w14:paraId="61144695" w14:textId="77777777" w:rsidR="001F50AA" w:rsidRDefault="001F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E1C7F" w14:textId="1BF1473E" w:rsidR="001E376F" w:rsidRPr="00F923C7" w:rsidRDefault="001E376F" w:rsidP="00302001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E1C8C" w14:textId="77777777" w:rsidR="001E376F" w:rsidRDefault="001E37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E1C8E" w14:textId="77777777" w:rsidR="001E376F" w:rsidRDefault="001E37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A203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D645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8A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8462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EA25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A2A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E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2C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FE6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22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A6CA0"/>
    <w:multiLevelType w:val="hybridMultilevel"/>
    <w:tmpl w:val="2B52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A462F9"/>
    <w:multiLevelType w:val="hybridMultilevel"/>
    <w:tmpl w:val="27E49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F3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pStyle w:val="number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5" w15:restartNumberingAfterBreak="0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6" w15:restartNumberingAfterBreak="0">
    <w:nsid w:val="2B3B3B7D"/>
    <w:multiLevelType w:val="hybridMultilevel"/>
    <w:tmpl w:val="ECBC9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B5422A7"/>
    <w:multiLevelType w:val="hybridMultilevel"/>
    <w:tmpl w:val="8340A3C8"/>
    <w:lvl w:ilvl="0" w:tplc="CDFAAF0A">
      <w:start w:val="1"/>
      <w:numFmt w:val="bullet"/>
      <w:pStyle w:val="bullet4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21BA9"/>
    <w:multiLevelType w:val="hybridMultilevel"/>
    <w:tmpl w:val="A3D49C48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BE763C7A">
      <w:start w:val="1"/>
      <w:numFmt w:val="bullet"/>
      <w:lvlText w:val="̵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9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47C5137"/>
    <w:multiLevelType w:val="hybridMultilevel"/>
    <w:tmpl w:val="E7FC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pStyle w:val="bulletlevel3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672099B"/>
    <w:multiLevelType w:val="hybridMultilevel"/>
    <w:tmpl w:val="2C38D83C"/>
    <w:lvl w:ilvl="0" w:tplc="1EB2060C">
      <w:start w:val="1"/>
      <w:numFmt w:val="bullet"/>
      <w:pStyle w:val="bulletlevel2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35A10EE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6500C66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AAA7528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DF2671B2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342A805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C5D2BB68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CC08D48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95C42F1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786A452E"/>
    <w:multiLevelType w:val="hybridMultilevel"/>
    <w:tmpl w:val="8CC4C50E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21841D28">
      <w:start w:val="1"/>
      <w:numFmt w:val="bullet"/>
      <w:lvlText w:val="̶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4" w15:restartNumberingAfterBreak="0">
    <w:nsid w:val="7FF370B3"/>
    <w:multiLevelType w:val="hybridMultilevel"/>
    <w:tmpl w:val="B3D2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1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2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8"/>
  </w:num>
  <w:num w:numId="21">
    <w:abstractNumId w:val="11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200C"/>
    <w:rsid w:val="00002163"/>
    <w:rsid w:val="00002ABE"/>
    <w:rsid w:val="00003986"/>
    <w:rsid w:val="00005FE3"/>
    <w:rsid w:val="00016333"/>
    <w:rsid w:val="00020834"/>
    <w:rsid w:val="00021320"/>
    <w:rsid w:val="00021C9A"/>
    <w:rsid w:val="00023149"/>
    <w:rsid w:val="00023BF3"/>
    <w:rsid w:val="00026313"/>
    <w:rsid w:val="00026479"/>
    <w:rsid w:val="00031636"/>
    <w:rsid w:val="00033E63"/>
    <w:rsid w:val="000346A3"/>
    <w:rsid w:val="00036F6E"/>
    <w:rsid w:val="00037C30"/>
    <w:rsid w:val="0004057A"/>
    <w:rsid w:val="0004665D"/>
    <w:rsid w:val="00046794"/>
    <w:rsid w:val="00050021"/>
    <w:rsid w:val="00051980"/>
    <w:rsid w:val="00051C80"/>
    <w:rsid w:val="000532C9"/>
    <w:rsid w:val="000568C3"/>
    <w:rsid w:val="00061DAF"/>
    <w:rsid w:val="00062311"/>
    <w:rsid w:val="00063F24"/>
    <w:rsid w:val="000660FD"/>
    <w:rsid w:val="0007013F"/>
    <w:rsid w:val="0007030C"/>
    <w:rsid w:val="0007384F"/>
    <w:rsid w:val="00074EC8"/>
    <w:rsid w:val="00082816"/>
    <w:rsid w:val="0008593E"/>
    <w:rsid w:val="00086FAF"/>
    <w:rsid w:val="000971C8"/>
    <w:rsid w:val="00097ACC"/>
    <w:rsid w:val="000A6C95"/>
    <w:rsid w:val="000A724A"/>
    <w:rsid w:val="000B0A53"/>
    <w:rsid w:val="000B15BD"/>
    <w:rsid w:val="000C0410"/>
    <w:rsid w:val="000C1A27"/>
    <w:rsid w:val="000C6FDE"/>
    <w:rsid w:val="000C6FF3"/>
    <w:rsid w:val="000D16B3"/>
    <w:rsid w:val="000D63C1"/>
    <w:rsid w:val="000D73B4"/>
    <w:rsid w:val="000D7806"/>
    <w:rsid w:val="000E1882"/>
    <w:rsid w:val="000E3A97"/>
    <w:rsid w:val="000E3E8A"/>
    <w:rsid w:val="000F3618"/>
    <w:rsid w:val="000F5056"/>
    <w:rsid w:val="000F5FB3"/>
    <w:rsid w:val="000F7238"/>
    <w:rsid w:val="001004EA"/>
    <w:rsid w:val="001004F7"/>
    <w:rsid w:val="00100C1A"/>
    <w:rsid w:val="001022AF"/>
    <w:rsid w:val="001022DB"/>
    <w:rsid w:val="00105C48"/>
    <w:rsid w:val="00107330"/>
    <w:rsid w:val="0011023C"/>
    <w:rsid w:val="001115E2"/>
    <w:rsid w:val="00113DDA"/>
    <w:rsid w:val="00114A14"/>
    <w:rsid w:val="001172B2"/>
    <w:rsid w:val="0011740E"/>
    <w:rsid w:val="00123A43"/>
    <w:rsid w:val="001244B1"/>
    <w:rsid w:val="001349CB"/>
    <w:rsid w:val="0013523E"/>
    <w:rsid w:val="00136EB5"/>
    <w:rsid w:val="00140646"/>
    <w:rsid w:val="00141157"/>
    <w:rsid w:val="001420B4"/>
    <w:rsid w:val="00144561"/>
    <w:rsid w:val="00145827"/>
    <w:rsid w:val="0015049D"/>
    <w:rsid w:val="00150940"/>
    <w:rsid w:val="00151B27"/>
    <w:rsid w:val="001547F4"/>
    <w:rsid w:val="00155E89"/>
    <w:rsid w:val="00165001"/>
    <w:rsid w:val="0017100B"/>
    <w:rsid w:val="00172D20"/>
    <w:rsid w:val="00177778"/>
    <w:rsid w:val="00183540"/>
    <w:rsid w:val="00183D28"/>
    <w:rsid w:val="00185C59"/>
    <w:rsid w:val="00191A0B"/>
    <w:rsid w:val="001A131B"/>
    <w:rsid w:val="001A1B56"/>
    <w:rsid w:val="001A3AC3"/>
    <w:rsid w:val="001A49F4"/>
    <w:rsid w:val="001B3654"/>
    <w:rsid w:val="001B6121"/>
    <w:rsid w:val="001C1B66"/>
    <w:rsid w:val="001C25FF"/>
    <w:rsid w:val="001C53C6"/>
    <w:rsid w:val="001C6428"/>
    <w:rsid w:val="001D3CD4"/>
    <w:rsid w:val="001D4A2D"/>
    <w:rsid w:val="001D6AFE"/>
    <w:rsid w:val="001E376F"/>
    <w:rsid w:val="001E75E6"/>
    <w:rsid w:val="001F02CD"/>
    <w:rsid w:val="001F1640"/>
    <w:rsid w:val="001F362E"/>
    <w:rsid w:val="001F36CA"/>
    <w:rsid w:val="001F3F1B"/>
    <w:rsid w:val="001F4237"/>
    <w:rsid w:val="001F50AA"/>
    <w:rsid w:val="001F7C8D"/>
    <w:rsid w:val="00200290"/>
    <w:rsid w:val="00202D4D"/>
    <w:rsid w:val="00203190"/>
    <w:rsid w:val="00204369"/>
    <w:rsid w:val="002060D7"/>
    <w:rsid w:val="002118C9"/>
    <w:rsid w:val="002129A3"/>
    <w:rsid w:val="0021708C"/>
    <w:rsid w:val="002227A5"/>
    <w:rsid w:val="00223F83"/>
    <w:rsid w:val="00224872"/>
    <w:rsid w:val="00224941"/>
    <w:rsid w:val="00230AD9"/>
    <w:rsid w:val="00230C1B"/>
    <w:rsid w:val="002326F0"/>
    <w:rsid w:val="00234B7B"/>
    <w:rsid w:val="00237F2B"/>
    <w:rsid w:val="0024094C"/>
    <w:rsid w:val="00243795"/>
    <w:rsid w:val="0025322A"/>
    <w:rsid w:val="002535DA"/>
    <w:rsid w:val="00254584"/>
    <w:rsid w:val="0025762A"/>
    <w:rsid w:val="002622DC"/>
    <w:rsid w:val="00263E95"/>
    <w:rsid w:val="002666FC"/>
    <w:rsid w:val="00272F5D"/>
    <w:rsid w:val="002740EA"/>
    <w:rsid w:val="00276D89"/>
    <w:rsid w:val="00276F60"/>
    <w:rsid w:val="002801D8"/>
    <w:rsid w:val="00281B16"/>
    <w:rsid w:val="0028233A"/>
    <w:rsid w:val="002825A6"/>
    <w:rsid w:val="00287E46"/>
    <w:rsid w:val="002928E2"/>
    <w:rsid w:val="002929E6"/>
    <w:rsid w:val="002931CE"/>
    <w:rsid w:val="002939B3"/>
    <w:rsid w:val="002972D1"/>
    <w:rsid w:val="00297D8C"/>
    <w:rsid w:val="002A1200"/>
    <w:rsid w:val="002A2B82"/>
    <w:rsid w:val="002A758D"/>
    <w:rsid w:val="002B12C8"/>
    <w:rsid w:val="002B2E41"/>
    <w:rsid w:val="002B2FE4"/>
    <w:rsid w:val="002B5182"/>
    <w:rsid w:val="002B58A6"/>
    <w:rsid w:val="002C001A"/>
    <w:rsid w:val="002C0C38"/>
    <w:rsid w:val="002C156B"/>
    <w:rsid w:val="002C5793"/>
    <w:rsid w:val="002D10AF"/>
    <w:rsid w:val="002D498C"/>
    <w:rsid w:val="002D4D91"/>
    <w:rsid w:val="002E21FD"/>
    <w:rsid w:val="002E2AA1"/>
    <w:rsid w:val="002E55A1"/>
    <w:rsid w:val="002E605E"/>
    <w:rsid w:val="002F1CCD"/>
    <w:rsid w:val="002F268D"/>
    <w:rsid w:val="002F3EC7"/>
    <w:rsid w:val="002F56C2"/>
    <w:rsid w:val="002F58B7"/>
    <w:rsid w:val="002F68F1"/>
    <w:rsid w:val="002F6EC2"/>
    <w:rsid w:val="00300E27"/>
    <w:rsid w:val="00302001"/>
    <w:rsid w:val="0030207C"/>
    <w:rsid w:val="00305AC8"/>
    <w:rsid w:val="003108E0"/>
    <w:rsid w:val="003119F7"/>
    <w:rsid w:val="0031213C"/>
    <w:rsid w:val="003143FB"/>
    <w:rsid w:val="003145E5"/>
    <w:rsid w:val="003160CA"/>
    <w:rsid w:val="00316161"/>
    <w:rsid w:val="00322717"/>
    <w:rsid w:val="0032342A"/>
    <w:rsid w:val="00323F72"/>
    <w:rsid w:val="00324B55"/>
    <w:rsid w:val="00332C24"/>
    <w:rsid w:val="00334865"/>
    <w:rsid w:val="003348A5"/>
    <w:rsid w:val="00335F35"/>
    <w:rsid w:val="00337B14"/>
    <w:rsid w:val="003434F9"/>
    <w:rsid w:val="00355C0B"/>
    <w:rsid w:val="00357BD3"/>
    <w:rsid w:val="00362FC8"/>
    <w:rsid w:val="0036371D"/>
    <w:rsid w:val="00363D03"/>
    <w:rsid w:val="00364865"/>
    <w:rsid w:val="00364CEE"/>
    <w:rsid w:val="00367F33"/>
    <w:rsid w:val="00371AA5"/>
    <w:rsid w:val="00372A69"/>
    <w:rsid w:val="00372F2A"/>
    <w:rsid w:val="00375CCE"/>
    <w:rsid w:val="0037733A"/>
    <w:rsid w:val="00383EEE"/>
    <w:rsid w:val="00385204"/>
    <w:rsid w:val="00386149"/>
    <w:rsid w:val="0038636F"/>
    <w:rsid w:val="00387971"/>
    <w:rsid w:val="00390091"/>
    <w:rsid w:val="00390A89"/>
    <w:rsid w:val="00397FD4"/>
    <w:rsid w:val="003A13BB"/>
    <w:rsid w:val="003B23AC"/>
    <w:rsid w:val="003B3438"/>
    <w:rsid w:val="003B3CD5"/>
    <w:rsid w:val="003B4577"/>
    <w:rsid w:val="003B59E6"/>
    <w:rsid w:val="003C0537"/>
    <w:rsid w:val="003C0B0E"/>
    <w:rsid w:val="003C221E"/>
    <w:rsid w:val="003C4E29"/>
    <w:rsid w:val="003C5767"/>
    <w:rsid w:val="003D4462"/>
    <w:rsid w:val="003E67BA"/>
    <w:rsid w:val="003F2E87"/>
    <w:rsid w:val="003F2FE1"/>
    <w:rsid w:val="003F3D05"/>
    <w:rsid w:val="003F6439"/>
    <w:rsid w:val="003F6BE0"/>
    <w:rsid w:val="003F7B1C"/>
    <w:rsid w:val="00400806"/>
    <w:rsid w:val="004021F0"/>
    <w:rsid w:val="0040249F"/>
    <w:rsid w:val="004027BB"/>
    <w:rsid w:val="004028EC"/>
    <w:rsid w:val="004073DE"/>
    <w:rsid w:val="00411B1B"/>
    <w:rsid w:val="00412CFB"/>
    <w:rsid w:val="0041518E"/>
    <w:rsid w:val="004170E9"/>
    <w:rsid w:val="0042112D"/>
    <w:rsid w:val="0042378B"/>
    <w:rsid w:val="00423C7A"/>
    <w:rsid w:val="0042473F"/>
    <w:rsid w:val="004247A7"/>
    <w:rsid w:val="00426CE8"/>
    <w:rsid w:val="0043025C"/>
    <w:rsid w:val="00431327"/>
    <w:rsid w:val="00431329"/>
    <w:rsid w:val="00431912"/>
    <w:rsid w:val="00432FE8"/>
    <w:rsid w:val="004330A5"/>
    <w:rsid w:val="00434E97"/>
    <w:rsid w:val="0044031F"/>
    <w:rsid w:val="004406A8"/>
    <w:rsid w:val="00441AFB"/>
    <w:rsid w:val="00441D3A"/>
    <w:rsid w:val="0044594C"/>
    <w:rsid w:val="004472D5"/>
    <w:rsid w:val="00447F73"/>
    <w:rsid w:val="004510CB"/>
    <w:rsid w:val="00454083"/>
    <w:rsid w:val="00455A55"/>
    <w:rsid w:val="004573DE"/>
    <w:rsid w:val="00457BDE"/>
    <w:rsid w:val="00457E70"/>
    <w:rsid w:val="00460F6D"/>
    <w:rsid w:val="00461674"/>
    <w:rsid w:val="00462073"/>
    <w:rsid w:val="00462B08"/>
    <w:rsid w:val="00462B49"/>
    <w:rsid w:val="004630C0"/>
    <w:rsid w:val="004676AC"/>
    <w:rsid w:val="00467AD6"/>
    <w:rsid w:val="00471667"/>
    <w:rsid w:val="004734CD"/>
    <w:rsid w:val="00481830"/>
    <w:rsid w:val="004822CF"/>
    <w:rsid w:val="004860E1"/>
    <w:rsid w:val="00493EB8"/>
    <w:rsid w:val="00493F86"/>
    <w:rsid w:val="0049468C"/>
    <w:rsid w:val="0049510B"/>
    <w:rsid w:val="00496D90"/>
    <w:rsid w:val="00496F7B"/>
    <w:rsid w:val="00496FF6"/>
    <w:rsid w:val="00497932"/>
    <w:rsid w:val="00497D58"/>
    <w:rsid w:val="004A161D"/>
    <w:rsid w:val="004A2903"/>
    <w:rsid w:val="004A3138"/>
    <w:rsid w:val="004A5365"/>
    <w:rsid w:val="004B0F46"/>
    <w:rsid w:val="004B114F"/>
    <w:rsid w:val="004B2B76"/>
    <w:rsid w:val="004B3F56"/>
    <w:rsid w:val="004B5B63"/>
    <w:rsid w:val="004B5C9A"/>
    <w:rsid w:val="004B7256"/>
    <w:rsid w:val="004B7B20"/>
    <w:rsid w:val="004C31F6"/>
    <w:rsid w:val="004C3A40"/>
    <w:rsid w:val="004C474C"/>
    <w:rsid w:val="004C77D1"/>
    <w:rsid w:val="004D32FD"/>
    <w:rsid w:val="004D4AD8"/>
    <w:rsid w:val="004E09FB"/>
    <w:rsid w:val="004E3C47"/>
    <w:rsid w:val="004E5B88"/>
    <w:rsid w:val="004E5C91"/>
    <w:rsid w:val="004E64CA"/>
    <w:rsid w:val="004E6C56"/>
    <w:rsid w:val="004E6DF5"/>
    <w:rsid w:val="004F607E"/>
    <w:rsid w:val="004F6F3C"/>
    <w:rsid w:val="00500B39"/>
    <w:rsid w:val="00502A7D"/>
    <w:rsid w:val="00505374"/>
    <w:rsid w:val="005073B3"/>
    <w:rsid w:val="00517A0D"/>
    <w:rsid w:val="0052177F"/>
    <w:rsid w:val="00522097"/>
    <w:rsid w:val="0052225C"/>
    <w:rsid w:val="00522381"/>
    <w:rsid w:val="00525CF3"/>
    <w:rsid w:val="00527443"/>
    <w:rsid w:val="00533425"/>
    <w:rsid w:val="00534899"/>
    <w:rsid w:val="00536CB6"/>
    <w:rsid w:val="005418C2"/>
    <w:rsid w:val="00542C38"/>
    <w:rsid w:val="005453D8"/>
    <w:rsid w:val="00551688"/>
    <w:rsid w:val="005640DC"/>
    <w:rsid w:val="005649AD"/>
    <w:rsid w:val="0056504D"/>
    <w:rsid w:val="00565282"/>
    <w:rsid w:val="00566A4D"/>
    <w:rsid w:val="00575B31"/>
    <w:rsid w:val="00575D08"/>
    <w:rsid w:val="0058171C"/>
    <w:rsid w:val="00582334"/>
    <w:rsid w:val="0058275C"/>
    <w:rsid w:val="005832F0"/>
    <w:rsid w:val="005839FE"/>
    <w:rsid w:val="0058411B"/>
    <w:rsid w:val="005859CE"/>
    <w:rsid w:val="00594D46"/>
    <w:rsid w:val="005973B4"/>
    <w:rsid w:val="005A0CC6"/>
    <w:rsid w:val="005A0DC3"/>
    <w:rsid w:val="005A2A6D"/>
    <w:rsid w:val="005A49BC"/>
    <w:rsid w:val="005A67C6"/>
    <w:rsid w:val="005B1727"/>
    <w:rsid w:val="005B2D9C"/>
    <w:rsid w:val="005C0BD0"/>
    <w:rsid w:val="005D1800"/>
    <w:rsid w:val="005D3DAE"/>
    <w:rsid w:val="005D7B84"/>
    <w:rsid w:val="005E0CB0"/>
    <w:rsid w:val="005E14F7"/>
    <w:rsid w:val="005E24E8"/>
    <w:rsid w:val="005E27BE"/>
    <w:rsid w:val="005E3513"/>
    <w:rsid w:val="005E444F"/>
    <w:rsid w:val="005F1F38"/>
    <w:rsid w:val="005F33EB"/>
    <w:rsid w:val="005F35F0"/>
    <w:rsid w:val="005F3BD3"/>
    <w:rsid w:val="005F574D"/>
    <w:rsid w:val="005F65F3"/>
    <w:rsid w:val="00601503"/>
    <w:rsid w:val="00604D00"/>
    <w:rsid w:val="00605D4E"/>
    <w:rsid w:val="00607543"/>
    <w:rsid w:val="00610954"/>
    <w:rsid w:val="00612D8C"/>
    <w:rsid w:val="00612DC1"/>
    <w:rsid w:val="00614670"/>
    <w:rsid w:val="00614765"/>
    <w:rsid w:val="0061526B"/>
    <w:rsid w:val="006158FA"/>
    <w:rsid w:val="00616E68"/>
    <w:rsid w:val="006202D6"/>
    <w:rsid w:val="0062587D"/>
    <w:rsid w:val="006324C1"/>
    <w:rsid w:val="00633A9B"/>
    <w:rsid w:val="0063524F"/>
    <w:rsid w:val="00636763"/>
    <w:rsid w:val="00636B30"/>
    <w:rsid w:val="00642F07"/>
    <w:rsid w:val="00645D58"/>
    <w:rsid w:val="00646598"/>
    <w:rsid w:val="006472E5"/>
    <w:rsid w:val="0064774B"/>
    <w:rsid w:val="00647896"/>
    <w:rsid w:val="006479C4"/>
    <w:rsid w:val="006571ED"/>
    <w:rsid w:val="00660E1B"/>
    <w:rsid w:val="0066193C"/>
    <w:rsid w:val="0066232F"/>
    <w:rsid w:val="00663B3C"/>
    <w:rsid w:val="006668D3"/>
    <w:rsid w:val="00666BE1"/>
    <w:rsid w:val="006700C7"/>
    <w:rsid w:val="0067545B"/>
    <w:rsid w:val="0067568B"/>
    <w:rsid w:val="00675F88"/>
    <w:rsid w:val="00675FD0"/>
    <w:rsid w:val="00682108"/>
    <w:rsid w:val="006828CB"/>
    <w:rsid w:val="00683E0B"/>
    <w:rsid w:val="00684848"/>
    <w:rsid w:val="00685E4A"/>
    <w:rsid w:val="00693C3F"/>
    <w:rsid w:val="00695628"/>
    <w:rsid w:val="006968BF"/>
    <w:rsid w:val="006972F6"/>
    <w:rsid w:val="006A0759"/>
    <w:rsid w:val="006A6C5A"/>
    <w:rsid w:val="006B015C"/>
    <w:rsid w:val="006B4C4E"/>
    <w:rsid w:val="006C3CF5"/>
    <w:rsid w:val="006C45D2"/>
    <w:rsid w:val="006C48F4"/>
    <w:rsid w:val="006C4D7A"/>
    <w:rsid w:val="006C5D3C"/>
    <w:rsid w:val="006D0DCF"/>
    <w:rsid w:val="006D2CC0"/>
    <w:rsid w:val="006E35D0"/>
    <w:rsid w:val="006E489C"/>
    <w:rsid w:val="006E7031"/>
    <w:rsid w:val="006F0A00"/>
    <w:rsid w:val="006F260D"/>
    <w:rsid w:val="006F2D25"/>
    <w:rsid w:val="006F35FA"/>
    <w:rsid w:val="006F53BD"/>
    <w:rsid w:val="0070321D"/>
    <w:rsid w:val="007071CC"/>
    <w:rsid w:val="007108B0"/>
    <w:rsid w:val="00717235"/>
    <w:rsid w:val="00721F4E"/>
    <w:rsid w:val="00722090"/>
    <w:rsid w:val="00723AE4"/>
    <w:rsid w:val="007243DE"/>
    <w:rsid w:val="0072587A"/>
    <w:rsid w:val="007262C3"/>
    <w:rsid w:val="00727D39"/>
    <w:rsid w:val="0073049C"/>
    <w:rsid w:val="00732B7B"/>
    <w:rsid w:val="00733149"/>
    <w:rsid w:val="00734A0C"/>
    <w:rsid w:val="00735F97"/>
    <w:rsid w:val="00742F01"/>
    <w:rsid w:val="00744DF8"/>
    <w:rsid w:val="00752138"/>
    <w:rsid w:val="00753771"/>
    <w:rsid w:val="00754912"/>
    <w:rsid w:val="00755B1F"/>
    <w:rsid w:val="00755C31"/>
    <w:rsid w:val="00761E21"/>
    <w:rsid w:val="00766869"/>
    <w:rsid w:val="00766D2F"/>
    <w:rsid w:val="007701EB"/>
    <w:rsid w:val="007731ED"/>
    <w:rsid w:val="00774CD0"/>
    <w:rsid w:val="00775E85"/>
    <w:rsid w:val="00780BFB"/>
    <w:rsid w:val="007810FD"/>
    <w:rsid w:val="007829CC"/>
    <w:rsid w:val="0078329E"/>
    <w:rsid w:val="007854A0"/>
    <w:rsid w:val="0078592D"/>
    <w:rsid w:val="00785AF4"/>
    <w:rsid w:val="00786931"/>
    <w:rsid w:val="00787B2D"/>
    <w:rsid w:val="00790C95"/>
    <w:rsid w:val="00793432"/>
    <w:rsid w:val="00793D81"/>
    <w:rsid w:val="00797708"/>
    <w:rsid w:val="007A2E95"/>
    <w:rsid w:val="007A3AB3"/>
    <w:rsid w:val="007A443A"/>
    <w:rsid w:val="007A4E36"/>
    <w:rsid w:val="007A5D61"/>
    <w:rsid w:val="007A653F"/>
    <w:rsid w:val="007A6EDB"/>
    <w:rsid w:val="007A70EA"/>
    <w:rsid w:val="007A7496"/>
    <w:rsid w:val="007B1C2A"/>
    <w:rsid w:val="007B3974"/>
    <w:rsid w:val="007B63DE"/>
    <w:rsid w:val="007B6F3A"/>
    <w:rsid w:val="007C1281"/>
    <w:rsid w:val="007C14A1"/>
    <w:rsid w:val="007C15B3"/>
    <w:rsid w:val="007C221F"/>
    <w:rsid w:val="007C6CBB"/>
    <w:rsid w:val="007D3981"/>
    <w:rsid w:val="007D73A1"/>
    <w:rsid w:val="007D7825"/>
    <w:rsid w:val="007D7C50"/>
    <w:rsid w:val="007D7CBD"/>
    <w:rsid w:val="007E26B4"/>
    <w:rsid w:val="007E334A"/>
    <w:rsid w:val="007E4EFE"/>
    <w:rsid w:val="007E604B"/>
    <w:rsid w:val="007F0FA1"/>
    <w:rsid w:val="007F4B10"/>
    <w:rsid w:val="007F4D4A"/>
    <w:rsid w:val="007F65C0"/>
    <w:rsid w:val="0080273A"/>
    <w:rsid w:val="00802847"/>
    <w:rsid w:val="00804F0C"/>
    <w:rsid w:val="0080518D"/>
    <w:rsid w:val="008112D5"/>
    <w:rsid w:val="00811871"/>
    <w:rsid w:val="008123FD"/>
    <w:rsid w:val="00817171"/>
    <w:rsid w:val="0082062E"/>
    <w:rsid w:val="00822895"/>
    <w:rsid w:val="00823868"/>
    <w:rsid w:val="00823DA8"/>
    <w:rsid w:val="00834C0F"/>
    <w:rsid w:val="008400B5"/>
    <w:rsid w:val="00840411"/>
    <w:rsid w:val="0084619D"/>
    <w:rsid w:val="008471E6"/>
    <w:rsid w:val="0084767F"/>
    <w:rsid w:val="00847C44"/>
    <w:rsid w:val="008503EE"/>
    <w:rsid w:val="00851EA9"/>
    <w:rsid w:val="00852ED8"/>
    <w:rsid w:val="008539F0"/>
    <w:rsid w:val="00854DB5"/>
    <w:rsid w:val="00856AF6"/>
    <w:rsid w:val="008579E2"/>
    <w:rsid w:val="00857DA7"/>
    <w:rsid w:val="00857F0A"/>
    <w:rsid w:val="00864129"/>
    <w:rsid w:val="0086438D"/>
    <w:rsid w:val="0086679D"/>
    <w:rsid w:val="00870546"/>
    <w:rsid w:val="00874CE8"/>
    <w:rsid w:val="008758B4"/>
    <w:rsid w:val="00880CF6"/>
    <w:rsid w:val="00882E64"/>
    <w:rsid w:val="00892FAD"/>
    <w:rsid w:val="00894517"/>
    <w:rsid w:val="00894B51"/>
    <w:rsid w:val="008964AE"/>
    <w:rsid w:val="00896F5E"/>
    <w:rsid w:val="008A0DC1"/>
    <w:rsid w:val="008A110F"/>
    <w:rsid w:val="008A14BA"/>
    <w:rsid w:val="008A354A"/>
    <w:rsid w:val="008A3F9C"/>
    <w:rsid w:val="008A4CAB"/>
    <w:rsid w:val="008B52B5"/>
    <w:rsid w:val="008B6E50"/>
    <w:rsid w:val="008C17B5"/>
    <w:rsid w:val="008C36BB"/>
    <w:rsid w:val="008C4E40"/>
    <w:rsid w:val="008C6198"/>
    <w:rsid w:val="008D3283"/>
    <w:rsid w:val="008D34F7"/>
    <w:rsid w:val="008D3A6B"/>
    <w:rsid w:val="008E14EC"/>
    <w:rsid w:val="008E3AF2"/>
    <w:rsid w:val="008E5A8B"/>
    <w:rsid w:val="008E6B74"/>
    <w:rsid w:val="008F0FDA"/>
    <w:rsid w:val="008F50BB"/>
    <w:rsid w:val="008F521E"/>
    <w:rsid w:val="008F5E9F"/>
    <w:rsid w:val="008F633E"/>
    <w:rsid w:val="008F6FF2"/>
    <w:rsid w:val="009006ED"/>
    <w:rsid w:val="00901A03"/>
    <w:rsid w:val="00903D3A"/>
    <w:rsid w:val="009136F3"/>
    <w:rsid w:val="009151DA"/>
    <w:rsid w:val="00917787"/>
    <w:rsid w:val="00920733"/>
    <w:rsid w:val="009249C6"/>
    <w:rsid w:val="009348FB"/>
    <w:rsid w:val="00940ECC"/>
    <w:rsid w:val="00942962"/>
    <w:rsid w:val="00944A93"/>
    <w:rsid w:val="00945F3D"/>
    <w:rsid w:val="00945F70"/>
    <w:rsid w:val="009477A7"/>
    <w:rsid w:val="009504D1"/>
    <w:rsid w:val="009532F9"/>
    <w:rsid w:val="009540CB"/>
    <w:rsid w:val="00955EF9"/>
    <w:rsid w:val="009617E7"/>
    <w:rsid w:val="00961DBA"/>
    <w:rsid w:val="009653CB"/>
    <w:rsid w:val="009656AD"/>
    <w:rsid w:val="00965E67"/>
    <w:rsid w:val="009668C0"/>
    <w:rsid w:val="00971171"/>
    <w:rsid w:val="00977590"/>
    <w:rsid w:val="00980F59"/>
    <w:rsid w:val="0098552A"/>
    <w:rsid w:val="00992261"/>
    <w:rsid w:val="0099334B"/>
    <w:rsid w:val="009955E2"/>
    <w:rsid w:val="00995D1D"/>
    <w:rsid w:val="00996272"/>
    <w:rsid w:val="00997179"/>
    <w:rsid w:val="009A4C07"/>
    <w:rsid w:val="009B77D5"/>
    <w:rsid w:val="009C1C29"/>
    <w:rsid w:val="009C497F"/>
    <w:rsid w:val="009C4A64"/>
    <w:rsid w:val="009C53A5"/>
    <w:rsid w:val="009D0A09"/>
    <w:rsid w:val="009D2CFE"/>
    <w:rsid w:val="009D4372"/>
    <w:rsid w:val="009D4F76"/>
    <w:rsid w:val="009D6A58"/>
    <w:rsid w:val="009D7A83"/>
    <w:rsid w:val="009E196C"/>
    <w:rsid w:val="009E496E"/>
    <w:rsid w:val="009E4E0A"/>
    <w:rsid w:val="009F0179"/>
    <w:rsid w:val="009F07F6"/>
    <w:rsid w:val="009F0BF8"/>
    <w:rsid w:val="009F0FDC"/>
    <w:rsid w:val="009F2167"/>
    <w:rsid w:val="009F2B5B"/>
    <w:rsid w:val="009F5A45"/>
    <w:rsid w:val="009F7610"/>
    <w:rsid w:val="00A00166"/>
    <w:rsid w:val="00A013C4"/>
    <w:rsid w:val="00A02018"/>
    <w:rsid w:val="00A02636"/>
    <w:rsid w:val="00A03A33"/>
    <w:rsid w:val="00A049D0"/>
    <w:rsid w:val="00A07E57"/>
    <w:rsid w:val="00A113BD"/>
    <w:rsid w:val="00A11BA2"/>
    <w:rsid w:val="00A155CB"/>
    <w:rsid w:val="00A210F1"/>
    <w:rsid w:val="00A23F7F"/>
    <w:rsid w:val="00A30187"/>
    <w:rsid w:val="00A30CB5"/>
    <w:rsid w:val="00A3688C"/>
    <w:rsid w:val="00A37A36"/>
    <w:rsid w:val="00A44FED"/>
    <w:rsid w:val="00A45C9F"/>
    <w:rsid w:val="00A47C58"/>
    <w:rsid w:val="00A512B9"/>
    <w:rsid w:val="00A51B17"/>
    <w:rsid w:val="00A53056"/>
    <w:rsid w:val="00A5447A"/>
    <w:rsid w:val="00A5686C"/>
    <w:rsid w:val="00A6401B"/>
    <w:rsid w:val="00A64DB0"/>
    <w:rsid w:val="00A66F1C"/>
    <w:rsid w:val="00A741CE"/>
    <w:rsid w:val="00A74652"/>
    <w:rsid w:val="00A74924"/>
    <w:rsid w:val="00A7530C"/>
    <w:rsid w:val="00A7561E"/>
    <w:rsid w:val="00A867E2"/>
    <w:rsid w:val="00A9054F"/>
    <w:rsid w:val="00A9154B"/>
    <w:rsid w:val="00A936EB"/>
    <w:rsid w:val="00A95C70"/>
    <w:rsid w:val="00AA33FA"/>
    <w:rsid w:val="00AA75EA"/>
    <w:rsid w:val="00AB20C2"/>
    <w:rsid w:val="00AB3175"/>
    <w:rsid w:val="00AB36AA"/>
    <w:rsid w:val="00AB4483"/>
    <w:rsid w:val="00AB511E"/>
    <w:rsid w:val="00AB5469"/>
    <w:rsid w:val="00AC0417"/>
    <w:rsid w:val="00AC2C75"/>
    <w:rsid w:val="00AC4F79"/>
    <w:rsid w:val="00AC544F"/>
    <w:rsid w:val="00AD152D"/>
    <w:rsid w:val="00AD257E"/>
    <w:rsid w:val="00AD3B70"/>
    <w:rsid w:val="00AD613C"/>
    <w:rsid w:val="00AD78F2"/>
    <w:rsid w:val="00AD7AF0"/>
    <w:rsid w:val="00AE178E"/>
    <w:rsid w:val="00AE5059"/>
    <w:rsid w:val="00AE5E78"/>
    <w:rsid w:val="00AE616C"/>
    <w:rsid w:val="00AE70F7"/>
    <w:rsid w:val="00AE74A3"/>
    <w:rsid w:val="00AF392D"/>
    <w:rsid w:val="00B01F0F"/>
    <w:rsid w:val="00B0784A"/>
    <w:rsid w:val="00B12C09"/>
    <w:rsid w:val="00B133D4"/>
    <w:rsid w:val="00B13A99"/>
    <w:rsid w:val="00B20F6B"/>
    <w:rsid w:val="00B21749"/>
    <w:rsid w:val="00B22229"/>
    <w:rsid w:val="00B22D28"/>
    <w:rsid w:val="00B22EA7"/>
    <w:rsid w:val="00B25DC1"/>
    <w:rsid w:val="00B33B13"/>
    <w:rsid w:val="00B3669E"/>
    <w:rsid w:val="00B40C6E"/>
    <w:rsid w:val="00B423D5"/>
    <w:rsid w:val="00B43C18"/>
    <w:rsid w:val="00B44532"/>
    <w:rsid w:val="00B4595F"/>
    <w:rsid w:val="00B468B2"/>
    <w:rsid w:val="00B54C8C"/>
    <w:rsid w:val="00B56617"/>
    <w:rsid w:val="00B5730A"/>
    <w:rsid w:val="00B60911"/>
    <w:rsid w:val="00B6133D"/>
    <w:rsid w:val="00B6412E"/>
    <w:rsid w:val="00B66523"/>
    <w:rsid w:val="00B67A4A"/>
    <w:rsid w:val="00B7195A"/>
    <w:rsid w:val="00B75C8F"/>
    <w:rsid w:val="00B7718B"/>
    <w:rsid w:val="00B817A0"/>
    <w:rsid w:val="00B828E1"/>
    <w:rsid w:val="00B86072"/>
    <w:rsid w:val="00B8748E"/>
    <w:rsid w:val="00B90201"/>
    <w:rsid w:val="00B90976"/>
    <w:rsid w:val="00B90DC0"/>
    <w:rsid w:val="00B94E30"/>
    <w:rsid w:val="00B96050"/>
    <w:rsid w:val="00B97DAF"/>
    <w:rsid w:val="00B97E8C"/>
    <w:rsid w:val="00BA0EF3"/>
    <w:rsid w:val="00BA226D"/>
    <w:rsid w:val="00BB2CB2"/>
    <w:rsid w:val="00BB3F50"/>
    <w:rsid w:val="00BB555A"/>
    <w:rsid w:val="00BC09BE"/>
    <w:rsid w:val="00BC3DD6"/>
    <w:rsid w:val="00BD121D"/>
    <w:rsid w:val="00BD2232"/>
    <w:rsid w:val="00BD3486"/>
    <w:rsid w:val="00BD5032"/>
    <w:rsid w:val="00BE4AC3"/>
    <w:rsid w:val="00BE53BC"/>
    <w:rsid w:val="00BE6A48"/>
    <w:rsid w:val="00BF3340"/>
    <w:rsid w:val="00BF3708"/>
    <w:rsid w:val="00BF4973"/>
    <w:rsid w:val="00C00755"/>
    <w:rsid w:val="00C00E60"/>
    <w:rsid w:val="00C03D02"/>
    <w:rsid w:val="00C07769"/>
    <w:rsid w:val="00C10665"/>
    <w:rsid w:val="00C12F9F"/>
    <w:rsid w:val="00C14165"/>
    <w:rsid w:val="00C15027"/>
    <w:rsid w:val="00C2650A"/>
    <w:rsid w:val="00C347F9"/>
    <w:rsid w:val="00C36F23"/>
    <w:rsid w:val="00C40A0E"/>
    <w:rsid w:val="00C426A4"/>
    <w:rsid w:val="00C4494D"/>
    <w:rsid w:val="00C456A9"/>
    <w:rsid w:val="00C469BB"/>
    <w:rsid w:val="00C46FB2"/>
    <w:rsid w:val="00C519B1"/>
    <w:rsid w:val="00C52051"/>
    <w:rsid w:val="00C57481"/>
    <w:rsid w:val="00C67F49"/>
    <w:rsid w:val="00C71A66"/>
    <w:rsid w:val="00C7592F"/>
    <w:rsid w:val="00C77865"/>
    <w:rsid w:val="00C80F64"/>
    <w:rsid w:val="00C81B13"/>
    <w:rsid w:val="00C8203A"/>
    <w:rsid w:val="00C8521E"/>
    <w:rsid w:val="00C90B31"/>
    <w:rsid w:val="00C9681A"/>
    <w:rsid w:val="00C9705E"/>
    <w:rsid w:val="00CA00ED"/>
    <w:rsid w:val="00CA23D5"/>
    <w:rsid w:val="00CA27D3"/>
    <w:rsid w:val="00CB11F6"/>
    <w:rsid w:val="00CB3FCE"/>
    <w:rsid w:val="00CB65FF"/>
    <w:rsid w:val="00CB78B3"/>
    <w:rsid w:val="00CC7F18"/>
    <w:rsid w:val="00CD334E"/>
    <w:rsid w:val="00CD7B82"/>
    <w:rsid w:val="00CD7E4F"/>
    <w:rsid w:val="00CE1844"/>
    <w:rsid w:val="00CF0517"/>
    <w:rsid w:val="00CF116E"/>
    <w:rsid w:val="00CF4799"/>
    <w:rsid w:val="00CF4F7A"/>
    <w:rsid w:val="00CF5CF3"/>
    <w:rsid w:val="00CF7BD6"/>
    <w:rsid w:val="00D055CC"/>
    <w:rsid w:val="00D11CC9"/>
    <w:rsid w:val="00D122EC"/>
    <w:rsid w:val="00D1343E"/>
    <w:rsid w:val="00D147CF"/>
    <w:rsid w:val="00D16165"/>
    <w:rsid w:val="00D3212A"/>
    <w:rsid w:val="00D33718"/>
    <w:rsid w:val="00D35B45"/>
    <w:rsid w:val="00D3741E"/>
    <w:rsid w:val="00D40722"/>
    <w:rsid w:val="00D4400C"/>
    <w:rsid w:val="00D46EAE"/>
    <w:rsid w:val="00D474CD"/>
    <w:rsid w:val="00D5426C"/>
    <w:rsid w:val="00D55950"/>
    <w:rsid w:val="00D61C54"/>
    <w:rsid w:val="00D64094"/>
    <w:rsid w:val="00D64F0F"/>
    <w:rsid w:val="00D6610B"/>
    <w:rsid w:val="00D671D1"/>
    <w:rsid w:val="00D700FA"/>
    <w:rsid w:val="00D71A23"/>
    <w:rsid w:val="00D738F8"/>
    <w:rsid w:val="00D74274"/>
    <w:rsid w:val="00D75D9C"/>
    <w:rsid w:val="00D76CB5"/>
    <w:rsid w:val="00D774F1"/>
    <w:rsid w:val="00D824EA"/>
    <w:rsid w:val="00D82A8E"/>
    <w:rsid w:val="00D85443"/>
    <w:rsid w:val="00D91ADC"/>
    <w:rsid w:val="00D936B0"/>
    <w:rsid w:val="00D9404B"/>
    <w:rsid w:val="00DA0633"/>
    <w:rsid w:val="00DA3798"/>
    <w:rsid w:val="00DA445F"/>
    <w:rsid w:val="00DA6B17"/>
    <w:rsid w:val="00DA6D2C"/>
    <w:rsid w:val="00DB12FA"/>
    <w:rsid w:val="00DB4A2A"/>
    <w:rsid w:val="00DB5D7A"/>
    <w:rsid w:val="00DB6347"/>
    <w:rsid w:val="00DC0E6B"/>
    <w:rsid w:val="00DC20D9"/>
    <w:rsid w:val="00DC3E52"/>
    <w:rsid w:val="00DC5CC7"/>
    <w:rsid w:val="00DD1B42"/>
    <w:rsid w:val="00DD3EFB"/>
    <w:rsid w:val="00DD5B0E"/>
    <w:rsid w:val="00DD68C9"/>
    <w:rsid w:val="00DD6ED3"/>
    <w:rsid w:val="00DD7911"/>
    <w:rsid w:val="00DE3654"/>
    <w:rsid w:val="00DE7BAC"/>
    <w:rsid w:val="00DF0FA9"/>
    <w:rsid w:val="00DF3055"/>
    <w:rsid w:val="00DF3423"/>
    <w:rsid w:val="00DF500E"/>
    <w:rsid w:val="00DF5BF1"/>
    <w:rsid w:val="00DF7137"/>
    <w:rsid w:val="00DF71A5"/>
    <w:rsid w:val="00E00A21"/>
    <w:rsid w:val="00E02EAF"/>
    <w:rsid w:val="00E1022D"/>
    <w:rsid w:val="00E10F05"/>
    <w:rsid w:val="00E17DCB"/>
    <w:rsid w:val="00E24401"/>
    <w:rsid w:val="00E249AD"/>
    <w:rsid w:val="00E25490"/>
    <w:rsid w:val="00E30CA3"/>
    <w:rsid w:val="00E30E79"/>
    <w:rsid w:val="00E33B32"/>
    <w:rsid w:val="00E37F02"/>
    <w:rsid w:val="00E41B17"/>
    <w:rsid w:val="00E45070"/>
    <w:rsid w:val="00E453F3"/>
    <w:rsid w:val="00E45412"/>
    <w:rsid w:val="00E455E5"/>
    <w:rsid w:val="00E47D07"/>
    <w:rsid w:val="00E5253A"/>
    <w:rsid w:val="00E529AD"/>
    <w:rsid w:val="00E52BA3"/>
    <w:rsid w:val="00E608CD"/>
    <w:rsid w:val="00E63C43"/>
    <w:rsid w:val="00E6715B"/>
    <w:rsid w:val="00E70674"/>
    <w:rsid w:val="00E72628"/>
    <w:rsid w:val="00E72C2D"/>
    <w:rsid w:val="00E7395A"/>
    <w:rsid w:val="00E779CA"/>
    <w:rsid w:val="00E80981"/>
    <w:rsid w:val="00E80E15"/>
    <w:rsid w:val="00E82308"/>
    <w:rsid w:val="00E8240A"/>
    <w:rsid w:val="00E843C1"/>
    <w:rsid w:val="00E84A0C"/>
    <w:rsid w:val="00E85FA6"/>
    <w:rsid w:val="00E90395"/>
    <w:rsid w:val="00E92FAD"/>
    <w:rsid w:val="00E93521"/>
    <w:rsid w:val="00E95A58"/>
    <w:rsid w:val="00E975BF"/>
    <w:rsid w:val="00EA007F"/>
    <w:rsid w:val="00EA01A7"/>
    <w:rsid w:val="00EA2B1F"/>
    <w:rsid w:val="00EA5577"/>
    <w:rsid w:val="00EA7E20"/>
    <w:rsid w:val="00EB48D2"/>
    <w:rsid w:val="00EB4C64"/>
    <w:rsid w:val="00EB7483"/>
    <w:rsid w:val="00EC0D6F"/>
    <w:rsid w:val="00EC2DCF"/>
    <w:rsid w:val="00EC380E"/>
    <w:rsid w:val="00EC4DBB"/>
    <w:rsid w:val="00EC5327"/>
    <w:rsid w:val="00EC5BE3"/>
    <w:rsid w:val="00ED126F"/>
    <w:rsid w:val="00ED53C1"/>
    <w:rsid w:val="00ED7F1C"/>
    <w:rsid w:val="00EE059E"/>
    <w:rsid w:val="00EE12C6"/>
    <w:rsid w:val="00EE3847"/>
    <w:rsid w:val="00EE569D"/>
    <w:rsid w:val="00EF21B4"/>
    <w:rsid w:val="00EF2D28"/>
    <w:rsid w:val="00EF5090"/>
    <w:rsid w:val="00EF786E"/>
    <w:rsid w:val="00EF7C10"/>
    <w:rsid w:val="00F015B8"/>
    <w:rsid w:val="00F0215B"/>
    <w:rsid w:val="00F07EF0"/>
    <w:rsid w:val="00F11072"/>
    <w:rsid w:val="00F1405B"/>
    <w:rsid w:val="00F1484C"/>
    <w:rsid w:val="00F20592"/>
    <w:rsid w:val="00F20A02"/>
    <w:rsid w:val="00F230E2"/>
    <w:rsid w:val="00F233F5"/>
    <w:rsid w:val="00F2361B"/>
    <w:rsid w:val="00F25421"/>
    <w:rsid w:val="00F27C71"/>
    <w:rsid w:val="00F30849"/>
    <w:rsid w:val="00F31483"/>
    <w:rsid w:val="00F3168C"/>
    <w:rsid w:val="00F322F9"/>
    <w:rsid w:val="00F3232D"/>
    <w:rsid w:val="00F3350F"/>
    <w:rsid w:val="00F337F2"/>
    <w:rsid w:val="00F344A1"/>
    <w:rsid w:val="00F3460F"/>
    <w:rsid w:val="00F4555B"/>
    <w:rsid w:val="00F5219B"/>
    <w:rsid w:val="00F535F8"/>
    <w:rsid w:val="00F53C38"/>
    <w:rsid w:val="00F622D2"/>
    <w:rsid w:val="00F62AD0"/>
    <w:rsid w:val="00F63031"/>
    <w:rsid w:val="00F6438F"/>
    <w:rsid w:val="00F65957"/>
    <w:rsid w:val="00F6636F"/>
    <w:rsid w:val="00F6687D"/>
    <w:rsid w:val="00F66E58"/>
    <w:rsid w:val="00F722E5"/>
    <w:rsid w:val="00F731EB"/>
    <w:rsid w:val="00F76770"/>
    <w:rsid w:val="00F80DA1"/>
    <w:rsid w:val="00F822D8"/>
    <w:rsid w:val="00F82355"/>
    <w:rsid w:val="00F8792D"/>
    <w:rsid w:val="00F9164E"/>
    <w:rsid w:val="00F923C7"/>
    <w:rsid w:val="00F971E4"/>
    <w:rsid w:val="00F97D12"/>
    <w:rsid w:val="00FA1221"/>
    <w:rsid w:val="00FA286C"/>
    <w:rsid w:val="00FA3ECE"/>
    <w:rsid w:val="00FA41F8"/>
    <w:rsid w:val="00FA5F02"/>
    <w:rsid w:val="00FA6A0D"/>
    <w:rsid w:val="00FA7033"/>
    <w:rsid w:val="00FA7179"/>
    <w:rsid w:val="00FA7F13"/>
    <w:rsid w:val="00FB0EE9"/>
    <w:rsid w:val="00FC00A4"/>
    <w:rsid w:val="00FC3E61"/>
    <w:rsid w:val="00FC4C76"/>
    <w:rsid w:val="00FD238E"/>
    <w:rsid w:val="00FD2407"/>
    <w:rsid w:val="00FD4A2D"/>
    <w:rsid w:val="00FE064B"/>
    <w:rsid w:val="00FE1614"/>
    <w:rsid w:val="00FE233C"/>
    <w:rsid w:val="00FE3341"/>
    <w:rsid w:val="00FE7ED6"/>
    <w:rsid w:val="00FF1D11"/>
    <w:rsid w:val="00FF3C6F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9E1C3E"/>
  <w15:chartTrackingRefBased/>
  <w15:docId w15:val="{8A4A1AD3-4910-460F-8BBF-F295BBA3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941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C7A"/>
    <w:pPr>
      <w:keepNext/>
      <w:numPr>
        <w:numId w:val="6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00AEC7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23C7A"/>
    <w:pPr>
      <w:keepNext/>
      <w:numPr>
        <w:ilvl w:val="1"/>
        <w:numId w:val="6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00AEC7" w:themeColor="accent1"/>
      <w:sz w:val="22"/>
      <w:szCs w:val="28"/>
    </w:rPr>
  </w:style>
  <w:style w:type="paragraph" w:styleId="Heading3">
    <w:name w:val="heading 3"/>
    <w:basedOn w:val="Normal"/>
    <w:next w:val="Normal"/>
    <w:qFormat/>
    <w:rsid w:val="00423C7A"/>
    <w:pPr>
      <w:keepNext/>
      <w:numPr>
        <w:ilvl w:val="2"/>
        <w:numId w:val="6"/>
      </w:numPr>
      <w:tabs>
        <w:tab w:val="clear" w:pos="3960"/>
        <w:tab w:val="num" w:pos="1980"/>
      </w:tabs>
      <w:spacing w:before="160" w:after="160"/>
      <w:ind w:left="1980"/>
      <w:outlineLvl w:val="2"/>
    </w:pPr>
    <w:rPr>
      <w:b/>
      <w:bCs/>
      <w:color w:val="00AEC7" w:themeColor="accent1"/>
      <w:sz w:val="20"/>
      <w:szCs w:val="22"/>
    </w:rPr>
  </w:style>
  <w:style w:type="paragraph" w:styleId="Heading4">
    <w:name w:val="heading 4"/>
    <w:basedOn w:val="Heading3"/>
    <w:next w:val="Normal"/>
    <w:qFormat/>
    <w:rsid w:val="001349CB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qFormat/>
    <w:rsid w:val="00423C7A"/>
    <w:pPr>
      <w:numPr>
        <w:ilvl w:val="4"/>
        <w:numId w:val="3"/>
      </w:numPr>
      <w:spacing w:before="240" w:after="60"/>
      <w:outlineLvl w:val="4"/>
    </w:pPr>
    <w:rPr>
      <w:b/>
      <w:bCs/>
      <w:iCs/>
      <w:color w:val="00AEC7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3"/>
      </w:numPr>
      <w:spacing w:before="240" w:after="60"/>
      <w:outlineLvl w:val="5"/>
    </w:pPr>
    <w:rPr>
      <w:b/>
      <w:bCs/>
      <w:color w:val="00AEC7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3"/>
      </w:numPr>
      <w:spacing w:before="240" w:after="60"/>
      <w:outlineLvl w:val="6"/>
    </w:pPr>
    <w:rPr>
      <w:b/>
      <w:color w:val="00AEC7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3"/>
      </w:numPr>
      <w:spacing w:before="240" w:after="60"/>
      <w:outlineLvl w:val="7"/>
    </w:pPr>
    <w:rPr>
      <w:b/>
      <w:iCs/>
      <w:color w:val="00AEC7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3"/>
      </w:numPr>
      <w:spacing w:before="240" w:after="60"/>
      <w:outlineLvl w:val="8"/>
    </w:pPr>
    <w:rPr>
      <w:rFonts w:cs="Arial"/>
      <w:b/>
      <w:color w:val="00AEC7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3C7A"/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423C7A"/>
    <w:rPr>
      <w:rFonts w:ascii="Arial" w:hAnsi="Arial" w:cs="Arial"/>
      <w:b/>
      <w:bCs/>
      <w:iCs/>
      <w:color w:val="00AEC7" w:themeColor="accent1"/>
      <w:sz w:val="22"/>
      <w:szCs w:val="28"/>
    </w:rPr>
  </w:style>
  <w:style w:type="character" w:styleId="Hyperlink">
    <w:name w:val="Hyperlink"/>
    <w:uiPriority w:val="99"/>
    <w:rsid w:val="00CF5CF3"/>
    <w:rPr>
      <w:rFonts w:ascii="Arial" w:hAnsi="Arial"/>
      <w:color w:val="003865" w:themeColor="accent4"/>
      <w:u w:val="single"/>
    </w:rPr>
  </w:style>
  <w:style w:type="paragraph" w:styleId="FootnoteText">
    <w:name w:val="footnote text"/>
    <w:basedOn w:val="Normal"/>
    <w:semiHidden/>
    <w:rsid w:val="00E82308"/>
    <w:rPr>
      <w:sz w:val="16"/>
      <w:szCs w:val="20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link w:val="HeaderChar"/>
    <w:uiPriority w:val="99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EC7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rsid w:val="00CF5CF3"/>
    <w:rPr>
      <w:rFonts w:ascii="Arial" w:hAnsi="Arial"/>
      <w:color w:val="5B6770" w:themeColor="text2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uiPriority w:val="39"/>
    <w:rsid w:val="00203190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uiPriority w:val="39"/>
    <w:rsid w:val="00026479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uiPriority w:val="39"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4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5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EC7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semiHidden/>
    <w:rsid w:val="00FF3C6F"/>
    <w:rPr>
      <w:sz w:val="20"/>
      <w:szCs w:val="20"/>
    </w:rPr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2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EC7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7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8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9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10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4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5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6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7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8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EC7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EC7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EC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styleId="TableGridLight">
    <w:name w:val="Grid Table Light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2EEFF" w:themeColor="accent1" w:themeTint="66"/>
        <w:left w:val="single" w:sz="4" w:space="0" w:color="82EEFF" w:themeColor="accent1" w:themeTint="66"/>
        <w:bottom w:val="single" w:sz="4" w:space="0" w:color="82EEFF" w:themeColor="accent1" w:themeTint="66"/>
        <w:right w:val="single" w:sz="4" w:space="0" w:color="82EEFF" w:themeColor="accent1" w:themeTint="66"/>
        <w:insideH w:val="single" w:sz="4" w:space="0" w:color="82EEFF" w:themeColor="accent1" w:themeTint="66"/>
        <w:insideV w:val="single" w:sz="4" w:space="0" w:color="82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2BDE8" w:themeColor="accent5" w:themeTint="66"/>
        <w:left w:val="single" w:sz="4" w:space="0" w:color="C2BDE8" w:themeColor="accent5" w:themeTint="66"/>
        <w:bottom w:val="single" w:sz="4" w:space="0" w:color="C2BDE8" w:themeColor="accent5" w:themeTint="66"/>
        <w:right w:val="single" w:sz="4" w:space="0" w:color="C2BDE8" w:themeColor="accent5" w:themeTint="66"/>
        <w:insideH w:val="single" w:sz="4" w:space="0" w:color="C2BDE8" w:themeColor="accent5" w:themeTint="66"/>
        <w:insideV w:val="single" w:sz="4" w:space="0" w:color="C2B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37AC3" w:themeColor="accent6" w:themeTint="66"/>
        <w:left w:val="single" w:sz="4" w:space="0" w:color="F37AC3" w:themeColor="accent6" w:themeTint="66"/>
        <w:bottom w:val="single" w:sz="4" w:space="0" w:color="F37AC3" w:themeColor="accent6" w:themeTint="66"/>
        <w:right w:val="single" w:sz="4" w:space="0" w:color="F37AC3" w:themeColor="accent6" w:themeTint="66"/>
        <w:insideH w:val="single" w:sz="4" w:space="0" w:color="F37AC3" w:themeColor="accent6" w:themeTint="66"/>
        <w:insideV w:val="single" w:sz="4" w:space="0" w:color="F37A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6">
    <w:name w:val="List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0C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0C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0C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0C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5BC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5BC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5BC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5BC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C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C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C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C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890C58" w:themeColor="accent6"/>
        <w:bottom w:val="single" w:sz="4" w:space="0" w:color="890C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90C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685BC7" w:themeColor="accent5"/>
        <w:bottom w:val="single" w:sz="4" w:space="0" w:color="685BC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5BC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03865" w:themeColor="accent4"/>
        <w:bottom w:val="single" w:sz="4" w:space="0" w:color="0038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8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00AEC7" w:themeColor="accent1"/>
        <w:bottom w:val="single" w:sz="4" w:space="0" w:color="00AEC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C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90C58" w:themeColor="accent6"/>
        <w:left w:val="single" w:sz="24" w:space="0" w:color="890C58" w:themeColor="accent6"/>
        <w:bottom w:val="single" w:sz="24" w:space="0" w:color="890C58" w:themeColor="accent6"/>
        <w:right w:val="single" w:sz="24" w:space="0" w:color="890C58" w:themeColor="accent6"/>
      </w:tblBorders>
    </w:tblPr>
    <w:tcPr>
      <w:shd w:val="clear" w:color="auto" w:fill="890C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85BC7" w:themeColor="accent5"/>
        <w:left w:val="single" w:sz="24" w:space="0" w:color="685BC7" w:themeColor="accent5"/>
        <w:bottom w:val="single" w:sz="24" w:space="0" w:color="685BC7" w:themeColor="accent5"/>
        <w:right w:val="single" w:sz="24" w:space="0" w:color="685BC7" w:themeColor="accent5"/>
      </w:tblBorders>
    </w:tblPr>
    <w:tcPr>
      <w:shd w:val="clear" w:color="auto" w:fill="685BC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865" w:themeColor="accent4"/>
        <w:left w:val="single" w:sz="24" w:space="0" w:color="003865" w:themeColor="accent4"/>
        <w:bottom w:val="single" w:sz="24" w:space="0" w:color="003865" w:themeColor="accent4"/>
        <w:right w:val="single" w:sz="24" w:space="0" w:color="003865" w:themeColor="accent4"/>
      </w:tblBorders>
    </w:tblPr>
    <w:tcPr>
      <w:shd w:val="clear" w:color="auto" w:fill="0038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EC7" w:themeColor="accent1"/>
        <w:left w:val="single" w:sz="24" w:space="0" w:color="00AEC7" w:themeColor="accent1"/>
        <w:bottom w:val="single" w:sz="24" w:space="0" w:color="00AEC7" w:themeColor="accent1"/>
        <w:right w:val="single" w:sz="24" w:space="0" w:color="00AEC7" w:themeColor="accent1"/>
      </w:tblBorders>
    </w:tblPr>
    <w:tcPr>
      <w:shd w:val="clear" w:color="auto" w:fill="00AEC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C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band1Vert">
      <w:tblPr/>
      <w:tcPr>
        <w:shd w:val="clear" w:color="auto" w:fill="F37AC3" w:themeFill="accent6" w:themeFillTint="66"/>
      </w:tcPr>
    </w:tblStylePr>
    <w:tblStylePr w:type="band1Horz">
      <w:tblPr/>
      <w:tcPr>
        <w:shd w:val="clear" w:color="auto" w:fill="F37AC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band1Vert">
      <w:tblPr/>
      <w:tcPr>
        <w:shd w:val="clear" w:color="auto" w:fill="C2BDE8" w:themeFill="accent5" w:themeFillTint="66"/>
      </w:tcPr>
    </w:tblStylePr>
    <w:tblStylePr w:type="band1Horz">
      <w:tblPr/>
      <w:tcPr>
        <w:shd w:val="clear" w:color="auto" w:fill="C2BDE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band1Vert">
      <w:tblPr/>
      <w:tcPr>
        <w:shd w:val="clear" w:color="auto" w:fill="82EEFF" w:themeFill="accent1" w:themeFillTint="66"/>
      </w:tcPr>
    </w:tblStylePr>
    <w:tblStylePr w:type="band1Horz">
      <w:tblPr/>
      <w:tcPr>
        <w:shd w:val="clear" w:color="auto" w:fill="82EE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4-Accent2">
    <w:name w:val="List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4">
    <w:name w:val="List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4">
    <w:name w:val="Grid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90C58" w:themeColor="accent6"/>
        <w:left w:val="single" w:sz="4" w:space="0" w:color="890C58" w:themeColor="accent6"/>
        <w:bottom w:val="single" w:sz="4" w:space="0" w:color="890C58" w:themeColor="accent6"/>
        <w:right w:val="single" w:sz="4" w:space="0" w:color="890C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0C58" w:themeColor="accent6"/>
          <w:right w:val="single" w:sz="4" w:space="0" w:color="890C58" w:themeColor="accent6"/>
        </w:tcBorders>
      </w:tcPr>
    </w:tblStylePr>
    <w:tblStylePr w:type="band1Horz">
      <w:tblPr/>
      <w:tcPr>
        <w:tcBorders>
          <w:top w:val="single" w:sz="4" w:space="0" w:color="890C58" w:themeColor="accent6"/>
          <w:bottom w:val="single" w:sz="4" w:space="0" w:color="890C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0C58" w:themeColor="accent6"/>
          <w:left w:val="nil"/>
        </w:tcBorders>
      </w:tcPr>
    </w:tblStylePr>
    <w:tblStylePr w:type="swCell">
      <w:tblPr/>
      <w:tcPr>
        <w:tcBorders>
          <w:top w:val="double" w:sz="4" w:space="0" w:color="890C58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85BC7" w:themeColor="accent5"/>
        <w:left w:val="single" w:sz="4" w:space="0" w:color="685BC7" w:themeColor="accent5"/>
        <w:bottom w:val="single" w:sz="4" w:space="0" w:color="685BC7" w:themeColor="accent5"/>
        <w:right w:val="single" w:sz="4" w:space="0" w:color="685BC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5BC7" w:themeColor="accent5"/>
          <w:right w:val="single" w:sz="4" w:space="0" w:color="685BC7" w:themeColor="accent5"/>
        </w:tcBorders>
      </w:tcPr>
    </w:tblStylePr>
    <w:tblStylePr w:type="band1Horz">
      <w:tblPr/>
      <w:tcPr>
        <w:tcBorders>
          <w:top w:val="single" w:sz="4" w:space="0" w:color="685BC7" w:themeColor="accent5"/>
          <w:bottom w:val="single" w:sz="4" w:space="0" w:color="685BC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5BC7" w:themeColor="accent5"/>
          <w:left w:val="nil"/>
        </w:tcBorders>
      </w:tcPr>
    </w:tblStylePr>
    <w:tblStylePr w:type="swCell">
      <w:tblPr/>
      <w:tcPr>
        <w:tcBorders>
          <w:top w:val="double" w:sz="4" w:space="0" w:color="685BC7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865" w:themeColor="accent4"/>
        <w:left w:val="single" w:sz="4" w:space="0" w:color="003865" w:themeColor="accent4"/>
        <w:bottom w:val="single" w:sz="4" w:space="0" w:color="003865" w:themeColor="accent4"/>
        <w:right w:val="single" w:sz="4" w:space="0" w:color="0038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accent4"/>
          <w:right w:val="single" w:sz="4" w:space="0" w:color="003865" w:themeColor="accent4"/>
        </w:tcBorders>
      </w:tcPr>
    </w:tblStylePr>
    <w:tblStylePr w:type="band1Horz">
      <w:tblPr/>
      <w:tcPr>
        <w:tcBorders>
          <w:top w:val="single" w:sz="4" w:space="0" w:color="003865" w:themeColor="accent4"/>
          <w:bottom w:val="single" w:sz="4" w:space="0" w:color="0038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accent4"/>
          <w:left w:val="nil"/>
        </w:tcBorders>
      </w:tcPr>
    </w:tblStylePr>
    <w:tblStylePr w:type="swCell">
      <w:tblPr/>
      <w:tcPr>
        <w:tcBorders>
          <w:top w:val="double" w:sz="4" w:space="0" w:color="003865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EC7" w:themeColor="accent1"/>
        <w:left w:val="single" w:sz="4" w:space="0" w:color="00AEC7" w:themeColor="accent1"/>
        <w:bottom w:val="single" w:sz="4" w:space="0" w:color="00AEC7" w:themeColor="accent1"/>
        <w:right w:val="single" w:sz="4" w:space="0" w:color="00AEC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C7" w:themeColor="accent1"/>
          <w:right w:val="single" w:sz="4" w:space="0" w:color="00AEC7" w:themeColor="accent1"/>
        </w:tcBorders>
      </w:tcPr>
    </w:tblStylePr>
    <w:tblStylePr w:type="band1Horz">
      <w:tblPr/>
      <w:tcPr>
        <w:tcBorders>
          <w:top w:val="single" w:sz="4" w:space="0" w:color="00AEC7" w:themeColor="accent1"/>
          <w:bottom w:val="single" w:sz="4" w:space="0" w:color="00AEC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C7" w:themeColor="accent1"/>
          <w:left w:val="nil"/>
        </w:tcBorders>
      </w:tcPr>
    </w:tblStylePr>
    <w:tblStylePr w:type="swCell">
      <w:tblPr/>
      <w:tcPr>
        <w:tcBorders>
          <w:top w:val="double" w:sz="4" w:space="0" w:color="00AEC7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bottom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bottom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bottom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2-Accent3">
    <w:name w:val="List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2-Accent2">
    <w:name w:val="List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bottom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2">
    <w:name w:val="List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ED37A6" w:themeColor="accent6" w:themeTint="99"/>
        <w:bottom w:val="single" w:sz="2" w:space="0" w:color="ED37A6" w:themeColor="accent6" w:themeTint="99"/>
        <w:insideH w:val="single" w:sz="2" w:space="0" w:color="ED37A6" w:themeColor="accent6" w:themeTint="99"/>
        <w:insideV w:val="single" w:sz="2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37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49CDD" w:themeColor="accent5" w:themeTint="99"/>
        <w:bottom w:val="single" w:sz="2" w:space="0" w:color="A49CDD" w:themeColor="accent5" w:themeTint="99"/>
        <w:insideH w:val="single" w:sz="2" w:space="0" w:color="A49CDD" w:themeColor="accent5" w:themeTint="99"/>
        <w:insideV w:val="single" w:sz="2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9CD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1FF" w:themeColor="accent4" w:themeTint="99"/>
        <w:bottom w:val="single" w:sz="2" w:space="0" w:color="0991FF" w:themeColor="accent4" w:themeTint="99"/>
        <w:insideH w:val="single" w:sz="2" w:space="0" w:color="0991FF" w:themeColor="accent4" w:themeTint="99"/>
        <w:insideV w:val="single" w:sz="2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4E6FF" w:themeColor="accent1" w:themeTint="99"/>
        <w:bottom w:val="single" w:sz="2" w:space="0" w:color="44E6FF" w:themeColor="accent1" w:themeTint="99"/>
        <w:insideH w:val="single" w:sz="2" w:space="0" w:color="44E6FF" w:themeColor="accent1" w:themeTint="99"/>
        <w:insideV w:val="single" w:sz="2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E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2">
    <w:name w:val="Grid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F3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paragraph" w:styleId="ListParagraph">
    <w:name w:val="List Paragraph"/>
    <w:basedOn w:val="Normal"/>
    <w:uiPriority w:val="34"/>
    <w:qFormat/>
    <w:rsid w:val="00224941"/>
    <w:pPr>
      <w:ind w:left="720"/>
    </w:pPr>
    <w:rPr>
      <w:rFonts w:eastAsia="Calibri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722E5"/>
    <w:rPr>
      <w:rFonts w:ascii="Arial" w:hAnsi="Arial"/>
      <w:color w:val="5B6770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HelpDesk@erco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lientServices@ercot.co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mis.ercot.com/emil/?page=1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is.ercot.com/emil?page=1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ERCOT Identity v.2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EC7"/>
      </a:accent1>
      <a:accent2>
        <a:srgbClr val="5B6770"/>
      </a:accent2>
      <a:accent3>
        <a:srgbClr val="26D07C"/>
      </a:accent3>
      <a:accent4>
        <a:srgbClr val="003865"/>
      </a:accent4>
      <a:accent5>
        <a:srgbClr val="685BC7"/>
      </a:accent5>
      <a:accent6>
        <a:srgbClr val="890C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BDB63875B034C8B32518C6496ADD1" ma:contentTypeVersion="0" ma:contentTypeDescription="Create a new document." ma:contentTypeScope="" ma:versionID="2e49056469cb591c67c33c10da96a07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AF6E-E883-467C-9FC2-094927524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C748C-FCAC-48CC-82F0-CD19C70D87E9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2E71517A-4A0F-45A8-A7E4-5693E24E1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C79877-65C4-41CD-B230-43771F17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requirements.dot</Template>
  <TotalTime>8</TotalTime>
  <Pages>4</Pages>
  <Words>417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ERCOT</Company>
  <LinksUpToDate>false</LinksUpToDate>
  <CharactersWithSpaces>3024</CharactersWithSpaces>
  <SharedDoc>false</SharedDoc>
  <HLinks>
    <vt:vector size="18" baseType="variant"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_Toc129674698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_Toc129674697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_Toc129674696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subject/>
  <dc:creator>Pysh, Danya</dc:creator>
  <cp:keywords/>
  <cp:lastModifiedBy>Lofton, Amy</cp:lastModifiedBy>
  <cp:revision>3</cp:revision>
  <cp:lastPrinted>2016-01-26T23:30:00Z</cp:lastPrinted>
  <dcterms:created xsi:type="dcterms:W3CDTF">2020-08-11T15:10:00Z</dcterms:created>
  <dcterms:modified xsi:type="dcterms:W3CDTF">2020-08-11T15:19:00Z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Id">
    <vt:lpwstr>0x0101002E2BDB63875B034C8B32518C6496ADD1</vt:lpwstr>
  </property>
</Properties>
</file>