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4E26F" w14:textId="77777777" w:rsidR="00572038" w:rsidRDefault="00073E02">
      <w:bookmarkStart w:id="0" w:name="_GoBack"/>
      <w:bookmarkEnd w:id="0"/>
      <w:r>
        <w:rPr>
          <w:b/>
          <w:u w:val="single"/>
        </w:rPr>
        <w:t>[</w:t>
      </w:r>
      <w:r w:rsidR="00AB4AB2" w:rsidRPr="00073E02">
        <w:rPr>
          <w:b/>
          <w:u w:val="single"/>
        </w:rPr>
        <w:t>Slide 1</w:t>
      </w:r>
      <w:r w:rsidR="00AB4AB2">
        <w:t xml:space="preserve"> – no changes</w:t>
      </w:r>
      <w:r>
        <w:t>]</w:t>
      </w:r>
    </w:p>
    <w:p w14:paraId="0D85ED72" w14:textId="0918D888" w:rsidR="00073E02" w:rsidRDefault="00073E02" w:rsidP="00B41835">
      <w:r>
        <w:t xml:space="preserve">Welcome to </w:t>
      </w:r>
      <w:r w:rsidR="00B06373">
        <w:t xml:space="preserve">ERCOT’s Market Training course on </w:t>
      </w:r>
      <w:r>
        <w:t>Mass Transition</w:t>
      </w:r>
      <w:r w:rsidR="00B06373">
        <w:t>s.</w:t>
      </w:r>
      <w:r>
        <w:t xml:space="preserve">  </w:t>
      </w:r>
      <w:r w:rsidR="009F05FF">
        <w:t>T</w:t>
      </w:r>
      <w:r>
        <w:t xml:space="preserve">his </w:t>
      </w:r>
      <w:r w:rsidR="00405702">
        <w:t>lesson</w:t>
      </w:r>
      <w:r w:rsidR="009F05FF">
        <w:t xml:space="preserve"> </w:t>
      </w:r>
      <w:r w:rsidR="00B41835">
        <w:t>cover</w:t>
      </w:r>
      <w:r w:rsidR="00540258">
        <w:t>s</w:t>
      </w:r>
      <w:r w:rsidR="00B41835">
        <w:t xml:space="preserve"> the definition of</w:t>
      </w:r>
      <w:r>
        <w:t xml:space="preserve"> a Mass Transition</w:t>
      </w:r>
      <w:r w:rsidR="00B41835">
        <w:t xml:space="preserve">, </w:t>
      </w:r>
      <w:r>
        <w:t>why it occurs,</w:t>
      </w:r>
      <w:r w:rsidR="00B41835">
        <w:t xml:space="preserve"> and the process by which it </w:t>
      </w:r>
      <w:r>
        <w:t>is executed and completed</w:t>
      </w:r>
      <w:r w:rsidR="00B41835">
        <w:t>.</w:t>
      </w:r>
      <w:r>
        <w:t xml:space="preserve"> </w:t>
      </w:r>
      <w:r w:rsidR="009F05FF">
        <w:t xml:space="preserve">It </w:t>
      </w:r>
      <w:r w:rsidR="00B41835">
        <w:t>will also discuss t</w:t>
      </w:r>
      <w:r>
        <w:t xml:space="preserve">he roles and requirements of Market Participants involved in a Mass Transition.  </w:t>
      </w:r>
    </w:p>
    <w:p w14:paraId="3730B618" w14:textId="19379A26" w:rsidR="00C7256A" w:rsidRDefault="00C7256A">
      <w:r>
        <w:t xml:space="preserve">Included in </w:t>
      </w:r>
      <w:r w:rsidR="00B06373">
        <w:t xml:space="preserve">this </w:t>
      </w:r>
      <w:r>
        <w:t xml:space="preserve">training </w:t>
      </w:r>
      <w:r w:rsidR="00B06373">
        <w:t>are</w:t>
      </w:r>
      <w:r>
        <w:t xml:space="preserve"> reference links to provide more detailed information.  </w:t>
      </w:r>
    </w:p>
    <w:p w14:paraId="0736E9DD" w14:textId="77777777" w:rsidR="00C7256A" w:rsidRDefault="00C7256A" w:rsidP="00C7256A">
      <w:r>
        <w:t>Let’s get started…</w:t>
      </w:r>
    </w:p>
    <w:p w14:paraId="2EECC877" w14:textId="77777777" w:rsidR="00AB4AB2" w:rsidRDefault="00AB4AB2"/>
    <w:p w14:paraId="4CD339C6" w14:textId="77777777" w:rsidR="00AB4AB2" w:rsidRPr="00AB4AB2" w:rsidRDefault="00073E02">
      <w:pPr>
        <w:rPr>
          <w:b/>
          <w:u w:val="single"/>
        </w:rPr>
      </w:pPr>
      <w:r>
        <w:rPr>
          <w:b/>
          <w:u w:val="single"/>
        </w:rPr>
        <w:t>[</w:t>
      </w:r>
      <w:r w:rsidR="00AB4AB2" w:rsidRPr="00AB4AB2">
        <w:rPr>
          <w:b/>
          <w:u w:val="single"/>
        </w:rPr>
        <w:t>Slide 2 – MT Process</w:t>
      </w:r>
      <w:r>
        <w:rPr>
          <w:b/>
          <w:u w:val="single"/>
        </w:rPr>
        <w:t>]</w:t>
      </w:r>
    </w:p>
    <w:p w14:paraId="5E5C31C7" w14:textId="77777777" w:rsidR="00AB4AB2" w:rsidRPr="00AB4AB2" w:rsidRDefault="00AB4AB2" w:rsidP="00AB4AB2">
      <w:r w:rsidRPr="00AB4AB2">
        <w:rPr>
          <w:i/>
          <w:iCs/>
        </w:rPr>
        <w:t>What is a Mass Transition?</w:t>
      </w:r>
    </w:p>
    <w:p w14:paraId="11EE78C3" w14:textId="77777777" w:rsidR="00AB4AB2" w:rsidRPr="00AB4AB2" w:rsidRDefault="00AB4AB2" w:rsidP="00AB4AB2">
      <w:r w:rsidRPr="00AB4AB2">
        <w:t xml:space="preserve">During the course of business in the Texas retail electric market, circumstances may necessitate </w:t>
      </w:r>
      <w:r w:rsidRPr="00AB4AB2">
        <w:rPr>
          <w:b/>
          <w:bCs/>
        </w:rPr>
        <w:t>the expeditious transfer of large numbers of customers from one Market Participant to another.</w:t>
      </w:r>
    </w:p>
    <w:p w14:paraId="049B7FAD" w14:textId="67971E15" w:rsidR="00AB4AB2" w:rsidRPr="00AB4AB2" w:rsidRDefault="00AB4AB2" w:rsidP="00AB4AB2">
      <w:r w:rsidRPr="00AB4AB2">
        <w:t xml:space="preserve">The </w:t>
      </w:r>
      <w:r w:rsidRPr="00AB4AB2">
        <w:rPr>
          <w:b/>
          <w:bCs/>
        </w:rPr>
        <w:t xml:space="preserve">goal of the transition process </w:t>
      </w:r>
      <w:r w:rsidRPr="00AB4AB2">
        <w:t xml:space="preserve">is to transfer responsibility for all affected </w:t>
      </w:r>
      <w:r w:rsidR="00E1444C">
        <w:t xml:space="preserve">customer premises, or </w:t>
      </w:r>
      <w:r w:rsidRPr="00AB4AB2">
        <w:t xml:space="preserve">ESI IDs while also honoring the Customer’s choice to switch to their chosen </w:t>
      </w:r>
      <w:r w:rsidR="00E1444C">
        <w:t>Competitive Retailer, also known as a CR</w:t>
      </w:r>
      <w:r w:rsidRPr="00AB4AB2">
        <w:t>.</w:t>
      </w:r>
    </w:p>
    <w:p w14:paraId="5C7DB11D" w14:textId="0A03FC41" w:rsidR="00AB4AB2" w:rsidRDefault="00AB4AB2" w:rsidP="00AB4AB2">
      <w:r w:rsidRPr="00AB4AB2">
        <w:t xml:space="preserve">This </w:t>
      </w:r>
      <w:r w:rsidR="00405702">
        <w:rPr>
          <w:b/>
          <w:bCs/>
        </w:rPr>
        <w:t>lesson</w:t>
      </w:r>
      <w:r w:rsidRPr="00AB4AB2">
        <w:t xml:space="preserve"> will follow a typical Mass Transition process focusing on the transition of ESI IDs from a </w:t>
      </w:r>
      <w:r>
        <w:t>Losing/</w:t>
      </w:r>
      <w:r w:rsidRPr="00AB4AB2">
        <w:t xml:space="preserve">Defaulting CR to a designated </w:t>
      </w:r>
      <w:r>
        <w:t xml:space="preserve">Gaining </w:t>
      </w:r>
      <w:r w:rsidRPr="00AB4AB2">
        <w:t>Provider of Last Resort</w:t>
      </w:r>
      <w:r w:rsidR="00073E02">
        <w:t xml:space="preserve"> </w:t>
      </w:r>
      <w:r w:rsidR="00B06373">
        <w:t>(</w:t>
      </w:r>
      <w:r w:rsidR="00073E02">
        <w:t xml:space="preserve">or </w:t>
      </w:r>
      <w:r w:rsidRPr="00AB4AB2">
        <w:t>POLR</w:t>
      </w:r>
      <w:r>
        <w:t xml:space="preserve"> </w:t>
      </w:r>
      <w:r w:rsidRPr="00AB4AB2">
        <w:t>REP</w:t>
      </w:r>
      <w:r w:rsidR="00B06373">
        <w:t>)</w:t>
      </w:r>
      <w:r w:rsidRPr="00AB4AB2">
        <w:t>.</w:t>
      </w:r>
    </w:p>
    <w:p w14:paraId="5D009840" w14:textId="052154E3" w:rsidR="00AB4AB2" w:rsidRPr="00AB4AB2" w:rsidRDefault="00073E02" w:rsidP="00AB4AB2">
      <w:r>
        <w:t xml:space="preserve">Note, </w:t>
      </w:r>
      <w:r w:rsidR="00AB4AB2">
        <w:t>CRs</w:t>
      </w:r>
      <w:r>
        <w:t xml:space="preserve"> </w:t>
      </w:r>
      <w:r w:rsidR="00B06373">
        <w:t>(</w:t>
      </w:r>
      <w:r>
        <w:t>or Competitive Retailers</w:t>
      </w:r>
      <w:r w:rsidR="00B06373">
        <w:t>)</w:t>
      </w:r>
      <w:r w:rsidR="00AB4AB2">
        <w:t xml:space="preserve"> and REPs</w:t>
      </w:r>
      <w:r w:rsidR="00B06373">
        <w:t xml:space="preserve"> (or</w:t>
      </w:r>
      <w:r>
        <w:t xml:space="preserve"> Retail Electric Providers</w:t>
      </w:r>
      <w:r w:rsidR="00B06373">
        <w:t>)</w:t>
      </w:r>
      <w:r w:rsidR="00AB4AB2">
        <w:t xml:space="preserve"> </w:t>
      </w:r>
      <w:r w:rsidR="00E1444C">
        <w:t xml:space="preserve">can </w:t>
      </w:r>
      <w:r w:rsidR="00AB4AB2">
        <w:t xml:space="preserve">be used interchangeably </w:t>
      </w:r>
      <w:r w:rsidR="00E1444C">
        <w:t>in the context of this</w:t>
      </w:r>
      <w:r w:rsidR="00AB4AB2">
        <w:t xml:space="preserve"> </w:t>
      </w:r>
      <w:r w:rsidR="00405702">
        <w:t>lesson</w:t>
      </w:r>
      <w:r w:rsidR="00AB4AB2">
        <w:t>.</w:t>
      </w:r>
    </w:p>
    <w:p w14:paraId="7ADDAC9B" w14:textId="77777777" w:rsidR="00AB4AB2" w:rsidRDefault="00AB4AB2"/>
    <w:p w14:paraId="2533C2F3" w14:textId="77777777" w:rsidR="00AB4AB2" w:rsidRPr="00AB4AB2" w:rsidRDefault="00073E02">
      <w:pPr>
        <w:rPr>
          <w:b/>
          <w:u w:val="single"/>
        </w:rPr>
      </w:pPr>
      <w:r>
        <w:rPr>
          <w:b/>
          <w:u w:val="single"/>
        </w:rPr>
        <w:t>[</w:t>
      </w:r>
      <w:r w:rsidR="00AB4AB2" w:rsidRPr="00AB4AB2">
        <w:rPr>
          <w:b/>
          <w:u w:val="single"/>
        </w:rPr>
        <w:t>New Slide 3 – MPs involved</w:t>
      </w:r>
      <w:r>
        <w:rPr>
          <w:b/>
          <w:u w:val="single"/>
        </w:rPr>
        <w:t>]</w:t>
      </w:r>
    </w:p>
    <w:p w14:paraId="4DCABBDE" w14:textId="017E4F2D" w:rsidR="00AB4AB2" w:rsidRDefault="00B06373">
      <w:r>
        <w:t xml:space="preserve">The following parties are </w:t>
      </w:r>
      <w:r w:rsidR="00AB4AB2">
        <w:t>involved during a M</w:t>
      </w:r>
      <w:r w:rsidR="00073E02">
        <w:t xml:space="preserve">ass </w:t>
      </w:r>
      <w:r w:rsidR="00AB4AB2">
        <w:t>T</w:t>
      </w:r>
      <w:r w:rsidR="00073E02">
        <w:t>ransition</w:t>
      </w:r>
      <w:r w:rsidR="00AB4AB2">
        <w:t xml:space="preserve"> event</w:t>
      </w:r>
      <w:r>
        <w:t>:</w:t>
      </w:r>
      <w:r w:rsidR="00AB4AB2">
        <w:t xml:space="preserve"> </w:t>
      </w:r>
      <w:r w:rsidR="00073E02">
        <w:t xml:space="preserve"> </w:t>
      </w:r>
      <w:r w:rsidR="00AB4AB2">
        <w:t xml:space="preserve">The </w:t>
      </w:r>
      <w:r w:rsidR="00E1444C">
        <w:t xml:space="preserve">Public Utility </w:t>
      </w:r>
      <w:r w:rsidR="00126B99">
        <w:t>Commission</w:t>
      </w:r>
      <w:r w:rsidR="00E1444C">
        <w:t xml:space="preserve"> of Texas</w:t>
      </w:r>
      <w:r>
        <w:t xml:space="preserve"> (P</w:t>
      </w:r>
      <w:r w:rsidR="00AB4AB2">
        <w:t>UCT</w:t>
      </w:r>
      <w:r>
        <w:t>)</w:t>
      </w:r>
      <w:r w:rsidR="00AB4AB2">
        <w:t xml:space="preserve">, </w:t>
      </w:r>
      <w:r w:rsidR="00E1444C">
        <w:t>the Electric reliability Council of Texas</w:t>
      </w:r>
      <w:r>
        <w:t xml:space="preserve"> (</w:t>
      </w:r>
      <w:r w:rsidR="00AB4AB2">
        <w:t>ERCOT</w:t>
      </w:r>
      <w:r>
        <w:t>)</w:t>
      </w:r>
      <w:r w:rsidR="00AB4AB2">
        <w:t xml:space="preserve"> the </w:t>
      </w:r>
      <w:r w:rsidR="00126B99">
        <w:t>T</w:t>
      </w:r>
      <w:r w:rsidR="00E1444C">
        <w:t>ransmission and Distribution Service Providers</w:t>
      </w:r>
      <w:r>
        <w:t xml:space="preserve"> (</w:t>
      </w:r>
      <w:r w:rsidR="00AB4AB2">
        <w:t>TDSPs</w:t>
      </w:r>
      <w:r>
        <w:t>)</w:t>
      </w:r>
      <w:r w:rsidR="00AB4AB2">
        <w:t>,</w:t>
      </w:r>
      <w:r w:rsidR="00073E02">
        <w:t xml:space="preserve"> the</w:t>
      </w:r>
      <w:r w:rsidR="00AB4AB2">
        <w:t xml:space="preserve"> Defaulting CR</w:t>
      </w:r>
      <w:r w:rsidR="00073E02">
        <w:t>,</w:t>
      </w:r>
      <w:r w:rsidR="00AB4AB2">
        <w:t xml:space="preserve"> which is the </w:t>
      </w:r>
      <w:r w:rsidR="00E1444C">
        <w:t>CR</w:t>
      </w:r>
      <w:r w:rsidR="00AB4AB2">
        <w:t xml:space="preserve"> exiting the market, the POLR CRs, and finally the impacted Customers.</w:t>
      </w:r>
      <w:r w:rsidR="00DB1FA2">
        <w:t xml:space="preserve"> They each play a role in the transfer of </w:t>
      </w:r>
      <w:r w:rsidR="00E1444C">
        <w:t>Customers</w:t>
      </w:r>
      <w:r w:rsidR="00DB1FA2">
        <w:t xml:space="preserve"> during a Mass Transition event.</w:t>
      </w:r>
    </w:p>
    <w:p w14:paraId="75961A72" w14:textId="77777777" w:rsidR="00AB4AB2" w:rsidRDefault="00AB4AB2"/>
    <w:p w14:paraId="1A818FB6" w14:textId="0D152B54" w:rsidR="00572038" w:rsidRPr="00AB4AB2" w:rsidRDefault="00073E02">
      <w:pPr>
        <w:rPr>
          <w:b/>
          <w:u w:val="single"/>
        </w:rPr>
      </w:pPr>
      <w:r>
        <w:rPr>
          <w:b/>
          <w:u w:val="single"/>
        </w:rPr>
        <w:t>[</w:t>
      </w:r>
      <w:r w:rsidR="00AB4AB2" w:rsidRPr="00AB4AB2">
        <w:rPr>
          <w:b/>
          <w:u w:val="single"/>
        </w:rPr>
        <w:t>New slide 4 – Definitions</w:t>
      </w:r>
      <w:r>
        <w:rPr>
          <w:b/>
          <w:u w:val="single"/>
        </w:rPr>
        <w:t>]</w:t>
      </w:r>
    </w:p>
    <w:p w14:paraId="7772FC2D" w14:textId="6F890033" w:rsidR="00AB4AB2" w:rsidRDefault="00DB1FA2">
      <w:r>
        <w:t>L</w:t>
      </w:r>
      <w:r w:rsidR="00297D97">
        <w:t xml:space="preserve">et’s define </w:t>
      </w:r>
      <w:r w:rsidR="00AB4AB2">
        <w:t>the</w:t>
      </w:r>
      <w:r w:rsidR="00297D97">
        <w:t xml:space="preserve"> </w:t>
      </w:r>
      <w:r>
        <w:t xml:space="preserve">Gaining </w:t>
      </w:r>
      <w:r w:rsidR="00297D97">
        <w:t>POLR REPs</w:t>
      </w:r>
      <w:r w:rsidR="00AB4AB2">
        <w:t>:</w:t>
      </w:r>
    </w:p>
    <w:p w14:paraId="114139FE" w14:textId="77777777" w:rsidR="00DB1FA2" w:rsidRDefault="00AB4AB2">
      <w:r w:rsidRPr="00AB4AB2">
        <w:t xml:space="preserve">There are two types of POLR providers: </w:t>
      </w:r>
      <w:r w:rsidRPr="00AB4AB2">
        <w:rPr>
          <w:b/>
          <w:bCs/>
          <w:i/>
          <w:iCs/>
        </w:rPr>
        <w:t>VREPs and LSPs</w:t>
      </w:r>
      <w:r w:rsidRPr="00AB4AB2">
        <w:t xml:space="preserve">. </w:t>
      </w:r>
      <w:r w:rsidR="00D06A94">
        <w:t xml:space="preserve"> </w:t>
      </w:r>
    </w:p>
    <w:p w14:paraId="4391847C" w14:textId="3885ABD0" w:rsidR="00DB1FA2" w:rsidRDefault="00DB1FA2" w:rsidP="00DB1FA2">
      <w:r>
        <w:t>A VREP, which stands for Volunteer REP, must apply and be approved by the PUCT to serve a select number of ESIIDs for each customer class in each POLR area (TDSP territory). For example, a VREP may apply to serve 100 medium non-residential ESI IDs in CenterPoint’s service territory and 200 small non-residential ESI IDs in Oncor’s service territory</w:t>
      </w:r>
      <w:r w:rsidR="001C5CF6">
        <w:t>.</w:t>
      </w:r>
      <w:r>
        <w:t xml:space="preserve"> For additional information on the application process, please refer to PUCT subst. rule 25.43(i). </w:t>
      </w:r>
    </w:p>
    <w:p w14:paraId="40946F53" w14:textId="1D45971B" w:rsidR="00DB1FA2" w:rsidRDefault="00B06373">
      <w:r>
        <w:lastRenderedPageBreak/>
        <w:t xml:space="preserve">A </w:t>
      </w:r>
      <w:r w:rsidR="00DB1FA2">
        <w:t>Large Service Provider</w:t>
      </w:r>
      <w:r>
        <w:t xml:space="preserve"> (or LSP)</w:t>
      </w:r>
      <w:r w:rsidR="00DB1FA2">
        <w:t xml:space="preserve"> is a REP designated by the PUCT to provide POLR service for each customer class in each POLR area (TDSP territory).  In each POLR area, the PUCT shall designate up to 15 LSPs. The eligible REPs that have the greatest market share based upon retail sales in megawatt-hours, by customer class, and POLR area shall be designated as an LSP for that area. For additional information on the requirements and selection process, refer to PUCT Substantive Rule 25.43(j).</w:t>
      </w:r>
    </w:p>
    <w:p w14:paraId="79D42D31" w14:textId="77777777" w:rsidR="00D244D3" w:rsidRDefault="00D244D3" w:rsidP="00DB1FA2"/>
    <w:p w14:paraId="54FB346D" w14:textId="1037809C" w:rsidR="00D244D3" w:rsidRPr="00AB4AB2" w:rsidRDefault="00D244D3" w:rsidP="00D244D3">
      <w:pPr>
        <w:rPr>
          <w:b/>
          <w:u w:val="single"/>
        </w:rPr>
      </w:pPr>
      <w:r>
        <w:rPr>
          <w:b/>
          <w:u w:val="single"/>
        </w:rPr>
        <w:t>[</w:t>
      </w:r>
      <w:r w:rsidRPr="00AB4AB2">
        <w:rPr>
          <w:b/>
          <w:u w:val="single"/>
        </w:rPr>
        <w:t xml:space="preserve">New slide </w:t>
      </w:r>
      <w:r>
        <w:rPr>
          <w:b/>
          <w:u w:val="single"/>
        </w:rPr>
        <w:t>4a</w:t>
      </w:r>
      <w:r w:rsidRPr="00AB4AB2">
        <w:rPr>
          <w:b/>
          <w:u w:val="single"/>
        </w:rPr>
        <w:t xml:space="preserve"> – </w:t>
      </w:r>
      <w:r>
        <w:rPr>
          <w:b/>
          <w:u w:val="single"/>
        </w:rPr>
        <w:t>Process]</w:t>
      </w:r>
    </w:p>
    <w:p w14:paraId="738CF89B" w14:textId="77777777" w:rsidR="00BD01B7" w:rsidRDefault="001C5CF6" w:rsidP="00DB1FA2">
      <w:r>
        <w:t>When a Mass Transition event occurs, ERCOT will allocate VREPs their population of ESIIDs first, and any remaining ESIIDs are divided amongst the LSPs</w:t>
      </w:r>
      <w:r w:rsidR="00072B20">
        <w:t xml:space="preserve"> on a load ratio share basis</w:t>
      </w:r>
      <w:r w:rsidR="00D244D3">
        <w:t>.</w:t>
      </w:r>
      <w:r w:rsidR="003E0B21">
        <w:t xml:space="preserve"> </w:t>
      </w:r>
    </w:p>
    <w:p w14:paraId="197F9AAC" w14:textId="022A55F7" w:rsidR="001C5CF6" w:rsidRDefault="003E0B21" w:rsidP="00DB1FA2">
      <w:r>
        <w:t xml:space="preserve"> </w:t>
      </w:r>
      <w:r w:rsidRPr="00B146AA">
        <w:t>For additional information on the allocation process, please refer to</w:t>
      </w:r>
      <w:r w:rsidR="00072B20" w:rsidRPr="00B146AA">
        <w:t xml:space="preserve"> </w:t>
      </w:r>
      <w:hyperlink r:id="rId9" w:history="1">
        <w:r w:rsidR="00072B20">
          <w:rPr>
            <w:rStyle w:val="Hyperlink"/>
          </w:rPr>
          <w:t>http://www.puc.texas.gov/consumer/electricity/Polr.aspx</w:t>
        </w:r>
      </w:hyperlink>
    </w:p>
    <w:p w14:paraId="4F5D71F4" w14:textId="0137FFDC" w:rsidR="001C5CF6" w:rsidRDefault="001C5CF6" w:rsidP="00DB1FA2">
      <w:r>
        <w:t>It is also important to note that b</w:t>
      </w:r>
      <w:r w:rsidR="00D06A94">
        <w:t xml:space="preserve">oth types of POLR providers must meet their own set of eligibility requirements </w:t>
      </w:r>
      <w:r w:rsidR="00297D97">
        <w:t xml:space="preserve">as </w:t>
      </w:r>
      <w:r w:rsidR="00D06A94">
        <w:t xml:space="preserve">set forth in </w:t>
      </w:r>
      <w:hyperlink r:id="rId10" w:history="1">
        <w:r w:rsidR="00D06A94" w:rsidRPr="009F05FF">
          <w:rPr>
            <w:rStyle w:val="Hyperlink"/>
          </w:rPr>
          <w:t>PUCT Subst. Rule 25.43</w:t>
        </w:r>
      </w:hyperlink>
      <w:r>
        <w:t xml:space="preserve">. </w:t>
      </w:r>
    </w:p>
    <w:p w14:paraId="6F6E0646" w14:textId="77777777" w:rsidR="00DB1FA2" w:rsidRDefault="001C5CF6" w:rsidP="00DB1FA2">
      <w:r>
        <w:t xml:space="preserve">Lastly, a </w:t>
      </w:r>
      <w:r w:rsidR="00DB1FA2" w:rsidRPr="00AB4AB2">
        <w:t xml:space="preserve">VREP or LSP may be designated to serve any or all of the four </w:t>
      </w:r>
      <w:r w:rsidR="00DB1FA2">
        <w:t>customer classes in a POLR area or TDSP territory</w:t>
      </w:r>
      <w:r w:rsidR="00A07959">
        <w:t>. The four customer classes a</w:t>
      </w:r>
      <w:r>
        <w:t>re Residential, Small Non-Residential, Medium Non-Residential, and Large Non-Residential</w:t>
      </w:r>
      <w:r w:rsidR="00DB1FA2">
        <w:t>.</w:t>
      </w:r>
      <w:r w:rsidR="00DB1FA2" w:rsidRPr="00AB4AB2">
        <w:t xml:space="preserve"> </w:t>
      </w:r>
    </w:p>
    <w:p w14:paraId="6ED1BA2A" w14:textId="3621D341" w:rsidR="00BD01B7" w:rsidRDefault="00AB4AB2">
      <w:pPr>
        <w:rPr>
          <w:b/>
          <w:u w:val="single"/>
        </w:rPr>
      </w:pPr>
      <w:r w:rsidRPr="00AB4AB2">
        <w:t xml:space="preserve"> </w:t>
      </w:r>
      <w:r w:rsidR="00297D97">
        <w:t>Small, medium and large non-residential are defined by their peak demands.  Small non-residential customers have demands below 50 kilowatts while large non-residential are over 1 megawatt.  Medium are defined as those in between 50 kW and 1 megawatt.</w:t>
      </w:r>
      <w:r>
        <w:br/>
      </w:r>
      <w:r>
        <w:br/>
      </w:r>
    </w:p>
    <w:p w14:paraId="75176652" w14:textId="6A7C538B" w:rsidR="0014079E" w:rsidRDefault="00717786">
      <w:pPr>
        <w:rPr>
          <w:b/>
          <w:u w:val="single"/>
        </w:rPr>
      </w:pPr>
      <w:r>
        <w:rPr>
          <w:b/>
          <w:u w:val="single"/>
        </w:rPr>
        <w:t>[</w:t>
      </w:r>
      <w:r w:rsidR="0014079E" w:rsidRPr="0014079E">
        <w:rPr>
          <w:b/>
          <w:u w:val="single"/>
        </w:rPr>
        <w:t>Slide 5 –</w:t>
      </w:r>
      <w:r w:rsidR="0014079E">
        <w:rPr>
          <w:b/>
          <w:u w:val="single"/>
        </w:rPr>
        <w:t xml:space="preserve"> PUCT</w:t>
      </w:r>
      <w:r w:rsidR="00596F5C">
        <w:rPr>
          <w:b/>
          <w:u w:val="single"/>
        </w:rPr>
        <w:t xml:space="preserve"> responsibilities</w:t>
      </w:r>
      <w:r>
        <w:rPr>
          <w:b/>
          <w:u w:val="single"/>
        </w:rPr>
        <w:t>]</w:t>
      </w:r>
    </w:p>
    <w:p w14:paraId="1DBD5A2B" w14:textId="76573E21" w:rsidR="00C66E94" w:rsidRDefault="00B06373">
      <w:r>
        <w:t>L</w:t>
      </w:r>
      <w:r w:rsidR="00BD01B7">
        <w:t>et’s</w:t>
      </w:r>
      <w:r w:rsidR="00A07959">
        <w:t xml:space="preserve"> </w:t>
      </w:r>
      <w:r>
        <w:t xml:space="preserve">now </w:t>
      </w:r>
      <w:r w:rsidR="00A07959">
        <w:t xml:space="preserve">explore </w:t>
      </w:r>
      <w:r w:rsidR="00C66E94">
        <w:t>the roles and responsibilities of each of the M</w:t>
      </w:r>
      <w:r w:rsidR="00717786">
        <w:t xml:space="preserve">arket participants </w:t>
      </w:r>
      <w:r w:rsidR="00C66E94">
        <w:t>involved</w:t>
      </w:r>
      <w:r w:rsidR="00A07959">
        <w:t xml:space="preserve"> during a Mass Transition event.</w:t>
      </w:r>
    </w:p>
    <w:p w14:paraId="0438D933" w14:textId="71596524" w:rsidR="00C66E94" w:rsidRDefault="00BD01B7">
      <w:r>
        <w:t xml:space="preserve">We’ll </w:t>
      </w:r>
      <w:r w:rsidR="00C66E94">
        <w:t>start with the PUCT</w:t>
      </w:r>
      <w:r w:rsidR="009F05FF">
        <w:t>, the Public Utility Commission of Texas.</w:t>
      </w:r>
    </w:p>
    <w:p w14:paraId="13F12823" w14:textId="77777777" w:rsidR="00717786" w:rsidRDefault="00C66E94">
      <w:r>
        <w:t xml:space="preserve">They </w:t>
      </w:r>
      <w:r w:rsidR="00A07959">
        <w:t xml:space="preserve">serve as the oversight body, and </w:t>
      </w:r>
      <w:r>
        <w:t>coordinate</w:t>
      </w:r>
      <w:r w:rsidR="00A07959">
        <w:t>s</w:t>
      </w:r>
      <w:r>
        <w:t xml:space="preserve"> with ERCOT staff on the initiation of the mass transition event.  </w:t>
      </w:r>
    </w:p>
    <w:p w14:paraId="259D7971" w14:textId="4005E4F9" w:rsidR="00717786" w:rsidRDefault="00BD01B7">
      <w:r>
        <w:t xml:space="preserve">The PUCT </w:t>
      </w:r>
      <w:r w:rsidR="00A07959">
        <w:t>oversee</w:t>
      </w:r>
      <w:r>
        <w:t>s</w:t>
      </w:r>
      <w:r w:rsidR="00C66E94">
        <w:t xml:space="preserve"> the entire event and participate</w:t>
      </w:r>
      <w:r>
        <w:t>s</w:t>
      </w:r>
      <w:r w:rsidR="00C66E94">
        <w:t xml:space="preserve"> in the daily project coordination calls to ensure a</w:t>
      </w:r>
      <w:r w:rsidR="00A07959">
        <w:t>ll parties involved are performing their assigned tasks.</w:t>
      </w:r>
      <w:r w:rsidR="00C66E94">
        <w:t xml:space="preserve"> </w:t>
      </w:r>
    </w:p>
    <w:p w14:paraId="2548BCC5" w14:textId="3D2DF53B" w:rsidR="00C66E94" w:rsidRPr="00C66E94" w:rsidRDefault="00A07959">
      <w:r>
        <w:t xml:space="preserve">Administratively, </w:t>
      </w:r>
      <w:r w:rsidR="00BD01B7">
        <w:t xml:space="preserve">the </w:t>
      </w:r>
      <w:r w:rsidR="00C66E94">
        <w:t>PUCT also manage</w:t>
      </w:r>
      <w:r>
        <w:t>s</w:t>
      </w:r>
      <w:r w:rsidR="00C66E94">
        <w:t xml:space="preserve"> the decertification process of the Defaulting CR exiting the market.</w:t>
      </w:r>
    </w:p>
    <w:p w14:paraId="727E8770" w14:textId="77777777" w:rsidR="0014079E" w:rsidRDefault="0014079E"/>
    <w:p w14:paraId="7B1EC487" w14:textId="77777777" w:rsidR="00F07BBD" w:rsidRPr="0014079E" w:rsidRDefault="00717786">
      <w:pPr>
        <w:rPr>
          <w:b/>
          <w:u w:val="single"/>
        </w:rPr>
      </w:pPr>
      <w:r>
        <w:rPr>
          <w:b/>
          <w:u w:val="single"/>
        </w:rPr>
        <w:t>[</w:t>
      </w:r>
      <w:r w:rsidR="0014079E" w:rsidRPr="0014079E">
        <w:rPr>
          <w:b/>
          <w:u w:val="single"/>
        </w:rPr>
        <w:t xml:space="preserve">Slide 6 -- </w:t>
      </w:r>
      <w:r w:rsidR="009124DE" w:rsidRPr="0014079E">
        <w:rPr>
          <w:b/>
          <w:u w:val="single"/>
        </w:rPr>
        <w:t>E</w:t>
      </w:r>
      <w:r w:rsidR="0014079E" w:rsidRPr="0014079E">
        <w:rPr>
          <w:b/>
          <w:u w:val="single"/>
        </w:rPr>
        <w:t>RCOT responsibilities</w:t>
      </w:r>
      <w:r>
        <w:rPr>
          <w:b/>
          <w:u w:val="single"/>
        </w:rPr>
        <w:t>]</w:t>
      </w:r>
    </w:p>
    <w:p w14:paraId="66665E29" w14:textId="0BF77B7E" w:rsidR="00C66E94" w:rsidRDefault="00C66E94">
      <w:r>
        <w:t xml:space="preserve">Let’s look at the </w:t>
      </w:r>
      <w:r w:rsidR="00717786">
        <w:t>many responsibilities of ERCOT</w:t>
      </w:r>
      <w:r w:rsidR="009F05FF">
        <w:t>.</w:t>
      </w:r>
    </w:p>
    <w:p w14:paraId="227FB3B8" w14:textId="77777777" w:rsidR="0092457C" w:rsidRDefault="00312F51" w:rsidP="0092457C">
      <w:pPr>
        <w:spacing w:after="240"/>
        <w:ind w:left="720" w:hanging="720"/>
        <w:rPr>
          <w:iCs/>
          <w:szCs w:val="20"/>
        </w:rPr>
      </w:pPr>
      <w:r>
        <w:lastRenderedPageBreak/>
        <w:t>ERCOT’s</w:t>
      </w:r>
      <w:r w:rsidR="00C66E94">
        <w:t xml:space="preserve"> responsibility is to manage the entire Mass Transition event from initiation to conclusion.  </w:t>
      </w:r>
      <w:r w:rsidR="0092457C">
        <w:rPr>
          <w:iCs/>
          <w:szCs w:val="20"/>
        </w:rPr>
        <w:t>ERCOT is responsible for managing the daily activities and transactions of Market Participants throughout the event.</w:t>
      </w:r>
    </w:p>
    <w:p w14:paraId="791BF879" w14:textId="6B1B45C6" w:rsidR="00FA4281" w:rsidRDefault="00312F51" w:rsidP="00925D8D">
      <w:r>
        <w:t>They</w:t>
      </w:r>
      <w:r w:rsidR="00BD01B7">
        <w:t xml:space="preserve"> </w:t>
      </w:r>
      <w:r w:rsidR="00C66E94">
        <w:t xml:space="preserve">coordinate </w:t>
      </w:r>
      <w:r w:rsidR="007478C9">
        <w:t xml:space="preserve">communications </w:t>
      </w:r>
      <w:r w:rsidR="00C66E94">
        <w:t xml:space="preserve">with PUCT Staff </w:t>
      </w:r>
      <w:r w:rsidR="00C66E94" w:rsidRPr="00C85DC7">
        <w:rPr>
          <w:i/>
        </w:rPr>
        <w:t>before</w:t>
      </w:r>
      <w:r w:rsidR="00C66E94">
        <w:t xml:space="preserve">, </w:t>
      </w:r>
      <w:r w:rsidR="00C66E94" w:rsidRPr="00C85DC7">
        <w:rPr>
          <w:i/>
        </w:rPr>
        <w:t>during,</w:t>
      </w:r>
      <w:r w:rsidR="00C66E94">
        <w:t xml:space="preserve"> and </w:t>
      </w:r>
      <w:r w:rsidR="00C66E94" w:rsidRPr="00C85DC7">
        <w:rPr>
          <w:i/>
        </w:rPr>
        <w:t>after</w:t>
      </w:r>
      <w:r w:rsidR="00C66E94">
        <w:t xml:space="preserve"> a Mass Transition Event</w:t>
      </w:r>
      <w:r w:rsidR="007478C9">
        <w:t xml:space="preserve">, and </w:t>
      </w:r>
      <w:r w:rsidR="00B437CC">
        <w:t>serve as</w:t>
      </w:r>
      <w:r w:rsidR="007478C9">
        <w:t xml:space="preserve"> the initiator of </w:t>
      </w:r>
      <w:r w:rsidR="00B437CC">
        <w:t>the Drop to POLR transaction with the TDSPs</w:t>
      </w:r>
      <w:r w:rsidR="00C66E94">
        <w:t xml:space="preserve">. </w:t>
      </w:r>
    </w:p>
    <w:p w14:paraId="51D2BDA8" w14:textId="77777777" w:rsidR="00FA4281" w:rsidRDefault="00FA4281" w:rsidP="00925D8D">
      <w:r>
        <w:t>ERCOT is responsible for informing the market of the POLR event. If it is determined that a Mass transition event will occur due to the default of a CR, ERCOT then will provide a Market Notice to affected TDSPs, POLR REPs, the defaulting, or losing CR and the appropriate PUCT Staff. ERCOT will also initiate coordination calls with the market.</w:t>
      </w:r>
    </w:p>
    <w:p w14:paraId="56099045" w14:textId="7D0E88C4" w:rsidR="00FA4281" w:rsidRDefault="00FA4281" w:rsidP="00925D8D">
      <w:r>
        <w:t xml:space="preserve">In the </w:t>
      </w:r>
      <w:r w:rsidR="00596F5C">
        <w:t>first</w:t>
      </w:r>
      <w:r>
        <w:t xml:space="preserve"> notification of a Mass Transition event, ERCOT’s initial notice will provide information that confirms the event, the identification of the defaulting or losing CR, the total number of ESI IDs that are being transitioned, the estimated load of the CR, the date and other logistical details. </w:t>
      </w:r>
    </w:p>
    <w:p w14:paraId="56178A6E" w14:textId="10D53D28" w:rsidR="006B7D31" w:rsidRDefault="00C66E94" w:rsidP="0092457C">
      <w:pPr>
        <w:spacing w:after="240"/>
        <w:ind w:left="720" w:hanging="720"/>
        <w:rPr>
          <w:iCs/>
          <w:szCs w:val="20"/>
        </w:rPr>
      </w:pPr>
      <w:r>
        <w:t xml:space="preserve"> </w:t>
      </w:r>
      <w:r w:rsidR="00FA4281">
        <w:rPr>
          <w:iCs/>
          <w:szCs w:val="20"/>
        </w:rPr>
        <w:t>ERCOT is also responsible for communications to the affected customers</w:t>
      </w:r>
      <w:r w:rsidR="00951383">
        <w:rPr>
          <w:iCs/>
          <w:szCs w:val="20"/>
        </w:rPr>
        <w:t xml:space="preserve"> through multiple means based on the contact information provided by the defaulting CR.</w:t>
      </w:r>
      <w:r w:rsidR="009F05FF">
        <w:rPr>
          <w:iCs/>
          <w:szCs w:val="20"/>
        </w:rPr>
        <w:t xml:space="preserve"> </w:t>
      </w:r>
      <w:r w:rsidR="001B680D">
        <w:rPr>
          <w:iCs/>
          <w:szCs w:val="20"/>
        </w:rPr>
        <w:t xml:space="preserve">ERCOT </w:t>
      </w:r>
      <w:r w:rsidR="00596F5C">
        <w:rPr>
          <w:iCs/>
          <w:szCs w:val="20"/>
        </w:rPr>
        <w:t>will</w:t>
      </w:r>
      <w:r w:rsidR="001B680D">
        <w:rPr>
          <w:iCs/>
          <w:szCs w:val="20"/>
        </w:rPr>
        <w:t xml:space="preserve"> </w:t>
      </w:r>
      <w:r w:rsidR="00312F51">
        <w:rPr>
          <w:iCs/>
          <w:szCs w:val="20"/>
        </w:rPr>
        <w:t xml:space="preserve">calculate </w:t>
      </w:r>
      <w:r w:rsidR="001B680D">
        <w:rPr>
          <w:iCs/>
          <w:szCs w:val="20"/>
        </w:rPr>
        <w:t xml:space="preserve">the ESI </w:t>
      </w:r>
      <w:r w:rsidR="006B7D31">
        <w:rPr>
          <w:iCs/>
          <w:szCs w:val="20"/>
        </w:rPr>
        <w:t xml:space="preserve">ID </w:t>
      </w:r>
      <w:r w:rsidR="001B680D">
        <w:rPr>
          <w:iCs/>
          <w:szCs w:val="20"/>
        </w:rPr>
        <w:t xml:space="preserve">allocation between </w:t>
      </w:r>
      <w:r w:rsidR="006B7D31">
        <w:rPr>
          <w:iCs/>
          <w:szCs w:val="20"/>
        </w:rPr>
        <w:t xml:space="preserve">the </w:t>
      </w:r>
      <w:r w:rsidR="001B680D">
        <w:rPr>
          <w:iCs/>
          <w:szCs w:val="20"/>
        </w:rPr>
        <w:t>VREPs and LSPs</w:t>
      </w:r>
      <w:r w:rsidR="006B7D31">
        <w:rPr>
          <w:iCs/>
          <w:szCs w:val="20"/>
        </w:rPr>
        <w:t xml:space="preserve">.  This process is described </w:t>
      </w:r>
      <w:r w:rsidR="001B680D">
        <w:rPr>
          <w:iCs/>
          <w:szCs w:val="20"/>
        </w:rPr>
        <w:t xml:space="preserve">in </w:t>
      </w:r>
      <w:r w:rsidR="006B7D31">
        <w:rPr>
          <w:iCs/>
          <w:szCs w:val="20"/>
        </w:rPr>
        <w:t xml:space="preserve">detail in </w:t>
      </w:r>
      <w:hyperlink r:id="rId11" w:history="1">
        <w:r w:rsidR="001B680D" w:rsidRPr="0092457C">
          <w:rPr>
            <w:rStyle w:val="Hyperlink"/>
            <w:iCs/>
            <w:szCs w:val="20"/>
          </w:rPr>
          <w:t>PUCT Substantive Rule 25.43</w:t>
        </w:r>
      </w:hyperlink>
      <w:r w:rsidR="006B7D31">
        <w:rPr>
          <w:iCs/>
          <w:szCs w:val="20"/>
        </w:rPr>
        <w:t>.  Allocations are made</w:t>
      </w:r>
      <w:r w:rsidR="001B680D">
        <w:rPr>
          <w:iCs/>
          <w:szCs w:val="20"/>
        </w:rPr>
        <w:t xml:space="preserve"> for each customer class in each POLR area</w:t>
      </w:r>
      <w:r w:rsidR="006B7D31">
        <w:rPr>
          <w:iCs/>
          <w:szCs w:val="20"/>
        </w:rPr>
        <w:t xml:space="preserve"> or TDSP territory</w:t>
      </w:r>
      <w:r w:rsidR="003E0B21">
        <w:rPr>
          <w:iCs/>
          <w:szCs w:val="20"/>
        </w:rPr>
        <w:t>.</w:t>
      </w:r>
      <w:r w:rsidR="001B680D">
        <w:rPr>
          <w:iCs/>
          <w:szCs w:val="20"/>
        </w:rPr>
        <w:t xml:space="preserve"> </w:t>
      </w:r>
    </w:p>
    <w:p w14:paraId="71B8435D" w14:textId="50BF82A1" w:rsidR="009124DE" w:rsidRDefault="00B437CC">
      <w:pPr>
        <w:spacing w:after="240"/>
      </w:pPr>
      <w:r>
        <w:t xml:space="preserve">Finally, </w:t>
      </w:r>
      <w:r w:rsidR="009124DE">
        <w:t xml:space="preserve"> ERCOT coordinates </w:t>
      </w:r>
      <w:r w:rsidR="00BD5A32">
        <w:t xml:space="preserve">all </w:t>
      </w:r>
      <w:r w:rsidR="009124DE">
        <w:t>daily project coordination calls</w:t>
      </w:r>
      <w:r w:rsidR="00BD5A32">
        <w:t xml:space="preserve"> until conclusion of the event</w:t>
      </w:r>
      <w:r w:rsidR="004F30F2">
        <w:t xml:space="preserve">, and will make the final determination of </w:t>
      </w:r>
      <w:r w:rsidR="009124DE">
        <w:t>the completi</w:t>
      </w:r>
      <w:r w:rsidR="00C26494">
        <w:t>on of the Mass Transition Event</w:t>
      </w:r>
      <w:r w:rsidR="004F30F2">
        <w:t xml:space="preserve"> -- </w:t>
      </w:r>
      <w:r w:rsidR="00BD5A32">
        <w:t xml:space="preserve">ensuring all impacted ESI IDs have been transitioned </w:t>
      </w:r>
      <w:r w:rsidR="00C26494">
        <w:t>and communicates that to the market.</w:t>
      </w:r>
    </w:p>
    <w:p w14:paraId="44FD3142" w14:textId="24D42FC9" w:rsidR="00210034" w:rsidRDefault="00312F51">
      <w:pPr>
        <w:spacing w:after="240"/>
      </w:pPr>
      <w:r w:rsidRPr="00925D8D">
        <w:t>To ensure the process performs as designed</w:t>
      </w:r>
      <w:r w:rsidR="00210034" w:rsidRPr="00925D8D">
        <w:t>, ERCOT will conduct a</w:t>
      </w:r>
      <w:r w:rsidR="009D2BA3" w:rsidRPr="00925D8D">
        <w:t xml:space="preserve">n annual </w:t>
      </w:r>
      <w:r w:rsidR="00210034" w:rsidRPr="00925D8D">
        <w:t xml:space="preserve">Mass Transition Drill with TDSPs and designated LSPs in </w:t>
      </w:r>
      <w:r w:rsidR="00C37ED6" w:rsidRPr="00925D8D">
        <w:t>test</w:t>
      </w:r>
      <w:r w:rsidR="00210034" w:rsidRPr="00925D8D">
        <w:t xml:space="preserve"> environments, typically</w:t>
      </w:r>
      <w:r w:rsidR="009D2BA3" w:rsidRPr="00925D8D">
        <w:t xml:space="preserve"> performed</w:t>
      </w:r>
      <w:r w:rsidR="00210034" w:rsidRPr="00925D8D">
        <w:t xml:space="preserve"> in the Spring, to test the functionality and market processes </w:t>
      </w:r>
      <w:r w:rsidR="009D2BA3" w:rsidRPr="00925D8D">
        <w:t>ensuring an efficient transition of a large number of ESIs.  The abbreviated drill monitors the flow and receipt of the transactions of the TDSPs and designated LSPs.</w:t>
      </w:r>
    </w:p>
    <w:p w14:paraId="40578F29" w14:textId="77777777" w:rsidR="009124DE" w:rsidRDefault="009124DE"/>
    <w:p w14:paraId="7A1BFE18" w14:textId="57D84115" w:rsidR="009124DE" w:rsidRPr="0014079E" w:rsidRDefault="00BD5A32">
      <w:pPr>
        <w:rPr>
          <w:b/>
          <w:u w:val="single"/>
        </w:rPr>
      </w:pPr>
      <w:r w:rsidRPr="00925D8D">
        <w:rPr>
          <w:b/>
          <w:u w:val="single"/>
        </w:rPr>
        <w:t>[</w:t>
      </w:r>
      <w:r w:rsidR="0014079E" w:rsidRPr="00925D8D">
        <w:rPr>
          <w:b/>
          <w:u w:val="single"/>
        </w:rPr>
        <w:t xml:space="preserve">Slide 7 </w:t>
      </w:r>
      <w:r w:rsidRPr="00925D8D">
        <w:rPr>
          <w:b/>
          <w:u w:val="single"/>
        </w:rPr>
        <w:t>–</w:t>
      </w:r>
      <w:r w:rsidR="0014079E" w:rsidRPr="00925D8D">
        <w:rPr>
          <w:b/>
          <w:u w:val="single"/>
        </w:rPr>
        <w:t xml:space="preserve"> TDSP</w:t>
      </w:r>
      <w:r w:rsidR="00312F51" w:rsidRPr="00925D8D">
        <w:rPr>
          <w:b/>
          <w:u w:val="single"/>
        </w:rPr>
        <w:t xml:space="preserve"> responsibilities</w:t>
      </w:r>
      <w:r w:rsidRPr="00925D8D">
        <w:rPr>
          <w:b/>
          <w:u w:val="single"/>
        </w:rPr>
        <w:t>]</w:t>
      </w:r>
    </w:p>
    <w:p w14:paraId="3BBA659A" w14:textId="30493BDC" w:rsidR="009124DE" w:rsidRDefault="009124DE" w:rsidP="00925D8D">
      <w:r>
        <w:t>T</w:t>
      </w:r>
      <w:r w:rsidR="00BD5A32">
        <w:t>DSP</w:t>
      </w:r>
      <w:r>
        <w:t>s also have an important role in the process. They are responsible for</w:t>
      </w:r>
      <w:r w:rsidR="00312F51">
        <w:t xml:space="preserve"> e</w:t>
      </w:r>
      <w:r w:rsidR="00C26494">
        <w:t>xecuting</w:t>
      </w:r>
      <w:r>
        <w:t xml:space="preserve"> the transactions </w:t>
      </w:r>
      <w:r w:rsidR="00C26494">
        <w:t>during a</w:t>
      </w:r>
      <w:r>
        <w:t xml:space="preserve"> MT event.</w:t>
      </w:r>
      <w:r w:rsidR="00312F51">
        <w:t xml:space="preserve"> </w:t>
      </w:r>
      <w:r>
        <w:t xml:space="preserve">Initially, they </w:t>
      </w:r>
      <w:r w:rsidR="00C26494">
        <w:t>will</w:t>
      </w:r>
      <w:r>
        <w:t xml:space="preserve"> prepare their systems to </w:t>
      </w:r>
      <w:r w:rsidR="00C26494">
        <w:t xml:space="preserve">be able to </w:t>
      </w:r>
      <w:r>
        <w:t>receive the Drop to POLR transaction from ERCOT</w:t>
      </w:r>
      <w:r w:rsidR="00312F51">
        <w:t xml:space="preserve"> (</w:t>
      </w:r>
      <w:commentRangeStart w:id="1"/>
      <w:r w:rsidR="00312F51">
        <w:t>an 814_03TS</w:t>
      </w:r>
      <w:commentRangeEnd w:id="1"/>
      <w:r w:rsidR="00911D53">
        <w:rPr>
          <w:rStyle w:val="CommentReference"/>
        </w:rPr>
        <w:commentReference w:id="1"/>
      </w:r>
      <w:r w:rsidR="00312F51">
        <w:t>)</w:t>
      </w:r>
      <w:r>
        <w:t>.</w:t>
      </w:r>
    </w:p>
    <w:p w14:paraId="25C3FF8F" w14:textId="03E32CEF" w:rsidR="008D6BF6" w:rsidRDefault="009124DE" w:rsidP="00925D8D">
      <w:r>
        <w:t>The TDSP schedule</w:t>
      </w:r>
      <w:r w:rsidR="004D688D">
        <w:t>s</w:t>
      </w:r>
      <w:r>
        <w:t xml:space="preserve"> the Drop to POLR transaction for the </w:t>
      </w:r>
      <w:r w:rsidR="00312F51">
        <w:t xml:space="preserve">Mass Transition </w:t>
      </w:r>
      <w:r>
        <w:t xml:space="preserve">event </w:t>
      </w:r>
      <w:r w:rsidR="00C26494">
        <w:t xml:space="preserve">according to timelines </w:t>
      </w:r>
      <w:r w:rsidR="00312F51">
        <w:t>prescribed for this process</w:t>
      </w:r>
      <w:r w:rsidR="00C26494">
        <w:t xml:space="preserve">.  </w:t>
      </w:r>
      <w:r w:rsidR="004D688D">
        <w:t xml:space="preserve">The </w:t>
      </w:r>
      <w:r w:rsidR="008D6BF6">
        <w:t xml:space="preserve">TDSP will also execute and complete any non-POLR </w:t>
      </w:r>
      <w:r w:rsidR="004D688D">
        <w:t xml:space="preserve">“competitive” </w:t>
      </w:r>
      <w:r w:rsidR="008D6BF6">
        <w:t xml:space="preserve">switch or </w:t>
      </w:r>
      <w:r w:rsidR="00312F51">
        <w:t xml:space="preserve">Move-Ins </w:t>
      </w:r>
      <w:r w:rsidR="008D6BF6">
        <w:t>scheduled up to 7 PM (</w:t>
      </w:r>
      <w:r w:rsidR="00620AC4">
        <w:t>Central Prevailing Time</w:t>
      </w:r>
      <w:r w:rsidR="008D6BF6">
        <w:t xml:space="preserve">) of the </w:t>
      </w:r>
      <w:r w:rsidR="00620AC4">
        <w:t xml:space="preserve">Mass transition </w:t>
      </w:r>
      <w:r w:rsidR="008D6BF6">
        <w:t>effective date.</w:t>
      </w:r>
    </w:p>
    <w:p w14:paraId="27F31D32" w14:textId="12FD1B63" w:rsidR="009124DE" w:rsidRDefault="008D6BF6" w:rsidP="00925D8D">
      <w:r>
        <w:t xml:space="preserve">For all </w:t>
      </w:r>
      <w:r w:rsidR="004D688D">
        <w:t xml:space="preserve">remaining, </w:t>
      </w:r>
      <w:r>
        <w:t>scheduled Drop to POLR transactions, t</w:t>
      </w:r>
      <w:r w:rsidR="00C26494">
        <w:t xml:space="preserve">he TDSPs </w:t>
      </w:r>
      <w:r>
        <w:t xml:space="preserve">will </w:t>
      </w:r>
      <w:r w:rsidR="009124DE">
        <w:t>perform meter reads on the Mass Transition Effective date.</w:t>
      </w:r>
      <w:r w:rsidR="00620AC4">
        <w:t xml:space="preserve"> </w:t>
      </w:r>
      <w:r w:rsidR="004D688D">
        <w:t>Lastly, to complete the Business Process Instance for the Mass Transition event, the TDSPs will</w:t>
      </w:r>
      <w:r w:rsidR="00E645A2">
        <w:t xml:space="preserve"> </w:t>
      </w:r>
      <w:r w:rsidR="009124DE">
        <w:t xml:space="preserve">send to ERCOT the Final </w:t>
      </w:r>
      <w:r w:rsidR="00C26494">
        <w:t xml:space="preserve">meter </w:t>
      </w:r>
      <w:r w:rsidR="009124DE">
        <w:t xml:space="preserve">read </w:t>
      </w:r>
      <w:r w:rsidR="0092457C">
        <w:t xml:space="preserve"> (as an 867_03 transaction) which will be forwarded </w:t>
      </w:r>
      <w:r w:rsidR="009124DE">
        <w:t xml:space="preserve">to the Losing/Defaulting CR </w:t>
      </w:r>
      <w:r w:rsidR="004D688D">
        <w:t xml:space="preserve"> </w:t>
      </w:r>
      <w:r w:rsidR="00E645A2">
        <w:t>the</w:t>
      </w:r>
      <w:r w:rsidR="009124DE">
        <w:t xml:space="preserve"> Initial read </w:t>
      </w:r>
      <w:r w:rsidR="00620AC4">
        <w:t>(as an EDI 867_04 transaction)</w:t>
      </w:r>
      <w:r w:rsidR="009124DE">
        <w:t xml:space="preserve"> </w:t>
      </w:r>
      <w:r w:rsidR="0092457C">
        <w:t xml:space="preserve">which will be forwarded </w:t>
      </w:r>
      <w:r w:rsidR="009124DE">
        <w:t>to the new/Gaining CR.</w:t>
      </w:r>
    </w:p>
    <w:p w14:paraId="34B3CB20" w14:textId="573DE453" w:rsidR="00E645A2" w:rsidRDefault="004D688D" w:rsidP="00F81563">
      <w:r>
        <w:lastRenderedPageBreak/>
        <w:t xml:space="preserve">Along with the other Market Participants, TDSPs will also participate </w:t>
      </w:r>
      <w:r w:rsidR="00E645A2">
        <w:t xml:space="preserve">on </w:t>
      </w:r>
      <w:r w:rsidR="00F81563">
        <w:t xml:space="preserve">the </w:t>
      </w:r>
      <w:r w:rsidR="00E645A2">
        <w:t>daily Project Coordination Calls</w:t>
      </w:r>
      <w:r>
        <w:t xml:space="preserve"> to ensure all transition activities are executed as planned.</w:t>
      </w:r>
    </w:p>
    <w:p w14:paraId="70845ACC" w14:textId="14F8E097" w:rsidR="00E645A2" w:rsidRPr="0014079E" w:rsidRDefault="0014079E" w:rsidP="00E645A2">
      <w:pPr>
        <w:rPr>
          <w:b/>
          <w:u w:val="single"/>
        </w:rPr>
      </w:pPr>
      <w:r w:rsidRPr="0014079E">
        <w:rPr>
          <w:b/>
          <w:u w:val="single"/>
        </w:rPr>
        <w:t>Slide 8 -- Defaulting CR</w:t>
      </w:r>
      <w:r w:rsidR="00D142B6">
        <w:rPr>
          <w:b/>
          <w:u w:val="single"/>
        </w:rPr>
        <w:t xml:space="preserve"> responsibilities</w:t>
      </w:r>
    </w:p>
    <w:p w14:paraId="45F7F138" w14:textId="43B00F5F" w:rsidR="00E30EE9" w:rsidRDefault="00102ACE" w:rsidP="00925D8D">
      <w:r>
        <w:t>The</w:t>
      </w:r>
      <w:r w:rsidR="00F81563">
        <w:t xml:space="preserve"> </w:t>
      </w:r>
      <w:r w:rsidR="00E645A2">
        <w:t xml:space="preserve">Defaulting CR </w:t>
      </w:r>
      <w:r w:rsidR="00F81563">
        <w:t xml:space="preserve">has a role to play during the mass transition event.  </w:t>
      </w:r>
      <w:r>
        <w:t>They must p</w:t>
      </w:r>
      <w:r w:rsidR="00E645A2">
        <w:t xml:space="preserve">rovide ERCOT an updated </w:t>
      </w:r>
      <w:r w:rsidR="00620AC4">
        <w:t>Customer Billing Contact Information (</w:t>
      </w:r>
      <w:r w:rsidR="00E645A2">
        <w:t>CBCI</w:t>
      </w:r>
      <w:r w:rsidR="00620AC4">
        <w:t>)</w:t>
      </w:r>
      <w:r w:rsidR="00E645A2">
        <w:t xml:space="preserve"> file</w:t>
      </w:r>
      <w:r w:rsidR="00F81563">
        <w:t xml:space="preserve"> for </w:t>
      </w:r>
      <w:r>
        <w:t xml:space="preserve">ERCOT &amp; POLR provider </w:t>
      </w:r>
      <w:r w:rsidR="00F81563">
        <w:t>customer outreach</w:t>
      </w:r>
      <w:r w:rsidR="00620AC4">
        <w:t>. The Defaulting CR</w:t>
      </w:r>
      <w:r w:rsidR="008D6BF6">
        <w:t xml:space="preserve"> must also be able to receive the Drop Response </w:t>
      </w:r>
      <w:r w:rsidR="00620AC4">
        <w:t xml:space="preserve">(as an EDI 814_11 transaction) </w:t>
      </w:r>
      <w:r w:rsidR="008D6BF6">
        <w:t>from ERCOT ending their liability for the ESI</w:t>
      </w:r>
      <w:r>
        <w:t>ID</w:t>
      </w:r>
      <w:r w:rsidR="00620AC4">
        <w:t xml:space="preserve">. </w:t>
      </w:r>
    </w:p>
    <w:p w14:paraId="495AF472" w14:textId="2026C1B2" w:rsidR="00E645A2" w:rsidRDefault="00102ACE" w:rsidP="00925D8D">
      <w:r>
        <w:t>The</w:t>
      </w:r>
      <w:r w:rsidR="00620AC4">
        <w:t xml:space="preserve">y </w:t>
      </w:r>
      <w:r>
        <w:t>must a</w:t>
      </w:r>
      <w:r w:rsidR="00F81563">
        <w:t>lso s</w:t>
      </w:r>
      <w:r w:rsidR="00E645A2">
        <w:t>end their Customers a Notification of Default</w:t>
      </w:r>
      <w:r w:rsidR="00F81563">
        <w:t xml:space="preserve"> as required by the PUC</w:t>
      </w:r>
      <w:r w:rsidR="00620AC4">
        <w:t>.</w:t>
      </w:r>
      <w:r w:rsidR="00F81563">
        <w:t xml:space="preserve"> </w:t>
      </w:r>
      <w:r>
        <w:t xml:space="preserve">Lastly, </w:t>
      </w:r>
      <w:r w:rsidR="00620AC4">
        <w:t xml:space="preserve">the Defaulting CR must </w:t>
      </w:r>
      <w:r w:rsidR="00F81563">
        <w:t>p</w:t>
      </w:r>
      <w:r w:rsidR="00E645A2">
        <w:t xml:space="preserve">articipate </w:t>
      </w:r>
      <w:r>
        <w:t xml:space="preserve">on </w:t>
      </w:r>
      <w:r w:rsidR="00E645A2">
        <w:t>the Daily Project Coordination Calls</w:t>
      </w:r>
      <w:r>
        <w:t>.</w:t>
      </w:r>
    </w:p>
    <w:p w14:paraId="41608B50" w14:textId="77777777" w:rsidR="00E645A2" w:rsidRDefault="00E645A2" w:rsidP="00E645A2"/>
    <w:p w14:paraId="2FCD43FF" w14:textId="2ACCCBC9" w:rsidR="00E645A2" w:rsidRPr="0014079E" w:rsidRDefault="0014079E" w:rsidP="00E645A2">
      <w:pPr>
        <w:rPr>
          <w:b/>
          <w:u w:val="single"/>
        </w:rPr>
      </w:pPr>
      <w:r w:rsidRPr="0014079E">
        <w:rPr>
          <w:b/>
          <w:u w:val="single"/>
        </w:rPr>
        <w:t>Slide 9 -- POLR CR</w:t>
      </w:r>
      <w:r w:rsidR="00D142B6">
        <w:rPr>
          <w:b/>
          <w:u w:val="single"/>
        </w:rPr>
        <w:t xml:space="preserve"> responsibilities</w:t>
      </w:r>
    </w:p>
    <w:p w14:paraId="7FE8575E" w14:textId="7526DF44" w:rsidR="00572038" w:rsidRDefault="00E645A2" w:rsidP="00925D8D">
      <w:r>
        <w:t>VREPs and LSPs</w:t>
      </w:r>
      <w:r w:rsidR="00B06373">
        <w:t xml:space="preserve"> </w:t>
      </w:r>
      <w:r w:rsidR="0092457C">
        <w:t>(the POLR REPs)</w:t>
      </w:r>
      <w:r>
        <w:t xml:space="preserve"> must prepare their systems to receive the Drop Enrollment Request transaction </w:t>
      </w:r>
      <w:r w:rsidR="00E30EE9">
        <w:t xml:space="preserve">(as an EDI 814_14 transaction) </w:t>
      </w:r>
      <w:r>
        <w:t>from ERCOT.</w:t>
      </w:r>
      <w:r w:rsidR="00E30EE9">
        <w:t xml:space="preserve"> </w:t>
      </w:r>
      <w:r>
        <w:t>POLR REPs will integrate the Customer contact information received on the CBCI file from ERCOT</w:t>
      </w:r>
      <w:r w:rsidR="00E30EE9">
        <w:t xml:space="preserve">. </w:t>
      </w:r>
      <w:r>
        <w:t xml:space="preserve">POLR REPs are also responsible for providing communications and outreach to impacted customers as required in </w:t>
      </w:r>
      <w:hyperlink r:id="rId14" w:history="1">
        <w:r w:rsidRPr="0092457C">
          <w:rPr>
            <w:rStyle w:val="Hyperlink"/>
          </w:rPr>
          <w:t xml:space="preserve">PUCT </w:t>
        </w:r>
        <w:r w:rsidR="008D6BF6" w:rsidRPr="0092457C">
          <w:rPr>
            <w:rStyle w:val="Hyperlink"/>
          </w:rPr>
          <w:t xml:space="preserve">Substantive Rule </w:t>
        </w:r>
        <w:r w:rsidRPr="0092457C">
          <w:rPr>
            <w:rStyle w:val="Hyperlink"/>
          </w:rPr>
          <w:t>25.43</w:t>
        </w:r>
      </w:hyperlink>
      <w:r w:rsidR="00E30EE9">
        <w:t>. They</w:t>
      </w:r>
      <w:r>
        <w:t xml:space="preserve"> must also participate in </w:t>
      </w:r>
      <w:r w:rsidR="008D6BF6">
        <w:t xml:space="preserve">the </w:t>
      </w:r>
      <w:r>
        <w:t>Daily Project Coordination Calls</w:t>
      </w:r>
      <w:r w:rsidR="00102ACE">
        <w:t>, and</w:t>
      </w:r>
      <w:r w:rsidR="00E30EE9">
        <w:t xml:space="preserve"> </w:t>
      </w:r>
      <w:r w:rsidR="00572038">
        <w:t>are ultimately responsible for establishing a relationship with the Customer acquired through the MT event.</w:t>
      </w:r>
    </w:p>
    <w:p w14:paraId="0F6CA058" w14:textId="5C67805A" w:rsidR="00EC657F" w:rsidRDefault="0092457C" w:rsidP="00C30680">
      <w:r>
        <w:t>[</w:t>
      </w:r>
      <w:r w:rsidR="00C37ED6" w:rsidRPr="00925D8D">
        <w:t>This may be good as a pop-up</w:t>
      </w:r>
      <w:r>
        <w:t>]</w:t>
      </w:r>
      <w:r w:rsidR="00C37ED6" w:rsidRPr="00925D8D">
        <w:t xml:space="preserve"> </w:t>
      </w:r>
      <w:r w:rsidR="00EC657F" w:rsidRPr="00925D8D">
        <w:t>As a reminder, the POLR CRs are to ensure all contact information for Authorized Representatives is current with ERCOT as communications regarding the event will be</w:t>
      </w:r>
      <w:r w:rsidR="00E30EE9" w:rsidRPr="00925D8D">
        <w:t xml:space="preserve"> distributed using that information</w:t>
      </w:r>
      <w:r w:rsidR="00EC657F" w:rsidRPr="00925D8D">
        <w:t>.</w:t>
      </w:r>
    </w:p>
    <w:p w14:paraId="555018B9" w14:textId="77777777" w:rsidR="00572038" w:rsidRDefault="00572038" w:rsidP="00572038"/>
    <w:p w14:paraId="7CD1595B" w14:textId="77777777" w:rsidR="00572038" w:rsidRPr="0014079E" w:rsidRDefault="0014079E" w:rsidP="00572038">
      <w:pPr>
        <w:rPr>
          <w:b/>
          <w:u w:val="single"/>
        </w:rPr>
      </w:pPr>
      <w:r w:rsidRPr="0014079E">
        <w:rPr>
          <w:b/>
          <w:u w:val="single"/>
        </w:rPr>
        <w:t>Slide 10 -- Customers</w:t>
      </w:r>
    </w:p>
    <w:p w14:paraId="065DE455" w14:textId="2E9131F2" w:rsidR="00572038" w:rsidRDefault="00572038" w:rsidP="00572038">
      <w:r>
        <w:t>Customer also play a role during the Mass Transition event. When informed of the event by ERCOT, customers have the opportunity to switch to their REP of choice prior to the M</w:t>
      </w:r>
      <w:r w:rsidR="0092457C">
        <w:t xml:space="preserve">ass </w:t>
      </w:r>
      <w:r>
        <w:t>T</w:t>
      </w:r>
      <w:r w:rsidR="0092457C">
        <w:t>ransition</w:t>
      </w:r>
      <w:r>
        <w:t xml:space="preserve"> Effective Date. </w:t>
      </w:r>
    </w:p>
    <w:p w14:paraId="3119ACD0" w14:textId="546DA99A" w:rsidR="00E30EE9" w:rsidRDefault="00102ACE" w:rsidP="00E30EE9">
      <w:pPr>
        <w:spacing w:after="240"/>
      </w:pPr>
      <w:r>
        <w:t xml:space="preserve">If the </w:t>
      </w:r>
      <w:r w:rsidR="00572038">
        <w:t>Customer choose</w:t>
      </w:r>
      <w:r>
        <w:t>s</w:t>
      </w:r>
      <w:r w:rsidR="00572038">
        <w:t xml:space="preserve"> another </w:t>
      </w:r>
      <w:r w:rsidR="0092457C">
        <w:t>REP</w:t>
      </w:r>
      <w:r>
        <w:t>, they may do so</w:t>
      </w:r>
      <w:r w:rsidR="00572038">
        <w:t xml:space="preserve"> without penalty from the Defaulting/Losing CR or </w:t>
      </w:r>
      <w:r w:rsidR="008D6BF6">
        <w:t>POLR</w:t>
      </w:r>
      <w:r w:rsidR="00572038">
        <w:t>/Gaining CR.</w:t>
      </w:r>
      <w:r w:rsidR="00E30EE9">
        <w:t xml:space="preserve"> If a customer does chose a new REP prior to the Mass Transition effective date , ERCOT will monitor the scheduling of a non-POLR (or “competitive”) switch or Move In, and will initiate a cancel transaction (as an EDI 814_08 transaction) to the impacted Market participants which will cancel the associated, scheduled Drop to POLR transaction.</w:t>
      </w:r>
    </w:p>
    <w:p w14:paraId="29BBC96F" w14:textId="77777777" w:rsidR="00572038" w:rsidRDefault="00572038" w:rsidP="00572038">
      <w:r>
        <w:t>If no action is taken by the Customer, they will be transitioned to the POLR REP</w:t>
      </w:r>
      <w:r w:rsidR="00102ACE">
        <w:t>, and subject to POLR rates</w:t>
      </w:r>
      <w:r>
        <w:t>.</w:t>
      </w:r>
    </w:p>
    <w:p w14:paraId="242B80DE" w14:textId="77777777" w:rsidR="00572038" w:rsidRDefault="00572038" w:rsidP="00572038"/>
    <w:p w14:paraId="33FB7A73" w14:textId="77777777" w:rsidR="00572038" w:rsidRPr="00572038" w:rsidRDefault="0014079E" w:rsidP="00572038">
      <w:pPr>
        <w:rPr>
          <w:b/>
          <w:u w:val="single"/>
        </w:rPr>
      </w:pPr>
      <w:r>
        <w:rPr>
          <w:b/>
          <w:u w:val="single"/>
        </w:rPr>
        <w:t>Slide 11 -- Timeline</w:t>
      </w:r>
    </w:p>
    <w:p w14:paraId="51955149" w14:textId="6F502751" w:rsidR="00572038" w:rsidRDefault="008D6BF6" w:rsidP="00572038">
      <w:r>
        <w:t>Now that market participants and their roles</w:t>
      </w:r>
      <w:r w:rsidR="00C2378C">
        <w:t xml:space="preserve"> have been defined</w:t>
      </w:r>
      <w:r>
        <w:t xml:space="preserve">, </w:t>
      </w:r>
      <w:r w:rsidR="000C46FE">
        <w:t>we can</w:t>
      </w:r>
      <w:r w:rsidR="00C2378C">
        <w:t xml:space="preserve"> </w:t>
      </w:r>
      <w:r>
        <w:t>look at the timeline for executing a mass transition event.</w:t>
      </w:r>
    </w:p>
    <w:p w14:paraId="685C509B" w14:textId="79689467" w:rsidR="008D6BF6" w:rsidRDefault="008D6BF6" w:rsidP="00572038">
      <w:r>
        <w:lastRenderedPageBreak/>
        <w:t xml:space="preserve">For the purpose of the timeline, </w:t>
      </w:r>
      <w:r w:rsidR="000067C3">
        <w:t>let’s</w:t>
      </w:r>
      <w:r>
        <w:t xml:space="preserve"> define the following dates:</w:t>
      </w:r>
    </w:p>
    <w:p w14:paraId="388D4A83" w14:textId="1E848CD8" w:rsidR="008D6BF6" w:rsidRDefault="008D6BF6" w:rsidP="00572038">
      <w:r>
        <w:t xml:space="preserve">First is the </w:t>
      </w:r>
      <w:r w:rsidRPr="002E3A58">
        <w:rPr>
          <w:u w:val="single"/>
        </w:rPr>
        <w:t>Notification date</w:t>
      </w:r>
      <w:r>
        <w:t xml:space="preserve">.  This </w:t>
      </w:r>
      <w:r w:rsidR="000067C3">
        <w:t xml:space="preserve">is </w:t>
      </w:r>
      <w:r>
        <w:t>the date on which ERCOT sends the initial Mass Transition Market Notice to affected parties informing them that a Mass Transition will occur as a result of a Market participant default, also known as the pre-launch stage in the process.</w:t>
      </w:r>
    </w:p>
    <w:p w14:paraId="1F705544" w14:textId="5E1BEEEB" w:rsidR="008D6BF6" w:rsidRDefault="00057BCE" w:rsidP="00572038">
      <w:r>
        <w:t>Next</w:t>
      </w:r>
      <w:r w:rsidR="008D6BF6">
        <w:t xml:space="preserve">, is </w:t>
      </w:r>
      <w:r w:rsidR="008D6BF6" w:rsidRPr="002E3A58">
        <w:rPr>
          <w:u w:val="single"/>
        </w:rPr>
        <w:t xml:space="preserve">Calendar Day 0 </w:t>
      </w:r>
      <w:r w:rsidR="008D6BF6">
        <w:t xml:space="preserve">– this is the date that ERCOT sends the Enrollment Notifications Request </w:t>
      </w:r>
      <w:r w:rsidR="000067C3">
        <w:t xml:space="preserve">(as an EDI 814_03TS  transaction) </w:t>
      </w:r>
      <w:r w:rsidR="008D6BF6">
        <w:t>to the TDSPs.  Th</w:t>
      </w:r>
      <w:r w:rsidR="002E3A58">
        <w:t>is</w:t>
      </w:r>
      <w:r w:rsidR="008D6BF6">
        <w:t xml:space="preserve"> can occur on the Notification date.</w:t>
      </w:r>
    </w:p>
    <w:p w14:paraId="3383C4BB" w14:textId="70A98CE7" w:rsidR="002E3A58" w:rsidRDefault="002E3A58" w:rsidP="00572038">
      <w:r>
        <w:t xml:space="preserve">The </w:t>
      </w:r>
      <w:r w:rsidRPr="002E3A58">
        <w:rPr>
          <w:u w:val="single"/>
        </w:rPr>
        <w:t>Mass Transition Date</w:t>
      </w:r>
      <w:r>
        <w:t xml:space="preserve"> is the Scheduled Meter Read or SMRD that will be equal to Calendar Day 0 plus two days.  This will be the date requested in the </w:t>
      </w:r>
      <w:r w:rsidR="000067C3">
        <w:t xml:space="preserve">Enrollment Notifications Request ( or 814_03TS) </w:t>
      </w:r>
      <w:r>
        <w:t>transaction from ERCOT to the TDSPs.  POLR CRs will be responsible for impacted ESI IDs no earlier than the Mass Transition effective date during a POLR event.</w:t>
      </w:r>
    </w:p>
    <w:p w14:paraId="35554DD6" w14:textId="77777777" w:rsidR="000067C3" w:rsidRDefault="000067C3" w:rsidP="00572038">
      <w:pPr>
        <w:rPr>
          <w:b/>
          <w:u w:val="single"/>
        </w:rPr>
      </w:pPr>
    </w:p>
    <w:p w14:paraId="7E88D8A5" w14:textId="77777777" w:rsidR="002E3A58" w:rsidRDefault="002E3A58" w:rsidP="00572038">
      <w:pPr>
        <w:rPr>
          <w:b/>
          <w:u w:val="single"/>
        </w:rPr>
      </w:pPr>
      <w:r w:rsidRPr="002E3A58">
        <w:rPr>
          <w:b/>
          <w:u w:val="single"/>
        </w:rPr>
        <w:t>Slide 12 – Timeline of a Mass Transition</w:t>
      </w:r>
    </w:p>
    <w:p w14:paraId="62EC2448" w14:textId="0EB94B15" w:rsidR="002E3A58" w:rsidRDefault="000C46FE" w:rsidP="00572038">
      <w:r>
        <w:t xml:space="preserve">The following diagram can be found in the </w:t>
      </w:r>
      <w:r w:rsidR="00F7004B">
        <w:t>Retail Market Guide</w:t>
      </w:r>
      <w:r>
        <w:t>,</w:t>
      </w:r>
      <w:r w:rsidR="00F7004B">
        <w:t xml:space="preserve"> Section 9</w:t>
      </w:r>
      <w:r>
        <w:t>,</w:t>
      </w:r>
      <w:r w:rsidR="00F7004B">
        <w:t xml:space="preserve"> Appendix F2.  </w:t>
      </w:r>
    </w:p>
    <w:p w14:paraId="1838BF31" w14:textId="0448258C" w:rsidR="00F7004B" w:rsidRDefault="00F7004B" w:rsidP="00572038">
      <w:r>
        <w:t xml:space="preserve">On </w:t>
      </w:r>
      <w:r w:rsidRPr="005441A2">
        <w:rPr>
          <w:u w:val="single"/>
        </w:rPr>
        <w:t>Calendar Day -1</w:t>
      </w:r>
      <w:r>
        <w:t xml:space="preserve">, </w:t>
      </w:r>
      <w:r w:rsidR="000067C3">
        <w:t>or</w:t>
      </w:r>
      <w:r>
        <w:t xml:space="preserve"> Notification Date, ERCOT provides notice of </w:t>
      </w:r>
      <w:r w:rsidR="00E26FA4">
        <w:t xml:space="preserve">the </w:t>
      </w:r>
      <w:r w:rsidR="000067C3">
        <w:t>Mass Transition</w:t>
      </w:r>
      <w:r>
        <w:t xml:space="preserve"> event to impacted </w:t>
      </w:r>
      <w:r w:rsidR="000067C3">
        <w:t>Competitive Retailers</w:t>
      </w:r>
      <w:r>
        <w:t xml:space="preserve">, </w:t>
      </w:r>
      <w:r w:rsidR="000067C3">
        <w:t>transmission Distribution Service Providers</w:t>
      </w:r>
      <w:r>
        <w:t xml:space="preserve">, and </w:t>
      </w:r>
      <w:r w:rsidR="00392F6C">
        <w:t xml:space="preserve">the </w:t>
      </w:r>
      <w:r w:rsidR="000067C3">
        <w:t>Public Utility Commission of Texas</w:t>
      </w:r>
      <w:r>
        <w:t xml:space="preserve">.  If the notification occurs prior to 3 PM </w:t>
      </w:r>
      <w:r w:rsidR="000067C3">
        <w:t>Central Prevailing Time</w:t>
      </w:r>
      <w:r>
        <w:t xml:space="preserve">, the initial </w:t>
      </w:r>
      <w:r w:rsidR="00392F6C">
        <w:t>Project Coordination Call</w:t>
      </w:r>
      <w:r>
        <w:t xml:space="preserve"> will be </w:t>
      </w:r>
      <w:r w:rsidR="00E26FA4">
        <w:t>facilitated</w:t>
      </w:r>
      <w:r>
        <w:t xml:space="preserve"> by ERCOT by 5 PM that same day.  If the notification occurs after 3 PM, the initial Project Coordination Call will be held the next </w:t>
      </w:r>
      <w:r w:rsidR="00392F6C">
        <w:t xml:space="preserve">morning. </w:t>
      </w:r>
      <w:r>
        <w:t xml:space="preserve">Keep in mind, </w:t>
      </w:r>
      <w:r w:rsidR="00392F6C">
        <w:t>a default can only occur on a business and banking day. Once a default is confirmed</w:t>
      </w:r>
      <w:r w:rsidR="00057BCE">
        <w:t xml:space="preserve"> and communicated to PUCT Staff</w:t>
      </w:r>
      <w:r w:rsidR="00392F6C">
        <w:t xml:space="preserve">, ERCOT </w:t>
      </w:r>
      <w:r w:rsidR="00057BCE">
        <w:t xml:space="preserve">will </w:t>
      </w:r>
      <w:r w:rsidR="00392F6C">
        <w:t xml:space="preserve">provide impacted TDSPs with the Defaulting CR’s DUNS Number in order to prepare </w:t>
      </w:r>
      <w:r w:rsidR="00E26FA4">
        <w:t xml:space="preserve">their </w:t>
      </w:r>
      <w:r w:rsidR="00392F6C">
        <w:t xml:space="preserve">systems for the </w:t>
      </w:r>
      <w:r w:rsidR="000067C3">
        <w:t>Mass transition</w:t>
      </w:r>
      <w:r w:rsidR="00392F6C">
        <w:t xml:space="preserve"> event.  </w:t>
      </w:r>
    </w:p>
    <w:p w14:paraId="540B76E4" w14:textId="2EA7945E" w:rsidR="00392F6C" w:rsidRDefault="00392F6C" w:rsidP="00572038">
      <w:r>
        <w:t xml:space="preserve">On </w:t>
      </w:r>
      <w:r w:rsidRPr="005441A2">
        <w:rPr>
          <w:u w:val="single"/>
        </w:rPr>
        <w:t>Calendar Day 0</w:t>
      </w:r>
      <w:r>
        <w:t xml:space="preserve">, which may also be the </w:t>
      </w:r>
      <w:r w:rsidRPr="005441A2">
        <w:rPr>
          <w:u w:val="single"/>
        </w:rPr>
        <w:t>Notification date</w:t>
      </w:r>
      <w:r w:rsidR="007657C7">
        <w:t>, ERCOT sends the Drop to POLR transaction</w:t>
      </w:r>
      <w:r w:rsidR="000067C3">
        <w:t xml:space="preserve"> </w:t>
      </w:r>
      <w:r w:rsidR="007657C7">
        <w:t>to TDSPs with an effective date two calendar days</w:t>
      </w:r>
      <w:r w:rsidR="00057BCE">
        <w:t>. This is known as</w:t>
      </w:r>
      <w:r w:rsidR="007657C7">
        <w:t xml:space="preserve"> the Mass Transition Date.  TDSPs </w:t>
      </w:r>
      <w:r w:rsidR="00057BCE">
        <w:t xml:space="preserve">will </w:t>
      </w:r>
      <w:r w:rsidR="007657C7">
        <w:t>schedule the DROP to POLR transactions</w:t>
      </w:r>
      <w:r w:rsidR="00057BCE">
        <w:t xml:space="preserve"> accordingly</w:t>
      </w:r>
      <w:r w:rsidR="007657C7">
        <w:t xml:space="preserve">.  </w:t>
      </w:r>
      <w:r w:rsidR="00057BCE">
        <w:t>And t</w:t>
      </w:r>
      <w:r w:rsidR="007657C7">
        <w:t xml:space="preserve">he Defaulting CR must provide their CBCI </w:t>
      </w:r>
      <w:r w:rsidR="00057BCE">
        <w:t xml:space="preserve">(customer billing and contact information) </w:t>
      </w:r>
      <w:r w:rsidR="007657C7">
        <w:t xml:space="preserve">file to ERCOT for processing.  </w:t>
      </w:r>
    </w:p>
    <w:p w14:paraId="53831A1F" w14:textId="6DF3A573" w:rsidR="00C2378C" w:rsidRDefault="007657C7" w:rsidP="009F05FF">
      <w:pPr>
        <w:pStyle w:val="ListParagraph"/>
        <w:ind w:left="0"/>
        <w:rPr>
          <w:iCs/>
          <w:szCs w:val="20"/>
        </w:rPr>
      </w:pPr>
      <w:r>
        <w:t xml:space="preserve">On </w:t>
      </w:r>
      <w:r w:rsidRPr="005441A2">
        <w:rPr>
          <w:u w:val="single"/>
        </w:rPr>
        <w:t>Calendar Day 1</w:t>
      </w:r>
      <w:r>
        <w:t>,</w:t>
      </w:r>
      <w:r w:rsidR="00593440">
        <w:t xml:space="preserve"> </w:t>
      </w:r>
      <w:r w:rsidR="009265C6">
        <w:t>A Daily Project Coordination call will</w:t>
      </w:r>
      <w:r w:rsidR="003517A2">
        <w:t xml:space="preserve"> </w:t>
      </w:r>
      <w:r w:rsidR="003517A2" w:rsidRPr="009F05FF">
        <w:t>be</w:t>
      </w:r>
      <w:r w:rsidR="009265C6">
        <w:t xml:space="preserve"> held to discuss the status of transactions and address any questions market participants may have. </w:t>
      </w:r>
      <w:r w:rsidR="00593440">
        <w:t xml:space="preserve">ERCOT will provide </w:t>
      </w:r>
      <w:r w:rsidR="00C2378C" w:rsidRPr="009F05FF">
        <w:rPr>
          <w:iCs/>
          <w:szCs w:val="20"/>
        </w:rPr>
        <w:t>a list of respective ESIs to each impacted market participant’s authorized contacts via an email</w:t>
      </w:r>
      <w:r w:rsidR="00C2378C">
        <w:rPr>
          <w:iCs/>
          <w:szCs w:val="20"/>
        </w:rPr>
        <w:t xml:space="preserve"> and </w:t>
      </w:r>
      <w:r w:rsidR="00593440">
        <w:t xml:space="preserve">the </w:t>
      </w:r>
      <w:r w:rsidR="004815A0">
        <w:t>Customer Billing Contact Information (</w:t>
      </w:r>
      <w:r w:rsidR="00593440">
        <w:t>CBCI</w:t>
      </w:r>
      <w:r w:rsidR="004815A0">
        <w:t>)</w:t>
      </w:r>
      <w:r w:rsidR="00593440">
        <w:t xml:space="preserve"> file </w:t>
      </w:r>
      <w:r w:rsidR="00E26FA4">
        <w:t xml:space="preserve">to </w:t>
      </w:r>
      <w:r w:rsidR="00C2378C">
        <w:t xml:space="preserve">appropriate </w:t>
      </w:r>
      <w:r w:rsidR="00E26FA4">
        <w:t xml:space="preserve">POLR REPs </w:t>
      </w:r>
      <w:r w:rsidR="003517A2" w:rsidRPr="009F05FF">
        <w:t>via NAESB</w:t>
      </w:r>
      <w:r w:rsidR="00911D53">
        <w:t xml:space="preserve"> (an electronic file delivery)</w:t>
      </w:r>
      <w:r w:rsidR="003517A2">
        <w:t xml:space="preserve"> </w:t>
      </w:r>
      <w:r w:rsidR="00615AC6">
        <w:t>t</w:t>
      </w:r>
      <w:r w:rsidR="00057BCE">
        <w:t xml:space="preserve">o assist the REP with customer outreach. </w:t>
      </w:r>
      <w:r w:rsidR="00C2378C" w:rsidRPr="00693E53">
        <w:rPr>
          <w:iCs/>
          <w:szCs w:val="20"/>
        </w:rPr>
        <w:t>Therefore, the assigned POLR CR will receive customer information on their allocated ESI IDs</w:t>
      </w:r>
      <w:r w:rsidR="00C2378C">
        <w:rPr>
          <w:iCs/>
          <w:szCs w:val="20"/>
        </w:rPr>
        <w:t xml:space="preserve"> only</w:t>
      </w:r>
      <w:r w:rsidR="00C2378C">
        <w:t xml:space="preserve">. For more information on the format and attributes of the CBCI file see Section 9 of the Retail Market Guide. </w:t>
      </w:r>
      <w:r w:rsidR="00AB2BAB" w:rsidRPr="009F05FF">
        <w:rPr>
          <w:iCs/>
          <w:szCs w:val="20"/>
        </w:rPr>
        <w:t>It is important each market participant has to up to date information for the Transition/Acquisition contacts on file with ERCOT.  Any updates are to be made with ERCOT Client Services via an NCI form (Notice of Change of Information).</w:t>
      </w:r>
      <w:r w:rsidR="00AB2BAB">
        <w:rPr>
          <w:iCs/>
          <w:szCs w:val="20"/>
        </w:rPr>
        <w:t xml:space="preserve">  </w:t>
      </w:r>
    </w:p>
    <w:p w14:paraId="4DDCC7CB" w14:textId="77777777" w:rsidR="00C2378C" w:rsidRDefault="00C2378C" w:rsidP="009F05FF">
      <w:pPr>
        <w:pStyle w:val="ListParagraph"/>
        <w:ind w:left="0"/>
        <w:rPr>
          <w:iCs/>
          <w:szCs w:val="20"/>
        </w:rPr>
      </w:pPr>
    </w:p>
    <w:p w14:paraId="420638D5" w14:textId="0A6A4786" w:rsidR="007657C7" w:rsidRDefault="00057BCE" w:rsidP="009F05FF">
      <w:pPr>
        <w:pStyle w:val="ListParagraph"/>
        <w:ind w:left="0"/>
      </w:pPr>
      <w:r>
        <w:t xml:space="preserve">ERCOT will </w:t>
      </w:r>
      <w:r w:rsidR="00AB2BAB">
        <w:t>initiate</w:t>
      </w:r>
      <w:r w:rsidR="008F0740">
        <w:t xml:space="preserve"> the process</w:t>
      </w:r>
      <w:r w:rsidR="00E26FA4">
        <w:t xml:space="preserve"> to transition the impacted ESI IDs</w:t>
      </w:r>
      <w:r>
        <w:t xml:space="preserve"> to the Gaining POLR REP</w:t>
      </w:r>
      <w:r w:rsidR="00E26FA4">
        <w:t xml:space="preserve"> </w:t>
      </w:r>
      <w:r w:rsidR="00C2378C">
        <w:t>and also</w:t>
      </w:r>
      <w:r w:rsidR="00615AC6">
        <w:t xml:space="preserve"> forward any non-POLR or ‘competitive’ switch or move in transactions to the TDSP for scheduling.  TDSPs will execute the ‘competitive’ non-POLR transaction</w:t>
      </w:r>
      <w:r w:rsidR="00C2378C">
        <w:t>s</w:t>
      </w:r>
      <w:r w:rsidR="00615AC6">
        <w:t xml:space="preserve"> in lieu of the scheduled DROP to POLR transaction.  Once a non-POLR transaction is completed for a given ESIID, ERCOT will send cancel </w:t>
      </w:r>
      <w:r w:rsidR="00615AC6">
        <w:lastRenderedPageBreak/>
        <w:t xml:space="preserve">transactions to </w:t>
      </w:r>
      <w:r w:rsidR="009265C6">
        <w:t>all impacted parties to cancel</w:t>
      </w:r>
      <w:r w:rsidR="00615AC6">
        <w:t xml:space="preserve"> the scheduled DROP to POLR transaction.  </w:t>
      </w:r>
      <w:r w:rsidR="00615AC6">
        <w:br/>
      </w:r>
      <w:r w:rsidR="00615AC6">
        <w:br/>
        <w:t>In addition to managing the transactions between Market Participants, o</w:t>
      </w:r>
      <w:r w:rsidR="00EB7C8B">
        <w:t xml:space="preserve">n Calendar Day 1, </w:t>
      </w:r>
      <w:r w:rsidR="00593440">
        <w:t xml:space="preserve"> </w:t>
      </w:r>
      <w:r w:rsidR="007657C7">
        <w:t xml:space="preserve">ERCOT </w:t>
      </w:r>
      <w:r w:rsidR="00EB7C8B">
        <w:t xml:space="preserve">also </w:t>
      </w:r>
      <w:r w:rsidR="007657C7">
        <w:t xml:space="preserve">begins outreach to impacted customers to inform them of the Mass Transition event via email, phone, or text and sends out the required Commission sealed postcard.  </w:t>
      </w:r>
    </w:p>
    <w:p w14:paraId="03BF2098" w14:textId="5421C928" w:rsidR="007657C7" w:rsidRDefault="007657C7" w:rsidP="00572038">
      <w:r>
        <w:t xml:space="preserve">Day 2, known as the </w:t>
      </w:r>
      <w:r w:rsidRPr="005441A2">
        <w:rPr>
          <w:u w:val="single"/>
        </w:rPr>
        <w:t>Mass Transition Date</w:t>
      </w:r>
      <w:r>
        <w:t xml:space="preserve">, </w:t>
      </w:r>
      <w:r w:rsidR="009265C6">
        <w:t xml:space="preserve">A Daily Project Coordination call will be held to update the market on the status of the event and allow market participants the opportunity to address any questions. </w:t>
      </w:r>
      <w:r w:rsidR="0056438D">
        <w:t xml:space="preserve">ERCOT </w:t>
      </w:r>
      <w:r w:rsidR="009265C6">
        <w:t xml:space="preserve">will </w:t>
      </w:r>
      <w:r w:rsidR="0056438D">
        <w:t>continue forward</w:t>
      </w:r>
      <w:r w:rsidR="009265C6">
        <w:t>ing</w:t>
      </w:r>
      <w:r w:rsidR="0056438D">
        <w:t xml:space="preserve"> any “competitive’ </w:t>
      </w:r>
      <w:r w:rsidR="009265C6">
        <w:t xml:space="preserve">non-POLR switch </w:t>
      </w:r>
      <w:r w:rsidR="0056438D">
        <w:t xml:space="preserve">or </w:t>
      </w:r>
      <w:r w:rsidR="009265C6">
        <w:t xml:space="preserve">move in </w:t>
      </w:r>
      <w:r w:rsidR="0056438D">
        <w:t xml:space="preserve">transactions to the TDSPs for processing.  The TDSP will execute any ‘competitive’ </w:t>
      </w:r>
      <w:r w:rsidR="009265C6">
        <w:t xml:space="preserve">non-POLR switch </w:t>
      </w:r>
      <w:r w:rsidR="0056438D">
        <w:t xml:space="preserve">or </w:t>
      </w:r>
      <w:r w:rsidR="009265C6">
        <w:t xml:space="preserve">move in </w:t>
      </w:r>
      <w:r w:rsidR="0056438D">
        <w:t xml:space="preserve">transaction on an impacted ESI ID if received by 7 PM CPT.  Beginning, 7:01 PM CPT, TDSPs will begin </w:t>
      </w:r>
      <w:r w:rsidR="00EB7C8B">
        <w:t xml:space="preserve">to process the Drop to POLR </w:t>
      </w:r>
      <w:r w:rsidR="00D02502">
        <w:t>transactions that have not been cancelled</w:t>
      </w:r>
      <w:r w:rsidR="009265C6">
        <w:t xml:space="preserve"> by a “competitive” non-POLR transaction</w:t>
      </w:r>
      <w:r w:rsidR="00274AC3">
        <w:t xml:space="preserve">. TDSPs will perform meter reads </w:t>
      </w:r>
      <w:r w:rsidR="009265C6">
        <w:t xml:space="preserve">on Day 2 </w:t>
      </w:r>
      <w:r w:rsidR="00274AC3">
        <w:t>for the Mass Transition Date</w:t>
      </w:r>
      <w:r w:rsidR="009265C6">
        <w:t xml:space="preserve"> which is included within the </w:t>
      </w:r>
      <w:r w:rsidR="008F0740">
        <w:t>Final and Initial meter read notifications</w:t>
      </w:r>
      <w:r w:rsidR="00274AC3">
        <w:t xml:space="preserve">.   ERCOT will continue to monitor to ensure all impacted ESI IIDs have transitioned to either a REP of </w:t>
      </w:r>
      <w:r w:rsidR="004815A0">
        <w:t xml:space="preserve">their </w:t>
      </w:r>
      <w:r w:rsidR="00274AC3">
        <w:t xml:space="preserve">choice or the designated POLR REP.  </w:t>
      </w:r>
    </w:p>
    <w:p w14:paraId="56521932" w14:textId="074FC383" w:rsidR="00C41875" w:rsidRDefault="00274AC3" w:rsidP="00572038">
      <w:r>
        <w:t xml:space="preserve">Days 3 and 4 will continue with Daily Project Coordination calls with market participants hosted by ERCOT.  By Day 5, TDSPs will send to ERCOT the final </w:t>
      </w:r>
      <w:r w:rsidR="008F0740">
        <w:t>meter read</w:t>
      </w:r>
      <w:r>
        <w:t xml:space="preserve"> which </w:t>
      </w:r>
      <w:r w:rsidR="009265C6">
        <w:t xml:space="preserve">is </w:t>
      </w:r>
      <w:r w:rsidR="00911D53">
        <w:t>fowarded</w:t>
      </w:r>
      <w:r w:rsidR="009265C6">
        <w:t xml:space="preserve"> </w:t>
      </w:r>
      <w:r>
        <w:t xml:space="preserve">to the Defaulting CR as the final invoice.  TDSPs will also send the initial meter reads to ERCOT who will forward to the POLR CR confirming the new relationship with the customer.  Once all impacted </w:t>
      </w:r>
      <w:r w:rsidR="00C41875">
        <w:t>ESI IDs have been transitioned, ERCOT will conclude the Mass Transition process.</w:t>
      </w:r>
    </w:p>
    <w:p w14:paraId="269D72ED" w14:textId="62F477F6" w:rsidR="005E2639" w:rsidRDefault="005E2639" w:rsidP="00572038">
      <w:r>
        <w:t>NOTE:  if Day 2</w:t>
      </w:r>
      <w:r w:rsidR="003508F8">
        <w:t>(mass transition effective date)</w:t>
      </w:r>
      <w:r>
        <w:t xml:space="preserve"> falls on a Sunday or holiday which is a non-AMS Operational Day, then</w:t>
      </w:r>
      <w:r w:rsidRPr="003508F8">
        <w:t>…..</w:t>
      </w:r>
      <w:r w:rsidR="003508F8" w:rsidRPr="00C30680">
        <w:t xml:space="preserve"> Per PUCT Subst. R 25.43, non-AMS Operational Day rules and non-Business day rules shall apply. Meaning, no competitive Switch or Move-In </w:t>
      </w:r>
      <w:r w:rsidR="00911D53">
        <w:t xml:space="preserve">transactions </w:t>
      </w:r>
      <w:r w:rsidR="003508F8" w:rsidRPr="00C30680">
        <w:t>will be scheduled for the same Effective Date, thereby only the Drop to POLR will effectuate.  </w:t>
      </w:r>
    </w:p>
    <w:p w14:paraId="014EA6D3" w14:textId="77777777" w:rsidR="00C41875" w:rsidRDefault="00C41875" w:rsidP="00572038"/>
    <w:p w14:paraId="41628D06" w14:textId="77777777" w:rsidR="00274AC3" w:rsidRPr="00C41875" w:rsidRDefault="00C41875" w:rsidP="00572038">
      <w:pPr>
        <w:rPr>
          <w:b/>
          <w:u w:val="single"/>
        </w:rPr>
      </w:pPr>
      <w:r w:rsidRPr="00C41875">
        <w:rPr>
          <w:b/>
          <w:u w:val="single"/>
        </w:rPr>
        <w:t xml:space="preserve">Slide 14 – Transaction Flow of a Mass Transition </w:t>
      </w:r>
    </w:p>
    <w:p w14:paraId="5985AD02" w14:textId="13DA2D1A" w:rsidR="00C2378C" w:rsidRDefault="0092457C" w:rsidP="00572038">
      <w:r>
        <w:t>The previous slide covered the process of a Mass transition</w:t>
      </w:r>
      <w:r w:rsidR="00A46B81">
        <w:t>.</w:t>
      </w:r>
      <w:r w:rsidR="00C41875">
        <w:t xml:space="preserve"> </w:t>
      </w:r>
      <w:r w:rsidR="00A46B81">
        <w:t xml:space="preserve">Now </w:t>
      </w:r>
      <w:r w:rsidR="00C2378C">
        <w:t>let’s</w:t>
      </w:r>
      <w:r w:rsidR="00E13789">
        <w:t xml:space="preserve"> </w:t>
      </w:r>
      <w:r w:rsidR="00C41875">
        <w:t xml:space="preserve">review the sequencing of the </w:t>
      </w:r>
      <w:r w:rsidR="00911D53">
        <w:t>electronic transactions that effectuate th</w:t>
      </w:r>
      <w:r w:rsidR="00B146AA">
        <w:t>at</w:t>
      </w:r>
      <w:r w:rsidR="00911D53">
        <w:t xml:space="preserve"> process</w:t>
      </w:r>
      <w:r w:rsidR="00C41875">
        <w:t xml:space="preserve">. </w:t>
      </w:r>
    </w:p>
    <w:p w14:paraId="2EE4BE88" w14:textId="1911EA6F" w:rsidR="00596F5C" w:rsidRDefault="00911D53" w:rsidP="00572038">
      <w:r>
        <w:t xml:space="preserve">These transactions are all transmitted via the North American Energy Stardards Board </w:t>
      </w:r>
      <w:r w:rsidR="000C46FE">
        <w:t xml:space="preserve">(NAESB) </w:t>
      </w:r>
      <w:r>
        <w:t>Electronic</w:t>
      </w:r>
      <w:r w:rsidR="000C46FE">
        <w:t xml:space="preserve"> </w:t>
      </w:r>
      <w:r>
        <w:t xml:space="preserve">Delivery Mechanism (EDM) formatted per the Texas Standard Electronic Transactions </w:t>
      </w:r>
      <w:r w:rsidR="00317CD9">
        <w:t xml:space="preserve">(TX SET) </w:t>
      </w:r>
      <w:r>
        <w:t>guidelines. Each transaction has a specific number associate with it to identify the transaction.</w:t>
      </w:r>
      <w:r w:rsidR="00C41875">
        <w:t xml:space="preserve"> </w:t>
      </w:r>
    </w:p>
    <w:p w14:paraId="3E50168B" w14:textId="0121FF3C" w:rsidR="00AB2BAB" w:rsidRPr="00C26494" w:rsidRDefault="00911D53" w:rsidP="00AB2BAB">
      <w:pPr>
        <w:pStyle w:val="ListParagraph"/>
        <w:spacing w:after="240"/>
        <w:ind w:left="0"/>
        <w:rPr>
          <w:iCs/>
          <w:szCs w:val="20"/>
        </w:rPr>
      </w:pPr>
      <w:commentRangeStart w:id="2"/>
      <w:r>
        <w:t xml:space="preserve">The first transaction to initiate </w:t>
      </w:r>
      <w:commentRangeEnd w:id="2"/>
      <w:r w:rsidR="00317CD9">
        <w:rPr>
          <w:rStyle w:val="CommentReference"/>
        </w:rPr>
        <w:commentReference w:id="2"/>
      </w:r>
      <w:r>
        <w:t>the mass transition process is the 814_03 TS Enrollment Notification Request transaction sent from ERCOT to the appropriate TDSP.  This appears as a standard 814_03 Enrollment Request transaction; however,</w:t>
      </w:r>
      <w:r w:rsidR="00301040">
        <w:t xml:space="preserve"> </w:t>
      </w:r>
      <w:r>
        <w:t xml:space="preserve">only ERCOT can initiate the “TS” transaction resulting in the initiation of the Mass transition event. </w:t>
      </w:r>
      <w:r w:rsidR="00AB2BAB">
        <w:t xml:space="preserve">ERCOT will also cancel all scheduled Move In or Switch transactions associated with the Defaulting CR. </w:t>
      </w:r>
    </w:p>
    <w:p w14:paraId="5BBB9488" w14:textId="77777777" w:rsidR="00911D53" w:rsidRDefault="00911D53" w:rsidP="00911D53"/>
    <w:p w14:paraId="463E1952" w14:textId="132FDE71" w:rsidR="00911D53" w:rsidRDefault="00911D53" w:rsidP="00911D53">
      <w:r>
        <w:lastRenderedPageBreak/>
        <w:t xml:space="preserve"> Once the TDSP receives the 814_03 “TS”, they will </w:t>
      </w:r>
      <w:r w:rsidR="00301040">
        <w:t>respond with</w:t>
      </w:r>
      <w:r>
        <w:t xml:space="preserve"> an 814_04 Enrollment Notification Response scheduling transaction confirming the mass transition date</w:t>
      </w:r>
      <w:r w:rsidR="00301040">
        <w:t xml:space="preserve"> and</w:t>
      </w:r>
      <w:r w:rsidRPr="009F05FF">
        <w:t xml:space="preserve"> </w:t>
      </w:r>
      <w:r w:rsidR="00301040">
        <w:t xml:space="preserve">also send an </w:t>
      </w:r>
      <w:r w:rsidRPr="009F05FF">
        <w:t>867_02 Historical Usage transaction to ERCOT to be forwarded to the new POLR REP.</w:t>
      </w:r>
    </w:p>
    <w:p w14:paraId="052096F3" w14:textId="6CD36045" w:rsidR="00496FE9" w:rsidRDefault="00496FE9" w:rsidP="00496FE9">
      <w:r>
        <w:t>ERCOT then sends corresponding scheduling transactions to the POLR CR, as an 814_14 Drop Enrollment Request confirming the mass transition date and</w:t>
      </w:r>
      <w:r w:rsidRPr="00496FE9">
        <w:t xml:space="preserve"> </w:t>
      </w:r>
      <w:r w:rsidRPr="00A45B9E">
        <w:t>forwards the 867_02 Historical Usage provided by the TDSPs</w:t>
      </w:r>
      <w:r w:rsidR="00301040">
        <w:t>.</w:t>
      </w:r>
      <w:r w:rsidRPr="009F05FF">
        <w:t xml:space="preserve"> ERCOT </w:t>
      </w:r>
      <w:r w:rsidR="00301040">
        <w:t>then</w:t>
      </w:r>
      <w:r>
        <w:t xml:space="preserve"> sends the Defaulting CR an 814_11 Drop Response ending the relationship on the mass transition effective date. </w:t>
      </w:r>
    </w:p>
    <w:p w14:paraId="419F19A4" w14:textId="0FA785B8" w:rsidR="00A75E2C" w:rsidRDefault="00496FE9" w:rsidP="00A75E2C">
      <w:r>
        <w:t xml:space="preserve">Once the meter read is obtained by the TDSP on the Mass Transition Date, the TDSP will send the 867_03 Final </w:t>
      </w:r>
      <w:r w:rsidR="00A75E2C">
        <w:t>Meter Read to ERCOT and the 810_02 TDSP invoice from the to the Defaulting CR.</w:t>
      </w:r>
    </w:p>
    <w:p w14:paraId="21ECFB39" w14:textId="7182C203" w:rsidR="00496FE9" w:rsidRDefault="00A75E2C" w:rsidP="00496FE9">
      <w:r>
        <w:t xml:space="preserve">The TDSP then sends the 867_04 Initial Meter Read transaction </w:t>
      </w:r>
      <w:r w:rsidR="00496FE9">
        <w:t xml:space="preserve">to ERCOT who forwards to the </w:t>
      </w:r>
      <w:r>
        <w:t xml:space="preserve">gaining POLR REP to establish a relationship with the customer.  </w:t>
      </w:r>
      <w:r w:rsidR="00496FE9">
        <w:t xml:space="preserve"> </w:t>
      </w:r>
      <w:r w:rsidR="00301040">
        <w:t>ERCOT forwards the 867_03 Final to the defaulting CR, ending their relationship with the customer.</w:t>
      </w:r>
    </w:p>
    <w:p w14:paraId="1D0788F3" w14:textId="77777777" w:rsidR="00EB7C8B" w:rsidRDefault="000C6635" w:rsidP="00572038">
      <w:r>
        <w:t>In summary, there are 11 transactions between market participants to effectuate a mass transition event</w:t>
      </w:r>
      <w:r w:rsidR="00E13789">
        <w:t xml:space="preserve"> for a single ESIID</w:t>
      </w:r>
      <w:r>
        <w:t xml:space="preserve">.  </w:t>
      </w:r>
    </w:p>
    <w:p w14:paraId="451DA6CC" w14:textId="77777777" w:rsidR="005E2639" w:rsidRDefault="005E2639" w:rsidP="00572038">
      <w:pPr>
        <w:rPr>
          <w:b/>
          <w:u w:val="single"/>
        </w:rPr>
      </w:pPr>
      <w:r w:rsidRPr="005E2639">
        <w:rPr>
          <w:b/>
          <w:u w:val="single"/>
        </w:rPr>
        <w:t>Conclusion</w:t>
      </w:r>
    </w:p>
    <w:p w14:paraId="1D94CCC2" w14:textId="3C45CAAD" w:rsidR="005E2639" w:rsidRDefault="000C46FE" w:rsidP="00572038">
      <w:r>
        <w:t>L</w:t>
      </w:r>
      <w:r w:rsidR="005E2639">
        <w:t>e</w:t>
      </w:r>
      <w:r w:rsidR="00301040">
        <w:t>t</w:t>
      </w:r>
      <w:r>
        <w:t>’</w:t>
      </w:r>
      <w:r w:rsidR="00301040">
        <w:t>s</w:t>
      </w:r>
      <w:r w:rsidR="005E2639">
        <w:t xml:space="preserve"> review your level of understanding of the mass transition process with a few checkpoint questions…</w:t>
      </w:r>
    </w:p>
    <w:p w14:paraId="707FF07C" w14:textId="77777777" w:rsidR="005E2639" w:rsidRDefault="005E2639" w:rsidP="00572038">
      <w:r>
        <w:t>True or False:  Only Large Service Providers are considered Provider of Last Resort ( POLR) REPs.</w:t>
      </w:r>
      <w:r>
        <w:tab/>
      </w:r>
      <w:r>
        <w:tab/>
        <w:t xml:space="preserve">False, Both Volunteer </w:t>
      </w:r>
      <w:r w:rsidR="005A676A">
        <w:t>REPs and LSPs are considered to be POLR REPs.  And a VREP is also considered to be an LSP in the process.</w:t>
      </w:r>
    </w:p>
    <w:p w14:paraId="7739C638" w14:textId="77777777" w:rsidR="00EB7C8B" w:rsidRDefault="005A676A" w:rsidP="00572038">
      <w:r>
        <w:t>True or Fals</w:t>
      </w:r>
      <w:r w:rsidR="00BD5A32">
        <w:t>e</w:t>
      </w:r>
      <w:r>
        <w:t xml:space="preserve">   Pre-launch date or the Notification date can be the same as Calendar Day 0 in the mass transition process.  TRUE, Calendar Day -1 and Calendar Day 0 can be the same day and activities for the Notification Date can occur the same day as Calendar Day 0.</w:t>
      </w:r>
    </w:p>
    <w:p w14:paraId="7E76583D" w14:textId="77777777" w:rsidR="003517A2" w:rsidRPr="009F05FF" w:rsidRDefault="003517A2" w:rsidP="00572038">
      <w:r w:rsidRPr="009F05FF">
        <w:t>If an ESI is scheduled to drop to the POLR CR on June 30</w:t>
      </w:r>
      <w:r w:rsidRPr="009F05FF">
        <w:rPr>
          <w:vertAlign w:val="superscript"/>
        </w:rPr>
        <w:t>th</w:t>
      </w:r>
      <w:r w:rsidRPr="009F05FF">
        <w:t xml:space="preserve"> </w:t>
      </w:r>
      <w:r w:rsidR="009E517E" w:rsidRPr="009F05FF">
        <w:t>and the customer chooses a new REP scheduling a SWITCH 814_01 for July 2</w:t>
      </w:r>
      <w:r w:rsidR="009E517E" w:rsidRPr="009F05FF">
        <w:rPr>
          <w:vertAlign w:val="superscript"/>
        </w:rPr>
        <w:t>nd</w:t>
      </w:r>
      <w:r w:rsidR="009E517E" w:rsidRPr="009F05FF">
        <w:t>, who will be the customer’s REP of Record on July 1</w:t>
      </w:r>
      <w:r w:rsidR="009E517E" w:rsidRPr="009F05FF">
        <w:rPr>
          <w:vertAlign w:val="superscript"/>
        </w:rPr>
        <w:t>st</w:t>
      </w:r>
      <w:r w:rsidR="009E517E" w:rsidRPr="009F05FF">
        <w:t>?</w:t>
      </w:r>
    </w:p>
    <w:p w14:paraId="1D240CC8" w14:textId="77777777" w:rsidR="009E517E" w:rsidRPr="009F05FF" w:rsidRDefault="009E517E" w:rsidP="00C30680">
      <w:pPr>
        <w:pStyle w:val="ListParagraph"/>
        <w:numPr>
          <w:ilvl w:val="0"/>
          <w:numId w:val="10"/>
        </w:numPr>
      </w:pPr>
      <w:r w:rsidRPr="009F05FF">
        <w:t>Defaulting CR</w:t>
      </w:r>
    </w:p>
    <w:p w14:paraId="0B0B086F" w14:textId="52D5DE07" w:rsidR="009E517E" w:rsidRPr="009F05FF" w:rsidRDefault="009E517E" w:rsidP="00C30680">
      <w:pPr>
        <w:pStyle w:val="ListParagraph"/>
        <w:numPr>
          <w:ilvl w:val="0"/>
          <w:numId w:val="10"/>
        </w:numPr>
      </w:pPr>
      <w:r w:rsidRPr="009F05FF">
        <w:t>POLR CR</w:t>
      </w:r>
      <w:r w:rsidR="009E393C" w:rsidRPr="009F05FF">
        <w:t xml:space="preserve"> (right answer)</w:t>
      </w:r>
    </w:p>
    <w:p w14:paraId="414F5182" w14:textId="2F5AE2C6" w:rsidR="009E517E" w:rsidRPr="009F05FF" w:rsidRDefault="009E517E" w:rsidP="00C30680">
      <w:pPr>
        <w:pStyle w:val="ListParagraph"/>
        <w:numPr>
          <w:ilvl w:val="0"/>
          <w:numId w:val="10"/>
        </w:numPr>
      </w:pPr>
      <w:r w:rsidRPr="009F05FF">
        <w:t>REP of Choice</w:t>
      </w:r>
    </w:p>
    <w:p w14:paraId="1AF6B122" w14:textId="77777777" w:rsidR="009E517E" w:rsidRPr="009F05FF" w:rsidRDefault="009E517E" w:rsidP="009E517E"/>
    <w:p w14:paraId="04F63514" w14:textId="77777777" w:rsidR="009E517E" w:rsidRPr="009F05FF" w:rsidRDefault="009E517E" w:rsidP="009E517E">
      <w:r w:rsidRPr="009F05FF">
        <w:t>If an ESI is scheduled to drop to the POLR CR on June 30</w:t>
      </w:r>
      <w:r w:rsidRPr="009F05FF">
        <w:rPr>
          <w:vertAlign w:val="superscript"/>
        </w:rPr>
        <w:t>th</w:t>
      </w:r>
      <w:r w:rsidRPr="009F05FF">
        <w:t xml:space="preserve"> and the customer chooses a new REP scheduling a SWITCH 814_01 for June 29th, who will be the customer’s REP of Record on June 30th?</w:t>
      </w:r>
    </w:p>
    <w:p w14:paraId="745EFDEE" w14:textId="77777777" w:rsidR="009E517E" w:rsidRPr="009F05FF" w:rsidRDefault="009E517E" w:rsidP="009E517E">
      <w:pPr>
        <w:pStyle w:val="ListParagraph"/>
        <w:numPr>
          <w:ilvl w:val="0"/>
          <w:numId w:val="11"/>
        </w:numPr>
      </w:pPr>
      <w:r w:rsidRPr="009F05FF">
        <w:t>Defaulting CR</w:t>
      </w:r>
    </w:p>
    <w:p w14:paraId="7B40801B" w14:textId="25223923" w:rsidR="009E517E" w:rsidRPr="009F05FF" w:rsidRDefault="009E517E" w:rsidP="009E517E">
      <w:pPr>
        <w:pStyle w:val="ListParagraph"/>
        <w:numPr>
          <w:ilvl w:val="0"/>
          <w:numId w:val="11"/>
        </w:numPr>
      </w:pPr>
      <w:r w:rsidRPr="009F05FF">
        <w:t>POLR CR</w:t>
      </w:r>
    </w:p>
    <w:p w14:paraId="747F7455" w14:textId="7EF97F4D" w:rsidR="009E517E" w:rsidRPr="009F05FF" w:rsidRDefault="009E517E" w:rsidP="009E517E">
      <w:pPr>
        <w:pStyle w:val="ListParagraph"/>
        <w:numPr>
          <w:ilvl w:val="0"/>
          <w:numId w:val="11"/>
        </w:numPr>
      </w:pPr>
      <w:r w:rsidRPr="009F05FF">
        <w:t>REP of Choice</w:t>
      </w:r>
      <w:r w:rsidR="009E393C" w:rsidRPr="009F05FF">
        <w:t xml:space="preserve"> (right answer)</w:t>
      </w:r>
    </w:p>
    <w:p w14:paraId="589EC9B4" w14:textId="77777777" w:rsidR="009E517E" w:rsidRDefault="009E517E" w:rsidP="009E517E"/>
    <w:p w14:paraId="5EACDCB9" w14:textId="77777777" w:rsidR="003517A2" w:rsidRDefault="003517A2" w:rsidP="00572038"/>
    <w:p w14:paraId="328C4121" w14:textId="1DC2C9EC" w:rsidR="004815A0" w:rsidRDefault="008F0740" w:rsidP="004815A0">
      <w:pPr>
        <w:rPr>
          <w:b/>
          <w:u w:val="single"/>
        </w:rPr>
      </w:pPr>
      <w:r>
        <w:rPr>
          <w:b/>
          <w:u w:val="single"/>
        </w:rPr>
        <w:lastRenderedPageBreak/>
        <w:t>References</w:t>
      </w:r>
    </w:p>
    <w:p w14:paraId="49AB6B13" w14:textId="6C96E353" w:rsidR="004815A0" w:rsidRDefault="004815A0" w:rsidP="00572038">
      <w:r>
        <w:t>References:</w:t>
      </w:r>
    </w:p>
    <w:p w14:paraId="5F0D13D5" w14:textId="2F1CC8D2" w:rsidR="00301040" w:rsidRDefault="007275E0" w:rsidP="00301040">
      <w:hyperlink r:id="rId15" w:history="1">
        <w:r w:rsidR="00301040" w:rsidRPr="00301040">
          <w:rPr>
            <w:rStyle w:val="Hyperlink"/>
          </w:rPr>
          <w:t>PUCT Substantive Rule 25.43</w:t>
        </w:r>
      </w:hyperlink>
    </w:p>
    <w:p w14:paraId="0223D721" w14:textId="54B6E7AD" w:rsidR="00301040" w:rsidRDefault="007275E0" w:rsidP="00301040">
      <w:hyperlink r:id="rId16" w:history="1">
        <w:r w:rsidR="003C1CD8">
          <w:rPr>
            <w:rStyle w:val="Hyperlink"/>
          </w:rPr>
          <w:t xml:space="preserve">ERCOT Protocol Section </w:t>
        </w:r>
        <w:r w:rsidR="003C1CD8" w:rsidRPr="003C1CD8">
          <w:rPr>
            <w:rStyle w:val="Hyperlink"/>
          </w:rPr>
          <w:t>15, Customer Registration</w:t>
        </w:r>
        <w:r w:rsidR="00301040" w:rsidRPr="003C1CD8">
          <w:rPr>
            <w:rStyle w:val="Hyperlink"/>
          </w:rPr>
          <w:t xml:space="preserve"> </w:t>
        </w:r>
      </w:hyperlink>
      <w:r w:rsidR="00301040">
        <w:t xml:space="preserve"> </w:t>
      </w:r>
    </w:p>
    <w:p w14:paraId="67CB6CD8" w14:textId="08F661D3" w:rsidR="004815A0" w:rsidRDefault="007275E0" w:rsidP="00572038">
      <w:hyperlink r:id="rId17" w:history="1">
        <w:r w:rsidR="004815A0" w:rsidRPr="003C1CD8">
          <w:rPr>
            <w:rStyle w:val="Hyperlink"/>
          </w:rPr>
          <w:t>Retail Market Guide 7.11</w:t>
        </w:r>
        <w:r w:rsidR="003C1CD8" w:rsidRPr="003C1CD8">
          <w:rPr>
            <w:rStyle w:val="Hyperlink"/>
          </w:rPr>
          <w:t>, Transition Process</w:t>
        </w:r>
      </w:hyperlink>
    </w:p>
    <w:p w14:paraId="1AB3B3A4" w14:textId="666F435D" w:rsidR="00EB7C8B" w:rsidRDefault="007275E0" w:rsidP="00572038">
      <w:hyperlink r:id="rId18" w:history="1">
        <w:r w:rsidR="003C1CD8" w:rsidRPr="003C1CD8">
          <w:rPr>
            <w:rStyle w:val="Hyperlink"/>
          </w:rPr>
          <w:t>Mass T</w:t>
        </w:r>
        <w:r w:rsidR="008F0740" w:rsidRPr="003C1CD8">
          <w:rPr>
            <w:rStyle w:val="Hyperlink"/>
          </w:rPr>
          <w:t>ransition Swimlane</w:t>
        </w:r>
      </w:hyperlink>
    </w:p>
    <w:p w14:paraId="64E4C782" w14:textId="64F59BE2" w:rsidR="008F0740" w:rsidRDefault="007275E0" w:rsidP="00572038">
      <w:hyperlink r:id="rId19" w:history="1">
        <w:r w:rsidR="003C1CD8" w:rsidRPr="003C1CD8">
          <w:rPr>
            <w:rStyle w:val="Hyperlink"/>
          </w:rPr>
          <w:t>Texas Standard E</w:t>
        </w:r>
        <w:r w:rsidR="008F0740" w:rsidRPr="003C1CD8">
          <w:rPr>
            <w:rStyle w:val="Hyperlink"/>
          </w:rPr>
          <w:t>lectronic Transaction Guides</w:t>
        </w:r>
      </w:hyperlink>
    </w:p>
    <w:p w14:paraId="293D27B2" w14:textId="77777777" w:rsidR="008F0740" w:rsidRDefault="008F0740" w:rsidP="00572038"/>
    <w:p w14:paraId="7120EDBB" w14:textId="00D37FF4" w:rsidR="008F0740" w:rsidRDefault="008F0740" w:rsidP="00572038">
      <w:r>
        <w:t>Training</w:t>
      </w:r>
    </w:p>
    <w:p w14:paraId="5E58382C" w14:textId="5C752EDD" w:rsidR="008F0740" w:rsidRDefault="007275E0" w:rsidP="00572038">
      <w:hyperlink r:id="rId20" w:history="1">
        <w:r w:rsidR="008F0740" w:rsidRPr="003C1CD8">
          <w:rPr>
            <w:rStyle w:val="Hyperlink"/>
          </w:rPr>
          <w:t>Retail 101</w:t>
        </w:r>
      </w:hyperlink>
    </w:p>
    <w:p w14:paraId="4CE06BD6" w14:textId="6876F8AF" w:rsidR="008F0740" w:rsidRDefault="007275E0" w:rsidP="00572038">
      <w:hyperlink r:id="rId21" w:history="1">
        <w:r w:rsidR="008F0740" w:rsidRPr="003C1CD8">
          <w:rPr>
            <w:rStyle w:val="Hyperlink"/>
          </w:rPr>
          <w:t>Texas SET</w:t>
        </w:r>
      </w:hyperlink>
    </w:p>
    <w:p w14:paraId="5895D36C" w14:textId="7470A98E" w:rsidR="008F0740" w:rsidRDefault="007275E0" w:rsidP="00572038">
      <w:hyperlink r:id="rId22" w:history="1">
        <w:r w:rsidR="008F0740" w:rsidRPr="003C1CD8">
          <w:rPr>
            <w:rStyle w:val="Hyperlink"/>
          </w:rPr>
          <w:t>MarkeTrak and Inadvertent Gain</w:t>
        </w:r>
      </w:hyperlink>
    </w:p>
    <w:p w14:paraId="7AFF58EA" w14:textId="77777777" w:rsidR="00EB7C8B" w:rsidRDefault="00EB7C8B" w:rsidP="00572038"/>
    <w:p w14:paraId="31030E02" w14:textId="77777777" w:rsidR="00EB7C8B" w:rsidRDefault="00EB7C8B" w:rsidP="00572038"/>
    <w:p w14:paraId="5D3D2616" w14:textId="77777777" w:rsidR="00EB7C8B" w:rsidRDefault="00EB7C8B" w:rsidP="00572038"/>
    <w:p w14:paraId="0DEAFF26" w14:textId="77777777" w:rsidR="00EB7C8B" w:rsidRDefault="00EB7C8B" w:rsidP="00572038"/>
    <w:p w14:paraId="0B4B1087" w14:textId="77777777" w:rsidR="00EB7C8B" w:rsidRDefault="00EB7C8B" w:rsidP="00572038"/>
    <w:p w14:paraId="59C5B59A" w14:textId="77777777" w:rsidR="00EB7C8B" w:rsidRDefault="00EB7C8B" w:rsidP="00572038"/>
    <w:p w14:paraId="10D4B562" w14:textId="77777777" w:rsidR="00EB7C8B" w:rsidRDefault="00EB7C8B" w:rsidP="00572038"/>
    <w:p w14:paraId="4B3F1B4F" w14:textId="77777777" w:rsidR="00EB7C8B" w:rsidRDefault="00EB7C8B" w:rsidP="00572038"/>
    <w:p w14:paraId="4F079411" w14:textId="77777777" w:rsidR="00EB7C8B" w:rsidRDefault="00EB7C8B" w:rsidP="00572038"/>
    <w:p w14:paraId="70C83F5E" w14:textId="77777777" w:rsidR="00EB7C8B" w:rsidRDefault="00EB7C8B" w:rsidP="00572038"/>
    <w:p w14:paraId="4D33E844" w14:textId="77777777" w:rsidR="00EB7C8B" w:rsidRDefault="00EB7C8B" w:rsidP="00572038"/>
    <w:p w14:paraId="5B6260ED" w14:textId="77777777" w:rsidR="00EB7C8B" w:rsidRDefault="00EB7C8B" w:rsidP="00572038"/>
    <w:p w14:paraId="682D5756" w14:textId="77777777" w:rsidR="00EB7C8B" w:rsidRDefault="00EB7C8B" w:rsidP="00572038"/>
    <w:p w14:paraId="2E7C6605" w14:textId="77777777" w:rsidR="00EB7C8B" w:rsidRDefault="00EB7C8B" w:rsidP="00572038"/>
    <w:p w14:paraId="7562973E" w14:textId="77777777" w:rsidR="00EB7C8B" w:rsidRPr="002E3A58" w:rsidRDefault="00EB7C8B" w:rsidP="00572038"/>
    <w:sectPr w:rsidR="00EB7C8B" w:rsidRPr="002E3A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eller, Art" w:date="2020-07-09T15:26:00Z" w:initials="DA">
    <w:p w14:paraId="195FC30C" w14:textId="4B15F4E9" w:rsidR="00911D53" w:rsidRDefault="00911D53">
      <w:pPr>
        <w:pStyle w:val="CommentText"/>
      </w:pPr>
      <w:r>
        <w:rPr>
          <w:rStyle w:val="CommentReference"/>
        </w:rPr>
        <w:annotationRef/>
      </w:r>
      <w:r>
        <w:t>Matt, maybe we can make these roll-over pop-ups in the presentation?</w:t>
      </w:r>
    </w:p>
  </w:comment>
  <w:comment w:id="2" w:author="Deller, Art" w:date="2020-07-09T15:33:00Z" w:initials="DA">
    <w:p w14:paraId="48E162E3" w14:textId="24F271BD" w:rsidR="00496FE9" w:rsidRDefault="00317CD9">
      <w:pPr>
        <w:pStyle w:val="CommentText"/>
      </w:pPr>
      <w:r>
        <w:rPr>
          <w:rStyle w:val="CommentReference"/>
        </w:rPr>
        <w:annotationRef/>
      </w:r>
      <w:r>
        <w:t xml:space="preserve">At this point we can use slide </w:t>
      </w:r>
      <w:r w:rsidR="00496FE9">
        <w:t>attached to illustrate process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5FC30C" w15:done="0"/>
  <w15:commentEx w15:paraId="48E162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93D25" w16cid:durableId="226130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3882D" w14:textId="77777777" w:rsidR="007275E0" w:rsidRDefault="007275E0" w:rsidP="009124DE">
      <w:pPr>
        <w:spacing w:after="0" w:line="240" w:lineRule="auto"/>
      </w:pPr>
      <w:r>
        <w:separator/>
      </w:r>
    </w:p>
  </w:endnote>
  <w:endnote w:type="continuationSeparator" w:id="0">
    <w:p w14:paraId="674B6BE3" w14:textId="77777777" w:rsidR="007275E0" w:rsidRDefault="007275E0" w:rsidP="009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F7083" w14:textId="77777777" w:rsidR="007275E0" w:rsidRDefault="007275E0" w:rsidP="009124DE">
      <w:pPr>
        <w:spacing w:after="0" w:line="240" w:lineRule="auto"/>
      </w:pPr>
      <w:r>
        <w:separator/>
      </w:r>
    </w:p>
  </w:footnote>
  <w:footnote w:type="continuationSeparator" w:id="0">
    <w:p w14:paraId="6D6B6D43" w14:textId="77777777" w:rsidR="007275E0" w:rsidRDefault="007275E0" w:rsidP="00912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64332"/>
    <w:multiLevelType w:val="hybridMultilevel"/>
    <w:tmpl w:val="D5F23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F105D"/>
    <w:multiLevelType w:val="hybridMultilevel"/>
    <w:tmpl w:val="D5F23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40EF3"/>
    <w:multiLevelType w:val="hybridMultilevel"/>
    <w:tmpl w:val="EFF2A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B5457"/>
    <w:multiLevelType w:val="hybridMultilevel"/>
    <w:tmpl w:val="22022E5A"/>
    <w:lvl w:ilvl="0" w:tplc="C31C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4F37"/>
    <w:multiLevelType w:val="hybridMultilevel"/>
    <w:tmpl w:val="7158B0C6"/>
    <w:lvl w:ilvl="0" w:tplc="94785AB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B650EC"/>
    <w:multiLevelType w:val="hybridMultilevel"/>
    <w:tmpl w:val="79A09004"/>
    <w:lvl w:ilvl="0" w:tplc="B972D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36D02"/>
    <w:multiLevelType w:val="hybridMultilevel"/>
    <w:tmpl w:val="B6EE64DA"/>
    <w:lvl w:ilvl="0" w:tplc="D48A6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E43F9"/>
    <w:multiLevelType w:val="hybridMultilevel"/>
    <w:tmpl w:val="8BB4F130"/>
    <w:lvl w:ilvl="0" w:tplc="D32CED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A533D"/>
    <w:multiLevelType w:val="hybridMultilevel"/>
    <w:tmpl w:val="D61808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815D03"/>
    <w:multiLevelType w:val="hybridMultilevel"/>
    <w:tmpl w:val="72CA17E2"/>
    <w:lvl w:ilvl="0" w:tplc="94785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242E66"/>
    <w:multiLevelType w:val="hybridMultilevel"/>
    <w:tmpl w:val="22BE2EE0"/>
    <w:lvl w:ilvl="0" w:tplc="5010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4"/>
  </w:num>
  <w:num w:numId="5">
    <w:abstractNumId w:val="11"/>
  </w:num>
  <w:num w:numId="6">
    <w:abstractNumId w:val="3"/>
  </w:num>
  <w:num w:numId="7">
    <w:abstractNumId w:val="7"/>
  </w:num>
  <w:num w:numId="8">
    <w:abstractNumId w:val="2"/>
  </w:num>
  <w:num w:numId="9">
    <w:abstractNumId w:val="6"/>
  </w:num>
  <w:num w:numId="10">
    <w:abstractNumId w:val="0"/>
  </w:num>
  <w:num w:numId="11">
    <w:abstractNumId w:val="1"/>
  </w:num>
  <w:num w:numId="1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er, Art">
    <w15:presenceInfo w15:providerId="AD" w15:userId="S-1-5-21-639947351-343809578-3807592339-42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4DE"/>
    <w:rsid w:val="000067C3"/>
    <w:rsid w:val="00057BCE"/>
    <w:rsid w:val="00072B20"/>
    <w:rsid w:val="00073E02"/>
    <w:rsid w:val="000856DE"/>
    <w:rsid w:val="000B10AA"/>
    <w:rsid w:val="000C46FE"/>
    <w:rsid w:val="000C6635"/>
    <w:rsid w:val="000C7161"/>
    <w:rsid w:val="00102ACE"/>
    <w:rsid w:val="00126B99"/>
    <w:rsid w:val="0014079E"/>
    <w:rsid w:val="001B680D"/>
    <w:rsid w:val="001C5CF6"/>
    <w:rsid w:val="0020225C"/>
    <w:rsid w:val="00210034"/>
    <w:rsid w:val="00254058"/>
    <w:rsid w:val="00274AC3"/>
    <w:rsid w:val="00297D97"/>
    <w:rsid w:val="002E3A58"/>
    <w:rsid w:val="00301040"/>
    <w:rsid w:val="00312F51"/>
    <w:rsid w:val="00317CD9"/>
    <w:rsid w:val="003508F8"/>
    <w:rsid w:val="003517A2"/>
    <w:rsid w:val="00352590"/>
    <w:rsid w:val="00392F6C"/>
    <w:rsid w:val="003C1CD8"/>
    <w:rsid w:val="003C54A1"/>
    <w:rsid w:val="003D688A"/>
    <w:rsid w:val="003D6E53"/>
    <w:rsid w:val="003E0B21"/>
    <w:rsid w:val="00405702"/>
    <w:rsid w:val="00422D61"/>
    <w:rsid w:val="00451C1F"/>
    <w:rsid w:val="004815A0"/>
    <w:rsid w:val="00496FE9"/>
    <w:rsid w:val="004D688D"/>
    <w:rsid w:val="004F30F2"/>
    <w:rsid w:val="00540258"/>
    <w:rsid w:val="005441A2"/>
    <w:rsid w:val="0056438D"/>
    <w:rsid w:val="00570948"/>
    <w:rsid w:val="00572038"/>
    <w:rsid w:val="00593440"/>
    <w:rsid w:val="00596F5C"/>
    <w:rsid w:val="005A1A3C"/>
    <w:rsid w:val="005A676A"/>
    <w:rsid w:val="005C28DD"/>
    <w:rsid w:val="005E2639"/>
    <w:rsid w:val="00602FBD"/>
    <w:rsid w:val="00615AC6"/>
    <w:rsid w:val="00620AC4"/>
    <w:rsid w:val="00634BD6"/>
    <w:rsid w:val="00693E53"/>
    <w:rsid w:val="006B7D31"/>
    <w:rsid w:val="00717786"/>
    <w:rsid w:val="007275E0"/>
    <w:rsid w:val="007478C9"/>
    <w:rsid w:val="007612BD"/>
    <w:rsid w:val="007657C7"/>
    <w:rsid w:val="007E4044"/>
    <w:rsid w:val="008D6BF6"/>
    <w:rsid w:val="008F0740"/>
    <w:rsid w:val="009004BB"/>
    <w:rsid w:val="00911D53"/>
    <w:rsid w:val="009124DE"/>
    <w:rsid w:val="0092457C"/>
    <w:rsid w:val="00925D8D"/>
    <w:rsid w:val="009265C6"/>
    <w:rsid w:val="00951383"/>
    <w:rsid w:val="009D2BA3"/>
    <w:rsid w:val="009E393C"/>
    <w:rsid w:val="009E517E"/>
    <w:rsid w:val="009F05FF"/>
    <w:rsid w:val="00A07959"/>
    <w:rsid w:val="00A46B81"/>
    <w:rsid w:val="00A46F8C"/>
    <w:rsid w:val="00A75E2C"/>
    <w:rsid w:val="00AB2BAB"/>
    <w:rsid w:val="00AB4AB2"/>
    <w:rsid w:val="00B06373"/>
    <w:rsid w:val="00B146AA"/>
    <w:rsid w:val="00B41835"/>
    <w:rsid w:val="00B437CC"/>
    <w:rsid w:val="00B45F26"/>
    <w:rsid w:val="00B83A10"/>
    <w:rsid w:val="00BA2606"/>
    <w:rsid w:val="00BB1346"/>
    <w:rsid w:val="00BD01B7"/>
    <w:rsid w:val="00BD5A32"/>
    <w:rsid w:val="00C2378C"/>
    <w:rsid w:val="00C26494"/>
    <w:rsid w:val="00C30680"/>
    <w:rsid w:val="00C35AD9"/>
    <w:rsid w:val="00C37ED6"/>
    <w:rsid w:val="00C41875"/>
    <w:rsid w:val="00C44525"/>
    <w:rsid w:val="00C66E94"/>
    <w:rsid w:val="00C7256A"/>
    <w:rsid w:val="00C85DC7"/>
    <w:rsid w:val="00D02502"/>
    <w:rsid w:val="00D06A94"/>
    <w:rsid w:val="00D142B6"/>
    <w:rsid w:val="00D244D3"/>
    <w:rsid w:val="00D30B52"/>
    <w:rsid w:val="00D74C13"/>
    <w:rsid w:val="00DA56DD"/>
    <w:rsid w:val="00DB1FA2"/>
    <w:rsid w:val="00DE6D8B"/>
    <w:rsid w:val="00E10500"/>
    <w:rsid w:val="00E13789"/>
    <w:rsid w:val="00E1444C"/>
    <w:rsid w:val="00E26FA4"/>
    <w:rsid w:val="00E30EE9"/>
    <w:rsid w:val="00E645A2"/>
    <w:rsid w:val="00E65A4B"/>
    <w:rsid w:val="00E94EFD"/>
    <w:rsid w:val="00EB1FCD"/>
    <w:rsid w:val="00EB7C8B"/>
    <w:rsid w:val="00EC657F"/>
    <w:rsid w:val="00F07BBD"/>
    <w:rsid w:val="00F655CA"/>
    <w:rsid w:val="00F7004B"/>
    <w:rsid w:val="00F81563"/>
    <w:rsid w:val="00FA3EEA"/>
    <w:rsid w:val="00FA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B41"/>
  <w15:chartTrackingRefBased/>
  <w15:docId w15:val="{767B582E-42BC-4EED-B443-6ACBC81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E"/>
  </w:style>
  <w:style w:type="paragraph" w:styleId="Footer">
    <w:name w:val="footer"/>
    <w:basedOn w:val="Normal"/>
    <w:link w:val="FooterChar"/>
    <w:uiPriority w:val="99"/>
    <w:unhideWhenUsed/>
    <w:rsid w:val="009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E"/>
  </w:style>
  <w:style w:type="paragraph" w:styleId="ListParagraph">
    <w:name w:val="List Paragraph"/>
    <w:basedOn w:val="Normal"/>
    <w:uiPriority w:val="34"/>
    <w:qFormat/>
    <w:rsid w:val="009124DE"/>
    <w:pPr>
      <w:ind w:left="720"/>
      <w:contextualSpacing/>
    </w:pPr>
  </w:style>
  <w:style w:type="paragraph" w:styleId="NormalWeb">
    <w:name w:val="Normal (Web)"/>
    <w:basedOn w:val="Normal"/>
    <w:uiPriority w:val="99"/>
    <w:semiHidden/>
    <w:unhideWhenUsed/>
    <w:rsid w:val="00AB4A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FA2"/>
    <w:rPr>
      <w:rFonts w:ascii="Segoe UI" w:hAnsi="Segoe UI" w:cs="Segoe UI"/>
      <w:sz w:val="18"/>
      <w:szCs w:val="18"/>
    </w:rPr>
  </w:style>
  <w:style w:type="paragraph" w:styleId="NoSpacing">
    <w:name w:val="No Spacing"/>
    <w:uiPriority w:val="1"/>
    <w:qFormat/>
    <w:rsid w:val="000B10AA"/>
    <w:pPr>
      <w:spacing w:after="0" w:line="240" w:lineRule="auto"/>
    </w:pPr>
  </w:style>
  <w:style w:type="character" w:styleId="CommentReference">
    <w:name w:val="annotation reference"/>
    <w:basedOn w:val="DefaultParagraphFont"/>
    <w:uiPriority w:val="99"/>
    <w:semiHidden/>
    <w:unhideWhenUsed/>
    <w:rsid w:val="000B10AA"/>
    <w:rPr>
      <w:sz w:val="16"/>
      <w:szCs w:val="16"/>
    </w:rPr>
  </w:style>
  <w:style w:type="paragraph" w:styleId="CommentText">
    <w:name w:val="annotation text"/>
    <w:basedOn w:val="Normal"/>
    <w:link w:val="CommentTextChar"/>
    <w:uiPriority w:val="99"/>
    <w:semiHidden/>
    <w:unhideWhenUsed/>
    <w:rsid w:val="000B10AA"/>
    <w:pPr>
      <w:spacing w:line="240" w:lineRule="auto"/>
    </w:pPr>
    <w:rPr>
      <w:sz w:val="20"/>
      <w:szCs w:val="20"/>
    </w:rPr>
  </w:style>
  <w:style w:type="character" w:customStyle="1" w:styleId="CommentTextChar">
    <w:name w:val="Comment Text Char"/>
    <w:basedOn w:val="DefaultParagraphFont"/>
    <w:link w:val="CommentText"/>
    <w:uiPriority w:val="99"/>
    <w:semiHidden/>
    <w:rsid w:val="000B10AA"/>
    <w:rPr>
      <w:sz w:val="20"/>
      <w:szCs w:val="20"/>
    </w:rPr>
  </w:style>
  <w:style w:type="paragraph" w:styleId="CommentSubject">
    <w:name w:val="annotation subject"/>
    <w:basedOn w:val="CommentText"/>
    <w:next w:val="CommentText"/>
    <w:link w:val="CommentSubjectChar"/>
    <w:uiPriority w:val="99"/>
    <w:semiHidden/>
    <w:unhideWhenUsed/>
    <w:rsid w:val="000B10AA"/>
    <w:rPr>
      <w:b/>
      <w:bCs/>
    </w:rPr>
  </w:style>
  <w:style w:type="character" w:customStyle="1" w:styleId="CommentSubjectChar">
    <w:name w:val="Comment Subject Char"/>
    <w:basedOn w:val="CommentTextChar"/>
    <w:link w:val="CommentSubject"/>
    <w:uiPriority w:val="99"/>
    <w:semiHidden/>
    <w:rsid w:val="000B10AA"/>
    <w:rPr>
      <w:b/>
      <w:bCs/>
      <w:sz w:val="20"/>
      <w:szCs w:val="20"/>
    </w:rPr>
  </w:style>
  <w:style w:type="character" w:styleId="Hyperlink">
    <w:name w:val="Hyperlink"/>
    <w:basedOn w:val="DefaultParagraphFont"/>
    <w:uiPriority w:val="99"/>
    <w:unhideWhenUsed/>
    <w:rsid w:val="00072B20"/>
    <w:rPr>
      <w:color w:val="0000FF"/>
      <w:u w:val="single"/>
    </w:rPr>
  </w:style>
  <w:style w:type="character" w:styleId="FollowedHyperlink">
    <w:name w:val="FollowedHyperlink"/>
    <w:basedOn w:val="DefaultParagraphFont"/>
    <w:uiPriority w:val="99"/>
    <w:semiHidden/>
    <w:unhideWhenUsed/>
    <w:rsid w:val="00FA42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46423">
      <w:bodyDiv w:val="1"/>
      <w:marLeft w:val="0"/>
      <w:marRight w:val="0"/>
      <w:marTop w:val="0"/>
      <w:marBottom w:val="0"/>
      <w:divBdr>
        <w:top w:val="none" w:sz="0" w:space="0" w:color="auto"/>
        <w:left w:val="none" w:sz="0" w:space="0" w:color="auto"/>
        <w:bottom w:val="none" w:sz="0" w:space="0" w:color="auto"/>
        <w:right w:val="none" w:sz="0" w:space="0" w:color="auto"/>
      </w:divBdr>
    </w:div>
    <w:div w:id="986398637">
      <w:bodyDiv w:val="1"/>
      <w:marLeft w:val="0"/>
      <w:marRight w:val="0"/>
      <w:marTop w:val="0"/>
      <w:marBottom w:val="0"/>
      <w:divBdr>
        <w:top w:val="none" w:sz="0" w:space="0" w:color="auto"/>
        <w:left w:val="none" w:sz="0" w:space="0" w:color="auto"/>
        <w:bottom w:val="none" w:sz="0" w:space="0" w:color="auto"/>
        <w:right w:val="none" w:sz="0" w:space="0" w:color="auto"/>
      </w:divBdr>
    </w:div>
    <w:div w:id="19022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yperlink" Target="http://www.ercot.com/content/wcm/key_documents_lists/90837/MassTrans_Acquisition_Scenarios.zip" TargetMode="External"/><Relationship Id="rId26"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hyperlink" Target="http://www.ercot.com/services/training/course/155501"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www.ercot.com/content/wcm/current_guides/53527/07-052920.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current_guides/53528/15-050119_Nodal.doc" TargetMode="External"/><Relationship Id="rId20" Type="http://schemas.openxmlformats.org/officeDocument/2006/relationships/hyperlink" Target="http://www.ercot.com/services/training/course/10963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c.texas.gov/agency/rulesnlaws/subrules/electric/25.43/25.43.pdf"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puc.texas.gov/agency/rulesnlaws/subrules/electric/25.43/25.43.pdf" TargetMode="External"/><Relationship Id="rId23" Type="http://schemas.openxmlformats.org/officeDocument/2006/relationships/fontTable" Target="fontTable.xml"/><Relationship Id="rId10" Type="http://schemas.openxmlformats.org/officeDocument/2006/relationships/hyperlink" Target="https://www.puc.texas.gov/agency/rulesnlaws/subrules/electric/25.43/25.43.pdf" TargetMode="External"/><Relationship Id="rId19" Type="http://schemas.openxmlformats.org/officeDocument/2006/relationships/hyperlink" Target="http://www.ercot.com/mktrules/guides/txset" TargetMode="External"/><Relationship Id="rId4" Type="http://schemas.openxmlformats.org/officeDocument/2006/relationships/styles" Target="styles.xml"/><Relationship Id="rId9" Type="http://schemas.openxmlformats.org/officeDocument/2006/relationships/hyperlink" Target="http://www.puc.texas.gov/consumer/electricity/Polr.aspx" TargetMode="External"/><Relationship Id="rId14" Type="http://schemas.openxmlformats.org/officeDocument/2006/relationships/hyperlink" Target="https://www.puc.texas.gov/agency/rulesnlaws/subrules/electric/25.43/25.43.pdf" TargetMode="External"/><Relationship Id="rId22" Type="http://schemas.openxmlformats.org/officeDocument/2006/relationships/hyperlink" Target="http://www.ercot.com/services/training/course/1886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8D4E-2D38-430B-B53B-6B8A628D9BE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6C62818-7921-4082-B174-99082204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2993</Words>
  <Characters>17066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s262089</dc:creator>
  <cp:keywords/>
  <dc:description/>
  <cp:lastModifiedBy>Deller, Art</cp:lastModifiedBy>
  <cp:revision>2</cp:revision>
  <dcterms:created xsi:type="dcterms:W3CDTF">2020-07-13T16:29:00Z</dcterms:created>
  <dcterms:modified xsi:type="dcterms:W3CDTF">2020-07-13T16:29:00Z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644698bf-4f35-4fcf-bb97-2bc5c6287421</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