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32" w:type="pct"/>
        <w:tblLayout w:type="fixed"/>
        <w:tblCellMar>
          <w:left w:w="0" w:type="dxa"/>
          <w:right w:w="0" w:type="dxa"/>
        </w:tblCellMar>
        <w:tblLook w:val="04A0" w:firstRow="1" w:lastRow="0" w:firstColumn="1" w:lastColumn="0" w:noHBand="0" w:noVBand="1"/>
      </w:tblPr>
      <w:tblGrid>
        <w:gridCol w:w="1140"/>
        <w:gridCol w:w="5691"/>
        <w:gridCol w:w="989"/>
        <w:gridCol w:w="3029"/>
      </w:tblGrid>
      <w:tr w:rsidR="004F6F48" w:rsidTr="004F6F48">
        <w:tc>
          <w:tcPr>
            <w:tcW w:w="525" w:type="pct"/>
            <w:tcBorders>
              <w:top w:val="single" w:sz="8" w:space="0" w:color="auto"/>
              <w:left w:val="single" w:sz="8" w:space="0" w:color="auto"/>
              <w:bottom w:val="single" w:sz="8" w:space="0" w:color="auto"/>
              <w:right w:val="single" w:sz="8" w:space="0" w:color="auto"/>
            </w:tcBorders>
            <w:shd w:val="clear" w:color="auto" w:fill="366092"/>
            <w:tcMar>
              <w:top w:w="0" w:type="dxa"/>
              <w:left w:w="108" w:type="dxa"/>
              <w:bottom w:w="0" w:type="dxa"/>
              <w:right w:w="108" w:type="dxa"/>
            </w:tcMar>
            <w:hideMark/>
          </w:tcPr>
          <w:p w:rsidR="004F6F48" w:rsidRDefault="004F6F48">
            <w:pPr>
              <w:rPr>
                <w:b/>
                <w:bCs/>
                <w:color w:val="FFFFFF"/>
                <w:sz w:val="20"/>
                <w:szCs w:val="20"/>
              </w:rPr>
            </w:pPr>
            <w:r>
              <w:rPr>
                <w:b/>
                <w:bCs/>
                <w:color w:val="FFFFFF"/>
                <w:sz w:val="20"/>
                <w:szCs w:val="20"/>
              </w:rPr>
              <w:t>REV REQ NO.</w:t>
            </w:r>
          </w:p>
        </w:tc>
        <w:tc>
          <w:tcPr>
            <w:tcW w:w="2623" w:type="pct"/>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4F6F48" w:rsidRDefault="004F6F48">
            <w:pPr>
              <w:rPr>
                <w:b/>
                <w:bCs/>
                <w:color w:val="FFFFFF"/>
                <w:sz w:val="20"/>
                <w:szCs w:val="20"/>
              </w:rPr>
            </w:pPr>
            <w:r>
              <w:rPr>
                <w:b/>
                <w:bCs/>
                <w:color w:val="FFFFFF"/>
                <w:sz w:val="20"/>
                <w:szCs w:val="20"/>
              </w:rPr>
              <w:t>DESCRIPTION</w:t>
            </w:r>
          </w:p>
        </w:tc>
        <w:tc>
          <w:tcPr>
            <w:tcW w:w="456" w:type="pct"/>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4F6F48" w:rsidRDefault="004F6F48">
            <w:pPr>
              <w:jc w:val="center"/>
              <w:rPr>
                <w:b/>
                <w:bCs/>
                <w:color w:val="FFFFFF"/>
                <w:sz w:val="20"/>
                <w:szCs w:val="20"/>
              </w:rPr>
            </w:pPr>
            <w:r>
              <w:rPr>
                <w:b/>
                <w:bCs/>
                <w:color w:val="FFFFFF"/>
                <w:sz w:val="20"/>
                <w:szCs w:val="20"/>
              </w:rPr>
              <w:t>URGENT</w:t>
            </w:r>
          </w:p>
        </w:tc>
        <w:tc>
          <w:tcPr>
            <w:tcW w:w="1396" w:type="pct"/>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4F6F48" w:rsidRDefault="004F6F48">
            <w:pPr>
              <w:rPr>
                <w:b/>
                <w:bCs/>
                <w:color w:val="FFFFFF"/>
                <w:sz w:val="20"/>
                <w:szCs w:val="20"/>
              </w:rPr>
            </w:pPr>
            <w:r>
              <w:rPr>
                <w:b/>
                <w:bCs/>
                <w:color w:val="FFFFFF"/>
                <w:sz w:val="20"/>
                <w:szCs w:val="20"/>
              </w:rPr>
              <w:t>ERCOT Opinion</w:t>
            </w:r>
          </w:p>
        </w:tc>
      </w:tr>
      <w:tr w:rsidR="004F6F48" w:rsidTr="004F6F48">
        <w:tc>
          <w:tcPr>
            <w:tcW w:w="5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6F48" w:rsidRDefault="004F6F48">
            <w:pPr>
              <w:rPr>
                <w:b/>
                <w:bCs/>
                <w:color w:val="000000"/>
                <w:sz w:val="20"/>
                <w:szCs w:val="20"/>
              </w:rPr>
            </w:pPr>
            <w:r>
              <w:rPr>
                <w:b/>
                <w:bCs/>
                <w:color w:val="000000"/>
                <w:sz w:val="20"/>
                <w:szCs w:val="20"/>
              </w:rPr>
              <w:t>1030NPRR</w:t>
            </w:r>
          </w:p>
        </w:tc>
        <w:tc>
          <w:tcPr>
            <w:tcW w:w="2623"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b/>
                <w:bCs/>
                <w:color w:val="000000"/>
                <w:sz w:val="20"/>
                <w:szCs w:val="20"/>
              </w:rPr>
            </w:pPr>
            <w:r>
              <w:rPr>
                <w:b/>
                <w:bCs/>
                <w:color w:val="000000"/>
                <w:sz w:val="20"/>
                <w:szCs w:val="20"/>
              </w:rPr>
              <w:t xml:space="preserve">Modify Allocator for CRR Auction Revenue Distribution.  </w:t>
            </w:r>
            <w:r>
              <w:rPr>
                <w:color w:val="000000"/>
                <w:sz w:val="20"/>
                <w:szCs w:val="20"/>
              </w:rPr>
              <w:t>This Nodal Protocol Revision Request (NPRR) changes the Congestion Revenue Right (CRR) Auction Revenue Distribution (CARD) allocation methodology from a peak 15-minute Settlement Interval to Load Ratio Share (LRS) based on Adjusted Metered Load (AML) totals for the entirety of each month, with parallel changes also proposed for the CRR Balancing Account (CRRBA) and certain Block Load Transfers (BLTs) for consistency and to simplify implementation.  [ERCOT]</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jc w:val="center"/>
              <w:rPr>
                <w:color w:val="000000"/>
                <w:sz w:val="20"/>
                <w:szCs w:val="20"/>
              </w:rPr>
            </w:pPr>
            <w:r>
              <w:rPr>
                <w:color w:val="000000"/>
                <w:sz w:val="20"/>
                <w:szCs w:val="20"/>
              </w:rPr>
              <w:t>Y</w:t>
            </w:r>
          </w:p>
        </w:tc>
        <w:tc>
          <w:tcPr>
            <w:tcW w:w="139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sz w:val="20"/>
                <w:szCs w:val="20"/>
              </w:rPr>
            </w:pPr>
            <w:r>
              <w:rPr>
                <w:sz w:val="20"/>
                <w:szCs w:val="20"/>
              </w:rPr>
              <w:t>ERCOT supports approval of NPRR1030</w:t>
            </w:r>
          </w:p>
        </w:tc>
      </w:tr>
      <w:tr w:rsidR="004F6F48" w:rsidTr="004F6F48">
        <w:tc>
          <w:tcPr>
            <w:tcW w:w="5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6F48" w:rsidRDefault="004F6F48">
            <w:pPr>
              <w:rPr>
                <w:b/>
                <w:bCs/>
                <w:color w:val="000000"/>
                <w:sz w:val="20"/>
                <w:szCs w:val="20"/>
              </w:rPr>
            </w:pPr>
            <w:r>
              <w:rPr>
                <w:b/>
                <w:bCs/>
                <w:color w:val="000000"/>
                <w:sz w:val="20"/>
                <w:szCs w:val="20"/>
              </w:rPr>
              <w:t>984NPRR</w:t>
            </w:r>
          </w:p>
        </w:tc>
        <w:tc>
          <w:tcPr>
            <w:tcW w:w="2623"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b/>
                <w:bCs/>
                <w:color w:val="000000"/>
                <w:sz w:val="20"/>
                <w:szCs w:val="20"/>
              </w:rPr>
            </w:pPr>
            <w:r>
              <w:rPr>
                <w:b/>
                <w:bCs/>
                <w:color w:val="000000"/>
                <w:sz w:val="20"/>
                <w:szCs w:val="20"/>
              </w:rPr>
              <w:t xml:space="preserve">Change ERS Standard Contract Terms.  </w:t>
            </w:r>
            <w:r>
              <w:rPr>
                <w:color w:val="000000"/>
                <w:sz w:val="20"/>
                <w:szCs w:val="20"/>
              </w:rPr>
              <w:t>This Nodal Protocol Revision Request (NPRR) changes the number of Emergency Response Service (ERS) Standard Contract Terms from three to four Standard Contract Terms per program year.  [ERCOT]</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jc w:val="center"/>
              <w:rPr>
                <w:color w:val="000000"/>
                <w:sz w:val="20"/>
                <w:szCs w:val="20"/>
              </w:rPr>
            </w:pPr>
            <w:r>
              <w:rPr>
                <w:color w:val="000000"/>
                <w:sz w:val="20"/>
                <w:szCs w:val="20"/>
              </w:rPr>
              <w:t>N</w:t>
            </w:r>
          </w:p>
        </w:tc>
        <w:tc>
          <w:tcPr>
            <w:tcW w:w="139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sz w:val="20"/>
                <w:szCs w:val="20"/>
              </w:rPr>
            </w:pPr>
            <w:r>
              <w:rPr>
                <w:sz w:val="20"/>
                <w:szCs w:val="20"/>
              </w:rPr>
              <w:t>ERCOT supports approval of NPRR984</w:t>
            </w:r>
          </w:p>
        </w:tc>
      </w:tr>
      <w:tr w:rsidR="004F6F48" w:rsidTr="004F6F48">
        <w:tc>
          <w:tcPr>
            <w:tcW w:w="5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6F48" w:rsidRDefault="004F6F48">
            <w:pPr>
              <w:rPr>
                <w:b/>
                <w:bCs/>
                <w:color w:val="000000"/>
                <w:sz w:val="20"/>
                <w:szCs w:val="20"/>
              </w:rPr>
            </w:pPr>
            <w:r>
              <w:rPr>
                <w:b/>
                <w:bCs/>
                <w:color w:val="000000"/>
                <w:sz w:val="20"/>
                <w:szCs w:val="20"/>
              </w:rPr>
              <w:t>996NPRR</w:t>
            </w:r>
          </w:p>
        </w:tc>
        <w:tc>
          <w:tcPr>
            <w:tcW w:w="2623"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b/>
                <w:bCs/>
                <w:color w:val="000000"/>
                <w:sz w:val="20"/>
                <w:szCs w:val="20"/>
              </w:rPr>
            </w:pPr>
            <w:r>
              <w:rPr>
                <w:b/>
                <w:bCs/>
                <w:color w:val="000000"/>
                <w:sz w:val="20"/>
                <w:szCs w:val="20"/>
              </w:rPr>
              <w:t xml:space="preserve">Alignment of Hub Bus Names Between Protocols and ERCOT Model.  </w:t>
            </w:r>
            <w:r>
              <w:rPr>
                <w:color w:val="000000"/>
                <w:sz w:val="20"/>
                <w:szCs w:val="20"/>
              </w:rPr>
              <w:t>This Nodal Protocol Revision Request (NPRR) aligns the Hub Bus names within Protocols with the substation names within the ERCOT model.  [ERCOT]</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jc w:val="center"/>
              <w:rPr>
                <w:color w:val="000000"/>
                <w:sz w:val="20"/>
                <w:szCs w:val="20"/>
              </w:rPr>
            </w:pPr>
            <w:r>
              <w:rPr>
                <w:color w:val="000000"/>
                <w:sz w:val="20"/>
                <w:szCs w:val="20"/>
              </w:rPr>
              <w:t>N</w:t>
            </w:r>
          </w:p>
        </w:tc>
        <w:tc>
          <w:tcPr>
            <w:tcW w:w="139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sz w:val="20"/>
                <w:szCs w:val="20"/>
              </w:rPr>
            </w:pPr>
            <w:r>
              <w:rPr>
                <w:sz w:val="20"/>
                <w:szCs w:val="20"/>
              </w:rPr>
              <w:t>ERCOT supports approval of NPRR996</w:t>
            </w:r>
          </w:p>
        </w:tc>
      </w:tr>
      <w:tr w:rsidR="004F6F48" w:rsidTr="004F6F48">
        <w:tc>
          <w:tcPr>
            <w:tcW w:w="5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6F48" w:rsidRDefault="004F6F48">
            <w:pPr>
              <w:rPr>
                <w:b/>
                <w:bCs/>
                <w:color w:val="000000"/>
                <w:sz w:val="20"/>
                <w:szCs w:val="20"/>
              </w:rPr>
            </w:pPr>
            <w:r>
              <w:rPr>
                <w:b/>
                <w:bCs/>
                <w:color w:val="000000"/>
                <w:sz w:val="20"/>
                <w:szCs w:val="20"/>
              </w:rPr>
              <w:t>1000NPRR</w:t>
            </w:r>
          </w:p>
        </w:tc>
        <w:tc>
          <w:tcPr>
            <w:tcW w:w="2623"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b/>
                <w:bCs/>
                <w:color w:val="000000"/>
                <w:sz w:val="20"/>
                <w:szCs w:val="20"/>
              </w:rPr>
            </w:pPr>
            <w:r>
              <w:rPr>
                <w:b/>
                <w:bCs/>
                <w:color w:val="000000"/>
                <w:sz w:val="20"/>
                <w:szCs w:val="20"/>
              </w:rPr>
              <w:t xml:space="preserve">Elimination of Dynamically Scheduled Resources. </w:t>
            </w:r>
            <w:r>
              <w:rPr>
                <w:color w:val="000000"/>
                <w:sz w:val="20"/>
                <w:szCs w:val="20"/>
              </w:rPr>
              <w:t> This Nodal Protocol Revision Request (NPRR) removes the term Dynamically Scheduled Resource (DSR) from the Protocols.  [Denton Municipal Electric]</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jc w:val="center"/>
              <w:rPr>
                <w:color w:val="000000"/>
                <w:sz w:val="20"/>
                <w:szCs w:val="20"/>
              </w:rPr>
            </w:pPr>
            <w:r>
              <w:rPr>
                <w:color w:val="000000"/>
                <w:sz w:val="20"/>
                <w:szCs w:val="20"/>
              </w:rPr>
              <w:t>N</w:t>
            </w:r>
          </w:p>
        </w:tc>
        <w:tc>
          <w:tcPr>
            <w:tcW w:w="139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sz w:val="20"/>
                <w:szCs w:val="20"/>
              </w:rPr>
            </w:pPr>
            <w:r>
              <w:rPr>
                <w:sz w:val="20"/>
                <w:szCs w:val="20"/>
              </w:rPr>
              <w:t>ERCOT supports approval of NPRR1000</w:t>
            </w:r>
          </w:p>
        </w:tc>
      </w:tr>
      <w:tr w:rsidR="004F6F48" w:rsidTr="004F6F48">
        <w:tc>
          <w:tcPr>
            <w:tcW w:w="5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6F48" w:rsidRDefault="004F6F48">
            <w:pPr>
              <w:rPr>
                <w:b/>
                <w:bCs/>
                <w:color w:val="000000"/>
                <w:sz w:val="20"/>
                <w:szCs w:val="20"/>
              </w:rPr>
            </w:pPr>
            <w:r>
              <w:rPr>
                <w:b/>
                <w:bCs/>
                <w:color w:val="000000"/>
                <w:sz w:val="20"/>
                <w:szCs w:val="20"/>
              </w:rPr>
              <w:t>1002NPRR</w:t>
            </w:r>
          </w:p>
        </w:tc>
        <w:tc>
          <w:tcPr>
            <w:tcW w:w="2623"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b/>
                <w:bCs/>
                <w:color w:val="000000"/>
                <w:sz w:val="20"/>
                <w:szCs w:val="20"/>
              </w:rPr>
            </w:pPr>
            <w:r>
              <w:rPr>
                <w:b/>
                <w:bCs/>
                <w:color w:val="000000"/>
                <w:sz w:val="20"/>
                <w:szCs w:val="20"/>
              </w:rPr>
              <w:t xml:space="preserve">BESTF-5 Energy Storage Resource Single Model Registration and Charging Restrictions in Emergency Conditions.  </w:t>
            </w:r>
            <w:r>
              <w:rPr>
                <w:color w:val="000000"/>
                <w:sz w:val="20"/>
                <w:szCs w:val="20"/>
              </w:rPr>
              <w:t>This Nodal Protocol Revision Request (NPRR), along with its related Revision Requests, establishes Energy Storage Resource (ESR) "single model" registration and charging restrictions in Emergency Conditions.  [ERCOT]</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jc w:val="center"/>
              <w:rPr>
                <w:color w:val="000000"/>
                <w:sz w:val="20"/>
                <w:szCs w:val="20"/>
              </w:rPr>
            </w:pPr>
            <w:r>
              <w:rPr>
                <w:color w:val="000000"/>
                <w:sz w:val="20"/>
                <w:szCs w:val="20"/>
              </w:rPr>
              <w:t>N</w:t>
            </w:r>
          </w:p>
        </w:tc>
        <w:tc>
          <w:tcPr>
            <w:tcW w:w="139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sz w:val="20"/>
                <w:szCs w:val="20"/>
              </w:rPr>
            </w:pPr>
            <w:r>
              <w:rPr>
                <w:sz w:val="20"/>
                <w:szCs w:val="20"/>
              </w:rPr>
              <w:t>ERCOT supports approval of NPRR1002</w:t>
            </w:r>
          </w:p>
        </w:tc>
      </w:tr>
      <w:tr w:rsidR="004F6F48" w:rsidTr="004F6F48">
        <w:tc>
          <w:tcPr>
            <w:tcW w:w="5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6F48" w:rsidRDefault="004F6F48">
            <w:pPr>
              <w:rPr>
                <w:b/>
                <w:bCs/>
                <w:color w:val="000000"/>
                <w:sz w:val="20"/>
                <w:szCs w:val="20"/>
              </w:rPr>
            </w:pPr>
            <w:r>
              <w:rPr>
                <w:b/>
                <w:bCs/>
                <w:color w:val="000000"/>
                <w:sz w:val="20"/>
                <w:szCs w:val="20"/>
              </w:rPr>
              <w:t>1003NPRR</w:t>
            </w:r>
          </w:p>
        </w:tc>
        <w:tc>
          <w:tcPr>
            <w:tcW w:w="2623"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b/>
                <w:bCs/>
                <w:color w:val="000000"/>
                <w:sz w:val="20"/>
                <w:szCs w:val="20"/>
              </w:rPr>
            </w:pPr>
            <w:r>
              <w:rPr>
                <w:b/>
                <w:bCs/>
                <w:color w:val="000000"/>
                <w:sz w:val="20"/>
                <w:szCs w:val="20"/>
              </w:rPr>
              <w:t xml:space="preserve">Elimination of References to Resource Asset Registration Form.  </w:t>
            </w:r>
            <w:r>
              <w:rPr>
                <w:color w:val="000000"/>
                <w:sz w:val="20"/>
                <w:szCs w:val="20"/>
              </w:rPr>
              <w:t>This Nodal Protocol Revision Request (NPRR) replaces all remaining references to the Resource Asset Registration Form (“RARF”) with more general language in anticipation of the elimination of the RARF.  [ERCOT]</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jc w:val="center"/>
              <w:rPr>
                <w:color w:val="000000"/>
                <w:sz w:val="20"/>
                <w:szCs w:val="20"/>
              </w:rPr>
            </w:pPr>
            <w:r>
              <w:rPr>
                <w:color w:val="000000"/>
                <w:sz w:val="20"/>
                <w:szCs w:val="20"/>
              </w:rPr>
              <w:t>N</w:t>
            </w:r>
          </w:p>
        </w:tc>
        <w:tc>
          <w:tcPr>
            <w:tcW w:w="139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sz w:val="20"/>
                <w:szCs w:val="20"/>
              </w:rPr>
            </w:pPr>
            <w:r>
              <w:rPr>
                <w:sz w:val="20"/>
                <w:szCs w:val="20"/>
              </w:rPr>
              <w:t>ERCOT supports approval of NPRR1003</w:t>
            </w:r>
          </w:p>
        </w:tc>
      </w:tr>
      <w:tr w:rsidR="004F6F48" w:rsidTr="004F6F48">
        <w:tc>
          <w:tcPr>
            <w:tcW w:w="5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6F48" w:rsidRDefault="004F6F48">
            <w:pPr>
              <w:rPr>
                <w:b/>
                <w:bCs/>
                <w:color w:val="000000"/>
                <w:sz w:val="20"/>
                <w:szCs w:val="20"/>
              </w:rPr>
            </w:pPr>
            <w:r>
              <w:rPr>
                <w:b/>
                <w:bCs/>
                <w:color w:val="000000"/>
                <w:sz w:val="20"/>
                <w:szCs w:val="20"/>
              </w:rPr>
              <w:t>1004NPRR</w:t>
            </w:r>
          </w:p>
        </w:tc>
        <w:tc>
          <w:tcPr>
            <w:tcW w:w="2623"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b/>
                <w:bCs/>
                <w:color w:val="000000"/>
                <w:sz w:val="20"/>
                <w:szCs w:val="20"/>
              </w:rPr>
            </w:pPr>
            <w:r>
              <w:rPr>
                <w:b/>
                <w:bCs/>
                <w:color w:val="000000"/>
                <w:sz w:val="20"/>
                <w:szCs w:val="20"/>
              </w:rPr>
              <w:t xml:space="preserve">Load Distribution Factor Process Update.  </w:t>
            </w:r>
            <w:r>
              <w:rPr>
                <w:color w:val="000000"/>
                <w:sz w:val="20"/>
                <w:szCs w:val="20"/>
              </w:rPr>
              <w:t>This Nodal Protocol Revision Request (NPRR) creates a new process for determining the Load distribution factors used in the Congestion Revenue Rights (CRR) Auctions and Day-Ahead Market (DAM) clearing.  [ERCOT]</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jc w:val="center"/>
              <w:rPr>
                <w:color w:val="000000"/>
                <w:sz w:val="20"/>
                <w:szCs w:val="20"/>
              </w:rPr>
            </w:pPr>
            <w:r>
              <w:rPr>
                <w:color w:val="000000"/>
                <w:sz w:val="20"/>
                <w:szCs w:val="20"/>
              </w:rPr>
              <w:t>N</w:t>
            </w:r>
          </w:p>
        </w:tc>
        <w:tc>
          <w:tcPr>
            <w:tcW w:w="139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sz w:val="20"/>
                <w:szCs w:val="20"/>
              </w:rPr>
            </w:pPr>
            <w:r>
              <w:rPr>
                <w:sz w:val="20"/>
                <w:szCs w:val="20"/>
              </w:rPr>
              <w:t>ERCOT supports approval of NPRR1004</w:t>
            </w:r>
          </w:p>
        </w:tc>
      </w:tr>
      <w:tr w:rsidR="004F6F48" w:rsidTr="004F6F48">
        <w:tc>
          <w:tcPr>
            <w:tcW w:w="5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6F48" w:rsidRDefault="004F6F48">
            <w:pPr>
              <w:rPr>
                <w:b/>
                <w:bCs/>
                <w:color w:val="000000"/>
                <w:sz w:val="20"/>
                <w:szCs w:val="20"/>
              </w:rPr>
            </w:pPr>
            <w:r>
              <w:rPr>
                <w:b/>
                <w:bCs/>
                <w:color w:val="000000"/>
                <w:sz w:val="20"/>
                <w:szCs w:val="20"/>
              </w:rPr>
              <w:t>1016NPRR</w:t>
            </w:r>
          </w:p>
        </w:tc>
        <w:tc>
          <w:tcPr>
            <w:tcW w:w="2623"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b/>
                <w:bCs/>
                <w:color w:val="000000"/>
                <w:sz w:val="20"/>
                <w:szCs w:val="20"/>
              </w:rPr>
            </w:pPr>
            <w:r>
              <w:rPr>
                <w:b/>
                <w:bCs/>
                <w:color w:val="000000"/>
                <w:sz w:val="20"/>
                <w:szCs w:val="20"/>
              </w:rPr>
              <w:t xml:space="preserve">Clarify Requirements for Distribution Generation Resources (DGRs) and Distribution Energy Storage Resources (DESRs).  </w:t>
            </w:r>
            <w:r>
              <w:rPr>
                <w:color w:val="000000"/>
                <w:sz w:val="20"/>
                <w:szCs w:val="20"/>
              </w:rPr>
              <w:t>This Nodal Protocol Revision Request (NPRR) clarifies various important reliability requirements for Distribution Generation Resources (DGRs) that are seeking qualification to provide Ancillary Service(s) and/or participate in Security-Constrained Economic Dispatch (SCED).  [ERCOT]</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jc w:val="center"/>
              <w:rPr>
                <w:color w:val="000000"/>
                <w:sz w:val="20"/>
                <w:szCs w:val="20"/>
              </w:rPr>
            </w:pPr>
            <w:r>
              <w:rPr>
                <w:color w:val="000000"/>
                <w:sz w:val="20"/>
                <w:szCs w:val="20"/>
              </w:rPr>
              <w:t>N</w:t>
            </w:r>
          </w:p>
        </w:tc>
        <w:tc>
          <w:tcPr>
            <w:tcW w:w="139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sz w:val="20"/>
                <w:szCs w:val="20"/>
              </w:rPr>
            </w:pPr>
            <w:r>
              <w:rPr>
                <w:sz w:val="20"/>
                <w:szCs w:val="20"/>
              </w:rPr>
              <w:t>ERCOT supports approval of NPRR1016</w:t>
            </w:r>
          </w:p>
        </w:tc>
      </w:tr>
      <w:tr w:rsidR="004F6F48" w:rsidTr="004F6F48">
        <w:tc>
          <w:tcPr>
            <w:tcW w:w="5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6F48" w:rsidRDefault="004F6F48">
            <w:pPr>
              <w:rPr>
                <w:b/>
                <w:bCs/>
                <w:color w:val="000000"/>
                <w:sz w:val="20"/>
                <w:szCs w:val="20"/>
              </w:rPr>
            </w:pPr>
            <w:r>
              <w:rPr>
                <w:b/>
                <w:bCs/>
                <w:color w:val="000000"/>
                <w:sz w:val="20"/>
                <w:szCs w:val="20"/>
              </w:rPr>
              <w:t>1015NPRR</w:t>
            </w:r>
          </w:p>
        </w:tc>
        <w:tc>
          <w:tcPr>
            <w:tcW w:w="2623"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b/>
                <w:bCs/>
                <w:color w:val="000000"/>
                <w:sz w:val="20"/>
                <w:szCs w:val="20"/>
              </w:rPr>
            </w:pPr>
            <w:r>
              <w:rPr>
                <w:b/>
                <w:bCs/>
                <w:color w:val="000000"/>
                <w:sz w:val="20"/>
                <w:szCs w:val="20"/>
              </w:rPr>
              <w:t xml:space="preserve">Clarification of DAM implementation of NPRR863 Phase 2.  </w:t>
            </w:r>
            <w:r>
              <w:rPr>
                <w:color w:val="000000"/>
                <w:sz w:val="20"/>
                <w:szCs w:val="20"/>
              </w:rPr>
              <w:t>This Nodal Protocol Revision Request (NPRR) clarifies the submission and reporting changes necessary in the market system to complete NPRR863, Creation of ERCOT Contingency Reserve Service and Revisions to Responsive Reserve, implementation of changes to Responsive Reserve (RRS), and addition of ERCOT Contingency Reserve Service (ECRS). Primarily this is to address the RRS “sub-types” of Primary Frequency Response, Fast Frequency Response (FFR), and Load Resources controlled by high-set under-frequency relays; and the ECRS “sub-types” of SCED-</w:t>
            </w:r>
            <w:proofErr w:type="spellStart"/>
            <w:r>
              <w:rPr>
                <w:color w:val="000000"/>
                <w:sz w:val="20"/>
                <w:szCs w:val="20"/>
              </w:rPr>
              <w:t>dispatchable</w:t>
            </w:r>
            <w:proofErr w:type="spellEnd"/>
            <w:r>
              <w:rPr>
                <w:color w:val="000000"/>
                <w:sz w:val="20"/>
                <w:szCs w:val="20"/>
              </w:rPr>
              <w:t xml:space="preserve"> and non-SCED-</w:t>
            </w:r>
            <w:proofErr w:type="spellStart"/>
            <w:r>
              <w:rPr>
                <w:color w:val="000000"/>
                <w:sz w:val="20"/>
                <w:szCs w:val="20"/>
              </w:rPr>
              <w:t>dispatchable</w:t>
            </w:r>
            <w:proofErr w:type="spellEnd"/>
            <w:r>
              <w:rPr>
                <w:color w:val="000000"/>
                <w:sz w:val="20"/>
                <w:szCs w:val="20"/>
              </w:rPr>
              <w:t xml:space="preserve"> with regard to Ancillary Service Offers, self-arrangement, and trades, as well as related reports.  [ERCOT]</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jc w:val="center"/>
              <w:rPr>
                <w:color w:val="000000"/>
                <w:sz w:val="20"/>
                <w:szCs w:val="20"/>
              </w:rPr>
            </w:pPr>
            <w:r>
              <w:rPr>
                <w:color w:val="000000"/>
                <w:sz w:val="20"/>
                <w:szCs w:val="20"/>
              </w:rPr>
              <w:t>Y</w:t>
            </w:r>
          </w:p>
        </w:tc>
        <w:tc>
          <w:tcPr>
            <w:tcW w:w="139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sz w:val="20"/>
                <w:szCs w:val="20"/>
              </w:rPr>
            </w:pPr>
            <w:r>
              <w:rPr>
                <w:sz w:val="20"/>
                <w:szCs w:val="20"/>
              </w:rPr>
              <w:t>ERCOT supports approval of NPRR1015</w:t>
            </w:r>
          </w:p>
        </w:tc>
      </w:tr>
      <w:tr w:rsidR="004F6F48" w:rsidTr="004F6F48">
        <w:tc>
          <w:tcPr>
            <w:tcW w:w="5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6F48" w:rsidRDefault="004F6F48">
            <w:pPr>
              <w:rPr>
                <w:b/>
                <w:bCs/>
                <w:color w:val="000000"/>
                <w:sz w:val="20"/>
                <w:szCs w:val="20"/>
              </w:rPr>
            </w:pPr>
            <w:r>
              <w:rPr>
                <w:b/>
                <w:bCs/>
                <w:color w:val="000000"/>
                <w:sz w:val="20"/>
                <w:szCs w:val="20"/>
              </w:rPr>
              <w:t>1020NPRR</w:t>
            </w:r>
          </w:p>
        </w:tc>
        <w:tc>
          <w:tcPr>
            <w:tcW w:w="2623"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color w:val="000000"/>
                <w:sz w:val="20"/>
                <w:szCs w:val="20"/>
              </w:rPr>
            </w:pPr>
            <w:r w:rsidRPr="004F6F48">
              <w:rPr>
                <w:b/>
                <w:bCs/>
                <w:color w:val="000000"/>
                <w:sz w:val="20"/>
                <w:szCs w:val="20"/>
              </w:rPr>
              <w:t>Allow Some Integrated Energy Storage Designs to Calculate Internal Loads</w:t>
            </w:r>
            <w:r>
              <w:rPr>
                <w:b/>
                <w:bCs/>
                <w:color w:val="000000"/>
                <w:sz w:val="20"/>
                <w:szCs w:val="20"/>
              </w:rPr>
              <w:t xml:space="preserve">.  </w:t>
            </w:r>
            <w:r w:rsidRPr="004F6F48">
              <w:rPr>
                <w:color w:val="000000"/>
                <w:sz w:val="20"/>
                <w:szCs w:val="20"/>
              </w:rPr>
              <w:t xml:space="preserve">This NPRR clarifies that emerging storage technologies can be interconnected and operated as a Resource and avail of Wholesale Storage Load (WSL) rules.  Specifically, the NPRR proposes to allow Energy Storage Resources (ESRs) with integrated Loads that cannot be metered as designed, to alternatively calculate these Loads using internal sensors.  This process will require an annual attestation from the Resource Entity. </w:t>
            </w:r>
            <w:bookmarkStart w:id="0" w:name="_GoBack"/>
            <w:bookmarkEnd w:id="0"/>
            <w:r>
              <w:rPr>
                <w:color w:val="000000"/>
                <w:sz w:val="20"/>
                <w:szCs w:val="20"/>
              </w:rPr>
              <w:t>[Tesla]</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jc w:val="center"/>
              <w:rPr>
                <w:color w:val="000000"/>
                <w:sz w:val="20"/>
                <w:szCs w:val="20"/>
              </w:rPr>
            </w:pPr>
            <w:r>
              <w:rPr>
                <w:color w:val="000000"/>
                <w:sz w:val="20"/>
                <w:szCs w:val="20"/>
              </w:rPr>
              <w:t>Y</w:t>
            </w:r>
          </w:p>
        </w:tc>
        <w:tc>
          <w:tcPr>
            <w:tcW w:w="139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sz w:val="20"/>
                <w:szCs w:val="20"/>
              </w:rPr>
            </w:pPr>
            <w:r>
              <w:rPr>
                <w:sz w:val="20"/>
                <w:szCs w:val="20"/>
              </w:rPr>
              <w:t>ERCOT supports approval of NPRR1020</w:t>
            </w:r>
          </w:p>
        </w:tc>
      </w:tr>
      <w:tr w:rsidR="004F6F48" w:rsidTr="004F6F48">
        <w:tc>
          <w:tcPr>
            <w:tcW w:w="5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6F48" w:rsidRDefault="004F6F48">
            <w:pPr>
              <w:rPr>
                <w:b/>
                <w:bCs/>
                <w:color w:val="000000"/>
                <w:sz w:val="20"/>
                <w:szCs w:val="20"/>
              </w:rPr>
            </w:pPr>
            <w:r>
              <w:rPr>
                <w:b/>
                <w:bCs/>
                <w:color w:val="000000"/>
                <w:sz w:val="20"/>
                <w:szCs w:val="20"/>
              </w:rPr>
              <w:t>023RRGRR</w:t>
            </w:r>
          </w:p>
        </w:tc>
        <w:tc>
          <w:tcPr>
            <w:tcW w:w="2623"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color w:val="000000"/>
                <w:sz w:val="20"/>
                <w:szCs w:val="20"/>
              </w:rPr>
            </w:pPr>
            <w:r>
              <w:rPr>
                <w:b/>
                <w:bCs/>
                <w:color w:val="000000"/>
                <w:sz w:val="20"/>
                <w:szCs w:val="20"/>
              </w:rPr>
              <w:t xml:space="preserve">Related to NPRR1002, BESTF-5 Energy Storage Resource Single Model Registration and Charging Restrictions in Emergency Conditions.  </w:t>
            </w:r>
            <w:r>
              <w:rPr>
                <w:color w:val="000000"/>
                <w:sz w:val="20"/>
                <w:szCs w:val="20"/>
              </w:rPr>
              <w:t>This Resource Registration Glossary Revision Request (RRGRR) establishes provisions and requirements in the Resource Registration Guide for Energy Storage Resources (ESRs) that are identical to those already in place for Generation Resources and Settlement Only Generators (SOGs).  [ERCOT]</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jc w:val="center"/>
              <w:rPr>
                <w:color w:val="000000"/>
                <w:sz w:val="20"/>
                <w:szCs w:val="20"/>
              </w:rPr>
            </w:pPr>
            <w:r>
              <w:rPr>
                <w:color w:val="000000"/>
                <w:sz w:val="20"/>
                <w:szCs w:val="20"/>
              </w:rPr>
              <w:t>N</w:t>
            </w:r>
          </w:p>
        </w:tc>
        <w:tc>
          <w:tcPr>
            <w:tcW w:w="139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sz w:val="20"/>
                <w:szCs w:val="20"/>
              </w:rPr>
            </w:pPr>
            <w:r>
              <w:rPr>
                <w:sz w:val="20"/>
                <w:szCs w:val="20"/>
              </w:rPr>
              <w:t>ERCOT supports approval of RRGRR023</w:t>
            </w:r>
          </w:p>
        </w:tc>
      </w:tr>
      <w:tr w:rsidR="004F6F48" w:rsidTr="004F6F48">
        <w:tc>
          <w:tcPr>
            <w:tcW w:w="5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6F48" w:rsidRDefault="004F6F48">
            <w:pPr>
              <w:rPr>
                <w:b/>
                <w:bCs/>
                <w:color w:val="000000"/>
                <w:sz w:val="20"/>
                <w:szCs w:val="20"/>
              </w:rPr>
            </w:pPr>
            <w:r>
              <w:rPr>
                <w:b/>
                <w:bCs/>
                <w:color w:val="000000"/>
                <w:sz w:val="20"/>
                <w:szCs w:val="20"/>
              </w:rPr>
              <w:t>024RRGRR</w:t>
            </w:r>
          </w:p>
        </w:tc>
        <w:tc>
          <w:tcPr>
            <w:tcW w:w="2623"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color w:val="000000"/>
                <w:sz w:val="20"/>
                <w:szCs w:val="20"/>
              </w:rPr>
            </w:pPr>
            <w:r>
              <w:rPr>
                <w:b/>
                <w:bCs/>
                <w:color w:val="000000"/>
                <w:sz w:val="20"/>
                <w:szCs w:val="20"/>
              </w:rPr>
              <w:t>Related to NPRR1003, Elimination of References to Resource Asset Registration Form.</w:t>
            </w:r>
            <w:r>
              <w:rPr>
                <w:color w:val="000000"/>
                <w:sz w:val="20"/>
                <w:szCs w:val="20"/>
              </w:rPr>
              <w:t>  This Resource Registration Glossary Revision Request (RRGRR) aligns the Resource Registration Glossary with changes proposed in NPRR1003, by replacing all remaining references to the Resource Asset Registration Form (“RARF”) with more general language in anticipation of the elimination of the RARF.  [ERCOT]</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jc w:val="center"/>
              <w:rPr>
                <w:color w:val="000000"/>
                <w:sz w:val="20"/>
                <w:szCs w:val="20"/>
              </w:rPr>
            </w:pPr>
            <w:r>
              <w:rPr>
                <w:color w:val="000000"/>
                <w:sz w:val="20"/>
                <w:szCs w:val="20"/>
              </w:rPr>
              <w:t>N</w:t>
            </w:r>
          </w:p>
        </w:tc>
        <w:tc>
          <w:tcPr>
            <w:tcW w:w="139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sz w:val="20"/>
                <w:szCs w:val="20"/>
              </w:rPr>
            </w:pPr>
            <w:r>
              <w:rPr>
                <w:sz w:val="20"/>
                <w:szCs w:val="20"/>
              </w:rPr>
              <w:t>ERCOT supports approval of RRGRR024</w:t>
            </w:r>
          </w:p>
        </w:tc>
      </w:tr>
      <w:tr w:rsidR="004F6F48" w:rsidTr="004F6F48">
        <w:tc>
          <w:tcPr>
            <w:tcW w:w="5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6F48" w:rsidRDefault="004F6F48">
            <w:pPr>
              <w:rPr>
                <w:b/>
                <w:bCs/>
                <w:color w:val="000000"/>
                <w:sz w:val="20"/>
                <w:szCs w:val="20"/>
              </w:rPr>
            </w:pPr>
            <w:r>
              <w:rPr>
                <w:b/>
                <w:bCs/>
                <w:color w:val="000000"/>
                <w:sz w:val="20"/>
                <w:szCs w:val="20"/>
              </w:rPr>
              <w:t>026RRGRR</w:t>
            </w:r>
          </w:p>
        </w:tc>
        <w:tc>
          <w:tcPr>
            <w:tcW w:w="2623"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color w:val="000000"/>
                <w:sz w:val="20"/>
                <w:szCs w:val="20"/>
              </w:rPr>
            </w:pPr>
            <w:r>
              <w:rPr>
                <w:b/>
                <w:bCs/>
                <w:color w:val="000000"/>
                <w:sz w:val="20"/>
                <w:szCs w:val="20"/>
              </w:rPr>
              <w:t>Related to NPRR1016, Clarify Requirements for Distribution Generation Resources (DGRs) and Distribution Energy Storage Resources (DESRs).</w:t>
            </w:r>
            <w:r>
              <w:rPr>
                <w:color w:val="000000"/>
                <w:sz w:val="20"/>
                <w:szCs w:val="20"/>
              </w:rPr>
              <w:t>  This Resource Registration Glossary Revision Request (RRGRR) adds a new data point to support implementation of an interim solution for representing DGRs and DESRs in the ERCOT Network Operations Model.  [ERCOT]</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jc w:val="center"/>
              <w:rPr>
                <w:color w:val="000000"/>
                <w:sz w:val="20"/>
                <w:szCs w:val="20"/>
              </w:rPr>
            </w:pPr>
            <w:r>
              <w:rPr>
                <w:color w:val="000000"/>
                <w:sz w:val="20"/>
                <w:szCs w:val="20"/>
              </w:rPr>
              <w:t>N</w:t>
            </w:r>
          </w:p>
        </w:tc>
        <w:tc>
          <w:tcPr>
            <w:tcW w:w="139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sz w:val="20"/>
                <w:szCs w:val="20"/>
              </w:rPr>
            </w:pPr>
            <w:r>
              <w:rPr>
                <w:sz w:val="20"/>
                <w:szCs w:val="20"/>
              </w:rPr>
              <w:t>ERCOT supports approval of RRGRR026</w:t>
            </w:r>
          </w:p>
        </w:tc>
      </w:tr>
      <w:tr w:rsidR="004F6F48" w:rsidTr="004F6F48">
        <w:tc>
          <w:tcPr>
            <w:tcW w:w="5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6F48" w:rsidRDefault="004F6F48">
            <w:pPr>
              <w:rPr>
                <w:b/>
                <w:bCs/>
                <w:color w:val="000000"/>
                <w:sz w:val="20"/>
                <w:szCs w:val="20"/>
              </w:rPr>
            </w:pPr>
            <w:r>
              <w:rPr>
                <w:b/>
                <w:bCs/>
                <w:color w:val="000000"/>
                <w:sz w:val="20"/>
                <w:szCs w:val="20"/>
              </w:rPr>
              <w:t>076PGRR</w:t>
            </w:r>
          </w:p>
        </w:tc>
        <w:tc>
          <w:tcPr>
            <w:tcW w:w="2623"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color w:val="000000"/>
                <w:sz w:val="20"/>
                <w:szCs w:val="20"/>
              </w:rPr>
            </w:pPr>
            <w:r>
              <w:rPr>
                <w:b/>
                <w:bCs/>
                <w:color w:val="000000"/>
                <w:sz w:val="20"/>
                <w:szCs w:val="20"/>
              </w:rPr>
              <w:t>Improvements to Generation Resource Interconnection or Change Request (GINR) Process.</w:t>
            </w:r>
            <w:r>
              <w:rPr>
                <w:color w:val="000000"/>
                <w:sz w:val="20"/>
                <w:szCs w:val="20"/>
              </w:rPr>
              <w:t>  This Planning Guide Revision Request (PGRR) proposes a number of small changes to the Generation Resource Interconnection or Change Request (GINR) process as discussed at various Resource Integration Workshops.  The changes include the value that must be increased to meet paragraph (1)(b)(</w:t>
            </w:r>
            <w:proofErr w:type="spellStart"/>
            <w:r>
              <w:rPr>
                <w:color w:val="000000"/>
                <w:sz w:val="20"/>
                <w:szCs w:val="20"/>
              </w:rPr>
              <w:t>i</w:t>
            </w:r>
            <w:proofErr w:type="spellEnd"/>
            <w:r>
              <w:rPr>
                <w:color w:val="000000"/>
                <w:sz w:val="20"/>
                <w:szCs w:val="20"/>
              </w:rPr>
              <w:t>) of Section 5.1.1; specifying that the proposed Commercial Operations Date entered in the initial GINR application must be 15 months or greater than the date of the application; redefinition of the Security Screening Study output; creation of separate reports for the Full Interconnection Study (FIS); reactive study coordination; and clarification when the dynamic data model should be submitted to meet the quarterly stability assessment prerequisite deadlines.  [ERCOT]</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jc w:val="center"/>
              <w:rPr>
                <w:color w:val="000000"/>
                <w:sz w:val="20"/>
                <w:szCs w:val="20"/>
              </w:rPr>
            </w:pPr>
            <w:r>
              <w:rPr>
                <w:color w:val="000000"/>
                <w:sz w:val="20"/>
                <w:szCs w:val="20"/>
              </w:rPr>
              <w:t>N</w:t>
            </w:r>
          </w:p>
        </w:tc>
        <w:tc>
          <w:tcPr>
            <w:tcW w:w="139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sz w:val="20"/>
                <w:szCs w:val="20"/>
              </w:rPr>
            </w:pPr>
            <w:r>
              <w:rPr>
                <w:sz w:val="20"/>
                <w:szCs w:val="20"/>
              </w:rPr>
              <w:t>ERCOT supports approval of PGRR076</w:t>
            </w:r>
          </w:p>
        </w:tc>
      </w:tr>
      <w:tr w:rsidR="004F6F48" w:rsidTr="004F6F48">
        <w:tc>
          <w:tcPr>
            <w:tcW w:w="5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6F48" w:rsidRDefault="004F6F48">
            <w:pPr>
              <w:rPr>
                <w:b/>
                <w:bCs/>
                <w:color w:val="000000"/>
                <w:sz w:val="20"/>
                <w:szCs w:val="20"/>
              </w:rPr>
            </w:pPr>
            <w:r>
              <w:rPr>
                <w:b/>
                <w:bCs/>
                <w:color w:val="000000"/>
                <w:sz w:val="20"/>
                <w:szCs w:val="20"/>
              </w:rPr>
              <w:t>079PGRR</w:t>
            </w:r>
          </w:p>
        </w:tc>
        <w:tc>
          <w:tcPr>
            <w:tcW w:w="2623"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color w:val="000000"/>
                <w:sz w:val="20"/>
                <w:szCs w:val="20"/>
              </w:rPr>
            </w:pPr>
            <w:r>
              <w:rPr>
                <w:b/>
                <w:bCs/>
                <w:color w:val="000000"/>
                <w:sz w:val="20"/>
                <w:szCs w:val="20"/>
              </w:rPr>
              <w:t>Related to NPRR1003, Elimination of References to Resource Asset Registration Form.</w:t>
            </w:r>
            <w:r>
              <w:rPr>
                <w:color w:val="000000"/>
                <w:sz w:val="20"/>
                <w:szCs w:val="20"/>
              </w:rPr>
              <w:t>  This Planning Guide Revision Request (PGRR) aligns the Planning Guide with changes proposed in NPRR1003, by replacing all remaining references to the Resource Asset Registration Form (“RARF”) with more general language in anticipation of the elimination of the RARF.  [ERCOT]</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jc w:val="center"/>
              <w:rPr>
                <w:color w:val="000000"/>
                <w:sz w:val="20"/>
                <w:szCs w:val="20"/>
              </w:rPr>
            </w:pPr>
            <w:r>
              <w:rPr>
                <w:color w:val="000000"/>
                <w:sz w:val="20"/>
                <w:szCs w:val="20"/>
              </w:rPr>
              <w:t>N</w:t>
            </w:r>
          </w:p>
        </w:tc>
        <w:tc>
          <w:tcPr>
            <w:tcW w:w="139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sz w:val="20"/>
                <w:szCs w:val="20"/>
              </w:rPr>
            </w:pPr>
            <w:r>
              <w:rPr>
                <w:sz w:val="20"/>
                <w:szCs w:val="20"/>
              </w:rPr>
              <w:t>ERCOT supports approval of PGRR079</w:t>
            </w:r>
          </w:p>
        </w:tc>
      </w:tr>
      <w:tr w:rsidR="004F6F48" w:rsidTr="004F6F48">
        <w:tc>
          <w:tcPr>
            <w:tcW w:w="5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6F48" w:rsidRDefault="004F6F48">
            <w:pPr>
              <w:rPr>
                <w:b/>
                <w:bCs/>
                <w:color w:val="000000"/>
                <w:sz w:val="20"/>
                <w:szCs w:val="20"/>
              </w:rPr>
            </w:pPr>
            <w:r>
              <w:rPr>
                <w:b/>
                <w:bCs/>
                <w:color w:val="000000"/>
                <w:sz w:val="20"/>
                <w:szCs w:val="20"/>
              </w:rPr>
              <w:t>195NOGRR</w:t>
            </w:r>
          </w:p>
        </w:tc>
        <w:tc>
          <w:tcPr>
            <w:tcW w:w="2623"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b/>
                <w:bCs/>
                <w:color w:val="000000"/>
                <w:sz w:val="20"/>
                <w:szCs w:val="20"/>
              </w:rPr>
            </w:pPr>
            <w:r>
              <w:rPr>
                <w:b/>
                <w:bCs/>
                <w:color w:val="000000"/>
                <w:sz w:val="20"/>
                <w:szCs w:val="20"/>
              </w:rPr>
              <w:t xml:space="preserve">Generator Voltage Control Tolerance Band. </w:t>
            </w:r>
            <w:r>
              <w:rPr>
                <w:color w:val="000000"/>
                <w:sz w:val="20"/>
                <w:szCs w:val="20"/>
              </w:rPr>
              <w:t> This Nodal Operating Guide Revision Request (NOGRR) addresses ERCOT audit recommendations from Texas Reliability Entity, Inc. (Texas RE) and proposes to modify generator voltage control tolerance bands.  [ERCOT]</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jc w:val="center"/>
              <w:rPr>
                <w:color w:val="000000"/>
                <w:sz w:val="20"/>
                <w:szCs w:val="20"/>
              </w:rPr>
            </w:pPr>
            <w:r>
              <w:rPr>
                <w:color w:val="000000"/>
                <w:sz w:val="20"/>
                <w:szCs w:val="20"/>
              </w:rPr>
              <w:t>N</w:t>
            </w:r>
          </w:p>
        </w:tc>
        <w:tc>
          <w:tcPr>
            <w:tcW w:w="139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sz w:val="20"/>
                <w:szCs w:val="20"/>
              </w:rPr>
            </w:pPr>
            <w:r>
              <w:rPr>
                <w:sz w:val="20"/>
                <w:szCs w:val="20"/>
              </w:rPr>
              <w:t>ERCOT supports approval of NOGRR195</w:t>
            </w:r>
          </w:p>
        </w:tc>
      </w:tr>
      <w:tr w:rsidR="004F6F48" w:rsidTr="004F6F48">
        <w:tc>
          <w:tcPr>
            <w:tcW w:w="5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6F48" w:rsidRDefault="004F6F48">
            <w:pPr>
              <w:rPr>
                <w:b/>
                <w:bCs/>
                <w:color w:val="000000"/>
                <w:sz w:val="20"/>
                <w:szCs w:val="20"/>
              </w:rPr>
            </w:pPr>
            <w:r>
              <w:rPr>
                <w:b/>
                <w:bCs/>
                <w:color w:val="000000"/>
                <w:sz w:val="20"/>
                <w:szCs w:val="20"/>
              </w:rPr>
              <w:t>208NOGRR</w:t>
            </w:r>
          </w:p>
        </w:tc>
        <w:tc>
          <w:tcPr>
            <w:tcW w:w="2623"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color w:val="000000"/>
                <w:sz w:val="20"/>
                <w:szCs w:val="20"/>
              </w:rPr>
            </w:pPr>
            <w:r>
              <w:rPr>
                <w:b/>
                <w:bCs/>
                <w:color w:val="000000"/>
                <w:sz w:val="20"/>
                <w:szCs w:val="20"/>
              </w:rPr>
              <w:t>Related to NPRR1002, BESTF-5 Energy Storage Resource Single Model Registration and Charging Restrictions in Emergency Conditions.</w:t>
            </w:r>
            <w:r>
              <w:rPr>
                <w:color w:val="000000"/>
                <w:sz w:val="20"/>
                <w:szCs w:val="20"/>
              </w:rPr>
              <w:t>  This Nodal Operating Guide Revision Request (NOGRR) aligns the Nodal Operating Guide with the Nodal Protocols as modified by NPRR1002, except Nodal Protocol Section 6.5.9.4.2, EEA Levels, which will be administratively synced with the Nodal Operating Guide following approval of NPRR1002.  [ERCOT]</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jc w:val="center"/>
              <w:rPr>
                <w:color w:val="000000"/>
                <w:sz w:val="20"/>
                <w:szCs w:val="20"/>
              </w:rPr>
            </w:pPr>
            <w:r>
              <w:rPr>
                <w:color w:val="000000"/>
                <w:sz w:val="20"/>
                <w:szCs w:val="20"/>
              </w:rPr>
              <w:t>N</w:t>
            </w:r>
          </w:p>
        </w:tc>
        <w:tc>
          <w:tcPr>
            <w:tcW w:w="139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sz w:val="20"/>
                <w:szCs w:val="20"/>
              </w:rPr>
            </w:pPr>
            <w:r>
              <w:rPr>
                <w:sz w:val="20"/>
                <w:szCs w:val="20"/>
              </w:rPr>
              <w:t>ERCOT supports approval of NOGRR208</w:t>
            </w:r>
          </w:p>
        </w:tc>
      </w:tr>
      <w:tr w:rsidR="004F6F48" w:rsidTr="004F6F48">
        <w:tc>
          <w:tcPr>
            <w:tcW w:w="5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6F48" w:rsidRDefault="004F6F48">
            <w:pPr>
              <w:rPr>
                <w:b/>
                <w:bCs/>
                <w:color w:val="000000"/>
                <w:sz w:val="20"/>
                <w:szCs w:val="20"/>
              </w:rPr>
            </w:pPr>
            <w:r>
              <w:rPr>
                <w:b/>
                <w:bCs/>
                <w:color w:val="000000"/>
                <w:sz w:val="20"/>
                <w:szCs w:val="20"/>
              </w:rPr>
              <w:t>209NOGRR</w:t>
            </w:r>
          </w:p>
        </w:tc>
        <w:tc>
          <w:tcPr>
            <w:tcW w:w="2623"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color w:val="000000"/>
                <w:sz w:val="20"/>
                <w:szCs w:val="20"/>
              </w:rPr>
            </w:pPr>
            <w:r>
              <w:rPr>
                <w:b/>
                <w:bCs/>
                <w:color w:val="000000"/>
                <w:sz w:val="20"/>
                <w:szCs w:val="20"/>
              </w:rPr>
              <w:t>Related to NPRR1003, Elimination of References to Resource Asset Registration Form</w:t>
            </w:r>
            <w:r>
              <w:rPr>
                <w:color w:val="000000"/>
                <w:sz w:val="20"/>
                <w:szCs w:val="20"/>
              </w:rPr>
              <w:t>.  This Nodal Operating Guide Revision Request (NOGRR) aligns the Nodal Operating Guide with changes proposed in NPRR1003, by replacing all remaining references to the Resource Asset Registration Form (“RARF”) with more general language in anticipation of the elimination of the RARF.  [ERCOT]</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jc w:val="center"/>
              <w:rPr>
                <w:color w:val="000000"/>
                <w:sz w:val="20"/>
                <w:szCs w:val="20"/>
              </w:rPr>
            </w:pPr>
            <w:r>
              <w:rPr>
                <w:color w:val="000000"/>
                <w:sz w:val="20"/>
                <w:szCs w:val="20"/>
              </w:rPr>
              <w:t>N</w:t>
            </w:r>
          </w:p>
        </w:tc>
        <w:tc>
          <w:tcPr>
            <w:tcW w:w="139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sz w:val="20"/>
                <w:szCs w:val="20"/>
              </w:rPr>
            </w:pPr>
            <w:r>
              <w:rPr>
                <w:sz w:val="20"/>
                <w:szCs w:val="20"/>
              </w:rPr>
              <w:t>ERCOT supports approval of NOGRR209</w:t>
            </w:r>
          </w:p>
        </w:tc>
      </w:tr>
      <w:tr w:rsidR="004F6F48" w:rsidTr="004F6F48">
        <w:tc>
          <w:tcPr>
            <w:tcW w:w="5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6F48" w:rsidRDefault="004F6F48">
            <w:pPr>
              <w:rPr>
                <w:b/>
                <w:bCs/>
                <w:color w:val="000000"/>
                <w:sz w:val="20"/>
                <w:szCs w:val="20"/>
              </w:rPr>
            </w:pPr>
            <w:r>
              <w:rPr>
                <w:b/>
                <w:bCs/>
                <w:color w:val="000000"/>
                <w:sz w:val="20"/>
                <w:szCs w:val="20"/>
              </w:rPr>
              <w:t>212NOGRR</w:t>
            </w:r>
          </w:p>
        </w:tc>
        <w:tc>
          <w:tcPr>
            <w:tcW w:w="2623"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color w:val="000000"/>
                <w:sz w:val="20"/>
                <w:szCs w:val="20"/>
              </w:rPr>
            </w:pPr>
            <w:r>
              <w:rPr>
                <w:b/>
                <w:bCs/>
                <w:color w:val="000000"/>
                <w:sz w:val="20"/>
                <w:szCs w:val="20"/>
              </w:rPr>
              <w:t>Related to NPRR1016, Clarify Requirements for Distribution Generation Resources (DGRs) and Distribution Energy Storage Resources (DESRs)</w:t>
            </w:r>
            <w:r>
              <w:rPr>
                <w:color w:val="000000"/>
                <w:sz w:val="20"/>
                <w:szCs w:val="20"/>
              </w:rPr>
              <w:t>.  This Nodal Operating Guide Revision Request (NOGRR) aligns the Nodal Operating Guide with revisions within NPRR1016 and clarifies various reliability requirements for Distribution Generation Resources (DGRs).  [ERCOT]</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jc w:val="center"/>
              <w:rPr>
                <w:color w:val="000000"/>
                <w:sz w:val="20"/>
                <w:szCs w:val="20"/>
              </w:rPr>
            </w:pPr>
            <w:r>
              <w:rPr>
                <w:color w:val="000000"/>
                <w:sz w:val="20"/>
                <w:szCs w:val="20"/>
              </w:rPr>
              <w:t>N</w:t>
            </w:r>
          </w:p>
        </w:tc>
        <w:tc>
          <w:tcPr>
            <w:tcW w:w="1396" w:type="pct"/>
            <w:tcBorders>
              <w:top w:val="nil"/>
              <w:left w:val="nil"/>
              <w:bottom w:val="single" w:sz="8" w:space="0" w:color="auto"/>
              <w:right w:val="single" w:sz="8" w:space="0" w:color="auto"/>
            </w:tcBorders>
            <w:tcMar>
              <w:top w:w="0" w:type="dxa"/>
              <w:left w:w="108" w:type="dxa"/>
              <w:bottom w:w="0" w:type="dxa"/>
              <w:right w:w="108" w:type="dxa"/>
            </w:tcMar>
            <w:hideMark/>
          </w:tcPr>
          <w:p w:rsidR="004F6F48" w:rsidRDefault="004F6F48">
            <w:pPr>
              <w:rPr>
                <w:sz w:val="20"/>
                <w:szCs w:val="20"/>
              </w:rPr>
            </w:pPr>
            <w:r>
              <w:rPr>
                <w:sz w:val="20"/>
                <w:szCs w:val="20"/>
              </w:rPr>
              <w:t>ERCOT supports approval of NOGRR212</w:t>
            </w:r>
          </w:p>
        </w:tc>
      </w:tr>
    </w:tbl>
    <w:p w:rsidR="00E60BF8" w:rsidRPr="00C174FF" w:rsidRDefault="00E60BF8" w:rsidP="00C174FF">
      <w:pPr>
        <w:tabs>
          <w:tab w:val="left" w:pos="6900"/>
        </w:tabs>
      </w:pPr>
    </w:p>
    <w:sectPr w:rsidR="00E60BF8" w:rsidRPr="00C174FF" w:rsidSect="00985FF4">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FEC" w:rsidRDefault="000A7FEC" w:rsidP="00985FF4">
      <w:r>
        <w:separator/>
      </w:r>
    </w:p>
  </w:endnote>
  <w:endnote w:type="continuationSeparator" w:id="0">
    <w:p w:rsidR="000A7FEC" w:rsidRDefault="000A7FEC" w:rsidP="0098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FEC" w:rsidRDefault="000A7FEC" w:rsidP="00985FF4">
      <w:r>
        <w:separator/>
      </w:r>
    </w:p>
  </w:footnote>
  <w:footnote w:type="continuationSeparator" w:id="0">
    <w:p w:rsidR="000A7FEC" w:rsidRDefault="000A7FEC" w:rsidP="00985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F4" w:rsidRDefault="00985FF4" w:rsidP="00985FF4">
    <w:pPr>
      <w:pStyle w:val="Header"/>
      <w:jc w:val="center"/>
    </w:pPr>
    <w:r>
      <w:t xml:space="preserve">ERCOT Opinions for the </w:t>
    </w:r>
    <w:r w:rsidR="00032EC2">
      <w:t>07/29/20 TAC Meeting</w:t>
    </w:r>
  </w:p>
  <w:p w:rsidR="00985FF4" w:rsidRDefault="00985FF4" w:rsidP="00985FF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F4"/>
    <w:rsid w:val="00032EC2"/>
    <w:rsid w:val="000A7FEC"/>
    <w:rsid w:val="00101E68"/>
    <w:rsid w:val="00124255"/>
    <w:rsid w:val="00131AD8"/>
    <w:rsid w:val="001A11D5"/>
    <w:rsid w:val="001F4319"/>
    <w:rsid w:val="00231C14"/>
    <w:rsid w:val="002378E5"/>
    <w:rsid w:val="00320D47"/>
    <w:rsid w:val="003504F7"/>
    <w:rsid w:val="003F25EE"/>
    <w:rsid w:val="0044443B"/>
    <w:rsid w:val="004447B8"/>
    <w:rsid w:val="004E1095"/>
    <w:rsid w:val="004F6F48"/>
    <w:rsid w:val="00502C7D"/>
    <w:rsid w:val="00566AFF"/>
    <w:rsid w:val="005A278D"/>
    <w:rsid w:val="005E147E"/>
    <w:rsid w:val="006256A5"/>
    <w:rsid w:val="00672B98"/>
    <w:rsid w:val="006F1E45"/>
    <w:rsid w:val="00715A89"/>
    <w:rsid w:val="00805A86"/>
    <w:rsid w:val="00825E43"/>
    <w:rsid w:val="008874B6"/>
    <w:rsid w:val="008F1FF2"/>
    <w:rsid w:val="0096024F"/>
    <w:rsid w:val="00981A1E"/>
    <w:rsid w:val="00985FF4"/>
    <w:rsid w:val="00993006"/>
    <w:rsid w:val="009B27B4"/>
    <w:rsid w:val="009B474D"/>
    <w:rsid w:val="009C5427"/>
    <w:rsid w:val="00A94986"/>
    <w:rsid w:val="00AC0725"/>
    <w:rsid w:val="00AD50EB"/>
    <w:rsid w:val="00B87C79"/>
    <w:rsid w:val="00BD6400"/>
    <w:rsid w:val="00BE7782"/>
    <w:rsid w:val="00C174FF"/>
    <w:rsid w:val="00C94AFF"/>
    <w:rsid w:val="00CC25B3"/>
    <w:rsid w:val="00D807DF"/>
    <w:rsid w:val="00E60BF8"/>
    <w:rsid w:val="00E666FF"/>
    <w:rsid w:val="00E950DB"/>
    <w:rsid w:val="00F73D35"/>
  </w:rsids>
  <m:mathPr>
    <m:mathFont m:val="Cambria Math"/>
    <m:brkBin m:val="before"/>
    <m:brkBinSub m:val="--"/>
    <m:smallFrac m:val="0"/>
    <m:dispDef/>
    <m:lMargin m:val="0"/>
    <m:rMargin m:val="0"/>
    <m:defJc m:val="centerGroup"/>
    <m:wrapIndent m:val="1440"/>
    <m:intLim m:val="undOvr"/>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B0B30-7FFB-4CFB-914C-C7F40986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F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FF4"/>
    <w:pPr>
      <w:tabs>
        <w:tab w:val="center" w:pos="4680"/>
        <w:tab w:val="right" w:pos="9360"/>
      </w:tabs>
    </w:pPr>
  </w:style>
  <w:style w:type="character" w:customStyle="1" w:styleId="HeaderChar">
    <w:name w:val="Header Char"/>
    <w:basedOn w:val="DefaultParagraphFont"/>
    <w:link w:val="Header"/>
    <w:uiPriority w:val="99"/>
    <w:rsid w:val="00985FF4"/>
    <w:rPr>
      <w:rFonts w:ascii="Calibri" w:hAnsi="Calibri" w:cs="Times New Roman"/>
    </w:rPr>
  </w:style>
  <w:style w:type="paragraph" w:styleId="Footer">
    <w:name w:val="footer"/>
    <w:basedOn w:val="Normal"/>
    <w:link w:val="FooterChar"/>
    <w:uiPriority w:val="99"/>
    <w:unhideWhenUsed/>
    <w:rsid w:val="00985FF4"/>
    <w:pPr>
      <w:tabs>
        <w:tab w:val="center" w:pos="4680"/>
        <w:tab w:val="right" w:pos="9360"/>
      </w:tabs>
    </w:pPr>
  </w:style>
  <w:style w:type="character" w:customStyle="1" w:styleId="FooterChar">
    <w:name w:val="Footer Char"/>
    <w:basedOn w:val="DefaultParagraphFont"/>
    <w:link w:val="Footer"/>
    <w:uiPriority w:val="99"/>
    <w:rsid w:val="00985FF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275">
      <w:bodyDiv w:val="1"/>
      <w:marLeft w:val="0"/>
      <w:marRight w:val="0"/>
      <w:marTop w:val="0"/>
      <w:marBottom w:val="0"/>
      <w:divBdr>
        <w:top w:val="none" w:sz="0" w:space="0" w:color="auto"/>
        <w:left w:val="none" w:sz="0" w:space="0" w:color="auto"/>
        <w:bottom w:val="none" w:sz="0" w:space="0" w:color="auto"/>
        <w:right w:val="none" w:sz="0" w:space="0" w:color="auto"/>
      </w:divBdr>
    </w:div>
    <w:div w:id="82455255">
      <w:bodyDiv w:val="1"/>
      <w:marLeft w:val="0"/>
      <w:marRight w:val="0"/>
      <w:marTop w:val="0"/>
      <w:marBottom w:val="0"/>
      <w:divBdr>
        <w:top w:val="none" w:sz="0" w:space="0" w:color="auto"/>
        <w:left w:val="none" w:sz="0" w:space="0" w:color="auto"/>
        <w:bottom w:val="none" w:sz="0" w:space="0" w:color="auto"/>
        <w:right w:val="none" w:sz="0" w:space="0" w:color="auto"/>
      </w:divBdr>
    </w:div>
    <w:div w:id="117261542">
      <w:bodyDiv w:val="1"/>
      <w:marLeft w:val="0"/>
      <w:marRight w:val="0"/>
      <w:marTop w:val="0"/>
      <w:marBottom w:val="0"/>
      <w:divBdr>
        <w:top w:val="none" w:sz="0" w:space="0" w:color="auto"/>
        <w:left w:val="none" w:sz="0" w:space="0" w:color="auto"/>
        <w:bottom w:val="none" w:sz="0" w:space="0" w:color="auto"/>
        <w:right w:val="none" w:sz="0" w:space="0" w:color="auto"/>
      </w:divBdr>
    </w:div>
    <w:div w:id="252594840">
      <w:bodyDiv w:val="1"/>
      <w:marLeft w:val="0"/>
      <w:marRight w:val="0"/>
      <w:marTop w:val="0"/>
      <w:marBottom w:val="0"/>
      <w:divBdr>
        <w:top w:val="none" w:sz="0" w:space="0" w:color="auto"/>
        <w:left w:val="none" w:sz="0" w:space="0" w:color="auto"/>
        <w:bottom w:val="none" w:sz="0" w:space="0" w:color="auto"/>
        <w:right w:val="none" w:sz="0" w:space="0" w:color="auto"/>
      </w:divBdr>
    </w:div>
    <w:div w:id="277222086">
      <w:bodyDiv w:val="1"/>
      <w:marLeft w:val="0"/>
      <w:marRight w:val="0"/>
      <w:marTop w:val="0"/>
      <w:marBottom w:val="0"/>
      <w:divBdr>
        <w:top w:val="none" w:sz="0" w:space="0" w:color="auto"/>
        <w:left w:val="none" w:sz="0" w:space="0" w:color="auto"/>
        <w:bottom w:val="none" w:sz="0" w:space="0" w:color="auto"/>
        <w:right w:val="none" w:sz="0" w:space="0" w:color="auto"/>
      </w:divBdr>
    </w:div>
    <w:div w:id="320355680">
      <w:bodyDiv w:val="1"/>
      <w:marLeft w:val="0"/>
      <w:marRight w:val="0"/>
      <w:marTop w:val="0"/>
      <w:marBottom w:val="0"/>
      <w:divBdr>
        <w:top w:val="none" w:sz="0" w:space="0" w:color="auto"/>
        <w:left w:val="none" w:sz="0" w:space="0" w:color="auto"/>
        <w:bottom w:val="none" w:sz="0" w:space="0" w:color="auto"/>
        <w:right w:val="none" w:sz="0" w:space="0" w:color="auto"/>
      </w:divBdr>
    </w:div>
    <w:div w:id="374476658">
      <w:bodyDiv w:val="1"/>
      <w:marLeft w:val="0"/>
      <w:marRight w:val="0"/>
      <w:marTop w:val="0"/>
      <w:marBottom w:val="0"/>
      <w:divBdr>
        <w:top w:val="none" w:sz="0" w:space="0" w:color="auto"/>
        <w:left w:val="none" w:sz="0" w:space="0" w:color="auto"/>
        <w:bottom w:val="none" w:sz="0" w:space="0" w:color="auto"/>
        <w:right w:val="none" w:sz="0" w:space="0" w:color="auto"/>
      </w:divBdr>
    </w:div>
    <w:div w:id="634944373">
      <w:bodyDiv w:val="1"/>
      <w:marLeft w:val="0"/>
      <w:marRight w:val="0"/>
      <w:marTop w:val="0"/>
      <w:marBottom w:val="0"/>
      <w:divBdr>
        <w:top w:val="none" w:sz="0" w:space="0" w:color="auto"/>
        <w:left w:val="none" w:sz="0" w:space="0" w:color="auto"/>
        <w:bottom w:val="none" w:sz="0" w:space="0" w:color="auto"/>
        <w:right w:val="none" w:sz="0" w:space="0" w:color="auto"/>
      </w:divBdr>
    </w:div>
    <w:div w:id="775951168">
      <w:bodyDiv w:val="1"/>
      <w:marLeft w:val="0"/>
      <w:marRight w:val="0"/>
      <w:marTop w:val="0"/>
      <w:marBottom w:val="0"/>
      <w:divBdr>
        <w:top w:val="none" w:sz="0" w:space="0" w:color="auto"/>
        <w:left w:val="none" w:sz="0" w:space="0" w:color="auto"/>
        <w:bottom w:val="none" w:sz="0" w:space="0" w:color="auto"/>
        <w:right w:val="none" w:sz="0" w:space="0" w:color="auto"/>
      </w:divBdr>
    </w:div>
    <w:div w:id="799686778">
      <w:bodyDiv w:val="1"/>
      <w:marLeft w:val="0"/>
      <w:marRight w:val="0"/>
      <w:marTop w:val="0"/>
      <w:marBottom w:val="0"/>
      <w:divBdr>
        <w:top w:val="none" w:sz="0" w:space="0" w:color="auto"/>
        <w:left w:val="none" w:sz="0" w:space="0" w:color="auto"/>
        <w:bottom w:val="none" w:sz="0" w:space="0" w:color="auto"/>
        <w:right w:val="none" w:sz="0" w:space="0" w:color="auto"/>
      </w:divBdr>
    </w:div>
    <w:div w:id="866137790">
      <w:bodyDiv w:val="1"/>
      <w:marLeft w:val="0"/>
      <w:marRight w:val="0"/>
      <w:marTop w:val="0"/>
      <w:marBottom w:val="0"/>
      <w:divBdr>
        <w:top w:val="none" w:sz="0" w:space="0" w:color="auto"/>
        <w:left w:val="none" w:sz="0" w:space="0" w:color="auto"/>
        <w:bottom w:val="none" w:sz="0" w:space="0" w:color="auto"/>
        <w:right w:val="none" w:sz="0" w:space="0" w:color="auto"/>
      </w:divBdr>
    </w:div>
    <w:div w:id="881475590">
      <w:bodyDiv w:val="1"/>
      <w:marLeft w:val="0"/>
      <w:marRight w:val="0"/>
      <w:marTop w:val="0"/>
      <w:marBottom w:val="0"/>
      <w:divBdr>
        <w:top w:val="none" w:sz="0" w:space="0" w:color="auto"/>
        <w:left w:val="none" w:sz="0" w:space="0" w:color="auto"/>
        <w:bottom w:val="none" w:sz="0" w:space="0" w:color="auto"/>
        <w:right w:val="none" w:sz="0" w:space="0" w:color="auto"/>
      </w:divBdr>
    </w:div>
    <w:div w:id="897403659">
      <w:bodyDiv w:val="1"/>
      <w:marLeft w:val="0"/>
      <w:marRight w:val="0"/>
      <w:marTop w:val="0"/>
      <w:marBottom w:val="0"/>
      <w:divBdr>
        <w:top w:val="none" w:sz="0" w:space="0" w:color="auto"/>
        <w:left w:val="none" w:sz="0" w:space="0" w:color="auto"/>
        <w:bottom w:val="none" w:sz="0" w:space="0" w:color="auto"/>
        <w:right w:val="none" w:sz="0" w:space="0" w:color="auto"/>
      </w:divBdr>
    </w:div>
    <w:div w:id="1044254074">
      <w:bodyDiv w:val="1"/>
      <w:marLeft w:val="0"/>
      <w:marRight w:val="0"/>
      <w:marTop w:val="0"/>
      <w:marBottom w:val="0"/>
      <w:divBdr>
        <w:top w:val="none" w:sz="0" w:space="0" w:color="auto"/>
        <w:left w:val="none" w:sz="0" w:space="0" w:color="auto"/>
        <w:bottom w:val="none" w:sz="0" w:space="0" w:color="auto"/>
        <w:right w:val="none" w:sz="0" w:space="0" w:color="auto"/>
      </w:divBdr>
    </w:div>
    <w:div w:id="1076709242">
      <w:bodyDiv w:val="1"/>
      <w:marLeft w:val="0"/>
      <w:marRight w:val="0"/>
      <w:marTop w:val="0"/>
      <w:marBottom w:val="0"/>
      <w:divBdr>
        <w:top w:val="none" w:sz="0" w:space="0" w:color="auto"/>
        <w:left w:val="none" w:sz="0" w:space="0" w:color="auto"/>
        <w:bottom w:val="none" w:sz="0" w:space="0" w:color="auto"/>
        <w:right w:val="none" w:sz="0" w:space="0" w:color="auto"/>
      </w:divBdr>
    </w:div>
    <w:div w:id="1356153769">
      <w:bodyDiv w:val="1"/>
      <w:marLeft w:val="0"/>
      <w:marRight w:val="0"/>
      <w:marTop w:val="0"/>
      <w:marBottom w:val="0"/>
      <w:divBdr>
        <w:top w:val="none" w:sz="0" w:space="0" w:color="auto"/>
        <w:left w:val="none" w:sz="0" w:space="0" w:color="auto"/>
        <w:bottom w:val="none" w:sz="0" w:space="0" w:color="auto"/>
        <w:right w:val="none" w:sz="0" w:space="0" w:color="auto"/>
      </w:divBdr>
    </w:div>
    <w:div w:id="1400716356">
      <w:bodyDiv w:val="1"/>
      <w:marLeft w:val="0"/>
      <w:marRight w:val="0"/>
      <w:marTop w:val="0"/>
      <w:marBottom w:val="0"/>
      <w:divBdr>
        <w:top w:val="none" w:sz="0" w:space="0" w:color="auto"/>
        <w:left w:val="none" w:sz="0" w:space="0" w:color="auto"/>
        <w:bottom w:val="none" w:sz="0" w:space="0" w:color="auto"/>
        <w:right w:val="none" w:sz="0" w:space="0" w:color="auto"/>
      </w:divBdr>
    </w:div>
    <w:div w:id="1563639872">
      <w:bodyDiv w:val="1"/>
      <w:marLeft w:val="0"/>
      <w:marRight w:val="0"/>
      <w:marTop w:val="0"/>
      <w:marBottom w:val="0"/>
      <w:divBdr>
        <w:top w:val="none" w:sz="0" w:space="0" w:color="auto"/>
        <w:left w:val="none" w:sz="0" w:space="0" w:color="auto"/>
        <w:bottom w:val="none" w:sz="0" w:space="0" w:color="auto"/>
        <w:right w:val="none" w:sz="0" w:space="0" w:color="auto"/>
      </w:divBdr>
    </w:div>
    <w:div w:id="1671177245">
      <w:bodyDiv w:val="1"/>
      <w:marLeft w:val="0"/>
      <w:marRight w:val="0"/>
      <w:marTop w:val="0"/>
      <w:marBottom w:val="0"/>
      <w:divBdr>
        <w:top w:val="none" w:sz="0" w:space="0" w:color="auto"/>
        <w:left w:val="none" w:sz="0" w:space="0" w:color="auto"/>
        <w:bottom w:val="none" w:sz="0" w:space="0" w:color="auto"/>
        <w:right w:val="none" w:sz="0" w:space="0" w:color="auto"/>
      </w:divBdr>
    </w:div>
    <w:div w:id="1755206703">
      <w:bodyDiv w:val="1"/>
      <w:marLeft w:val="0"/>
      <w:marRight w:val="0"/>
      <w:marTop w:val="0"/>
      <w:marBottom w:val="0"/>
      <w:divBdr>
        <w:top w:val="none" w:sz="0" w:space="0" w:color="auto"/>
        <w:left w:val="none" w:sz="0" w:space="0" w:color="auto"/>
        <w:bottom w:val="none" w:sz="0" w:space="0" w:color="auto"/>
        <w:right w:val="none" w:sz="0" w:space="0" w:color="auto"/>
      </w:divBdr>
    </w:div>
    <w:div w:id="1766001281">
      <w:bodyDiv w:val="1"/>
      <w:marLeft w:val="0"/>
      <w:marRight w:val="0"/>
      <w:marTop w:val="0"/>
      <w:marBottom w:val="0"/>
      <w:divBdr>
        <w:top w:val="none" w:sz="0" w:space="0" w:color="auto"/>
        <w:left w:val="none" w:sz="0" w:space="0" w:color="auto"/>
        <w:bottom w:val="none" w:sz="0" w:space="0" w:color="auto"/>
        <w:right w:val="none" w:sz="0" w:space="0" w:color="auto"/>
      </w:divBdr>
    </w:div>
    <w:div w:id="1792288186">
      <w:bodyDiv w:val="1"/>
      <w:marLeft w:val="0"/>
      <w:marRight w:val="0"/>
      <w:marTop w:val="0"/>
      <w:marBottom w:val="0"/>
      <w:divBdr>
        <w:top w:val="none" w:sz="0" w:space="0" w:color="auto"/>
        <w:left w:val="none" w:sz="0" w:space="0" w:color="auto"/>
        <w:bottom w:val="none" w:sz="0" w:space="0" w:color="auto"/>
        <w:right w:val="none" w:sz="0" w:space="0" w:color="auto"/>
      </w:divBdr>
    </w:div>
    <w:div w:id="1929121916">
      <w:bodyDiv w:val="1"/>
      <w:marLeft w:val="0"/>
      <w:marRight w:val="0"/>
      <w:marTop w:val="0"/>
      <w:marBottom w:val="0"/>
      <w:divBdr>
        <w:top w:val="none" w:sz="0" w:space="0" w:color="auto"/>
        <w:left w:val="none" w:sz="0" w:space="0" w:color="auto"/>
        <w:bottom w:val="none" w:sz="0" w:space="0" w:color="auto"/>
        <w:right w:val="none" w:sz="0" w:space="0" w:color="auto"/>
      </w:divBdr>
    </w:div>
    <w:div w:id="1937984053">
      <w:bodyDiv w:val="1"/>
      <w:marLeft w:val="0"/>
      <w:marRight w:val="0"/>
      <w:marTop w:val="0"/>
      <w:marBottom w:val="0"/>
      <w:divBdr>
        <w:top w:val="none" w:sz="0" w:space="0" w:color="auto"/>
        <w:left w:val="none" w:sz="0" w:space="0" w:color="auto"/>
        <w:bottom w:val="none" w:sz="0" w:space="0" w:color="auto"/>
        <w:right w:val="none" w:sz="0" w:space="0" w:color="auto"/>
      </w:divBdr>
    </w:div>
    <w:div w:id="1987589995">
      <w:bodyDiv w:val="1"/>
      <w:marLeft w:val="0"/>
      <w:marRight w:val="0"/>
      <w:marTop w:val="0"/>
      <w:marBottom w:val="0"/>
      <w:divBdr>
        <w:top w:val="none" w:sz="0" w:space="0" w:color="auto"/>
        <w:left w:val="none" w:sz="0" w:space="0" w:color="auto"/>
        <w:bottom w:val="none" w:sz="0" w:space="0" w:color="auto"/>
        <w:right w:val="none" w:sz="0" w:space="0" w:color="auto"/>
      </w:divBdr>
    </w:div>
    <w:div w:id="2014186863">
      <w:bodyDiv w:val="1"/>
      <w:marLeft w:val="0"/>
      <w:marRight w:val="0"/>
      <w:marTop w:val="0"/>
      <w:marBottom w:val="0"/>
      <w:divBdr>
        <w:top w:val="none" w:sz="0" w:space="0" w:color="auto"/>
        <w:left w:val="none" w:sz="0" w:space="0" w:color="auto"/>
        <w:bottom w:val="none" w:sz="0" w:space="0" w:color="auto"/>
        <w:right w:val="none" w:sz="0" w:space="0" w:color="auto"/>
      </w:divBdr>
    </w:div>
    <w:div w:id="2054500067">
      <w:bodyDiv w:val="1"/>
      <w:marLeft w:val="0"/>
      <w:marRight w:val="0"/>
      <w:marTop w:val="0"/>
      <w:marBottom w:val="0"/>
      <w:divBdr>
        <w:top w:val="none" w:sz="0" w:space="0" w:color="auto"/>
        <w:left w:val="none" w:sz="0" w:space="0" w:color="auto"/>
        <w:bottom w:val="none" w:sz="0" w:space="0" w:color="auto"/>
        <w:right w:val="none" w:sz="0" w:space="0" w:color="auto"/>
      </w:divBdr>
    </w:div>
    <w:div w:id="2059626889">
      <w:bodyDiv w:val="1"/>
      <w:marLeft w:val="0"/>
      <w:marRight w:val="0"/>
      <w:marTop w:val="0"/>
      <w:marBottom w:val="0"/>
      <w:divBdr>
        <w:top w:val="none" w:sz="0" w:space="0" w:color="auto"/>
        <w:left w:val="none" w:sz="0" w:space="0" w:color="auto"/>
        <w:bottom w:val="none" w:sz="0" w:space="0" w:color="auto"/>
        <w:right w:val="none" w:sz="0" w:space="0" w:color="auto"/>
      </w:divBdr>
    </w:div>
    <w:div w:id="207188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1255</Words>
  <Characters>7158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Luminant 01XX19</dc:creator>
  <cp:keywords/>
  <dc:description/>
  <cp:lastModifiedBy>A. Boren</cp:lastModifiedBy>
  <cp:revision>2</cp:revision>
  <dcterms:created xsi:type="dcterms:W3CDTF">2020-07-21T16:30:00Z</dcterms:created>
  <dcterms:modified xsi:type="dcterms:W3CDTF">2020-07-21T16:30:00Z</dcterms:modified>
</cp:coreProperties>
</file>