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498EE89" w:rsidR="0011691A" w:rsidRDefault="00B64DD2" w:rsidP="0011691A">
      <w:pPr>
        <w:pStyle w:val="BodyText"/>
        <w:jc w:val="center"/>
        <w:rPr>
          <w:b/>
          <w:szCs w:val="24"/>
        </w:rPr>
      </w:pPr>
      <w:r>
        <w:rPr>
          <w:b/>
          <w:szCs w:val="24"/>
        </w:rPr>
        <w:t>June 10</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9E2465"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77777777" w:rsidR="005D1947" w:rsidRDefault="00A442A0">
      <w:pPr>
        <w:pStyle w:val="BodyText"/>
      </w:pPr>
      <w:bookmarkStart w:id="23"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3" w:name="_Toc118224388"/>
      <w:bookmarkStart w:id="44" w:name="_Toc118909456"/>
      <w:bookmarkStart w:id="45" w:name="_Toc205190249"/>
      <w:bookmarkEnd w:id="40"/>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6" w:name="_Toc118224389"/>
      <w:bookmarkStart w:id="47" w:name="_Toc118909457"/>
      <w:bookmarkStart w:id="48" w:name="_Toc205190250"/>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lastRenderedPageBreak/>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2" w:name="_Toc205190252"/>
      <w:bookmarkStart w:id="53" w:name="_Toc118224391"/>
      <w:bookmarkStart w:id="54" w:name="_Toc118909459"/>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5" w:name="_Toc205190253"/>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6" w:name="_Toc118224393"/>
      <w:bookmarkStart w:id="57" w:name="_Toc118909461"/>
      <w:bookmarkStart w:id="58" w:name="_Toc205190255"/>
      <w:bookmarkStart w:id="59" w:name="_Toc73847677"/>
      <w:bookmarkEnd w:id="42"/>
      <w:r w:rsidRPr="00D5497B">
        <w:rPr>
          <w:b/>
        </w:rPr>
        <w:t>Ancillary Service Supply Responsibility</w:t>
      </w:r>
      <w:bookmarkEnd w:id="56"/>
      <w:bookmarkEnd w:id="57"/>
      <w:bookmarkEnd w:id="58"/>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0" w:name="_Toc118224394"/>
      <w:bookmarkStart w:id="61" w:name="_Toc118909462"/>
      <w:bookmarkStart w:id="62" w:name="_Toc205190256"/>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lastRenderedPageBreak/>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9E2465">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lastRenderedPageBreak/>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7" w:name="C"/>
      <w:bookmarkEnd w:id="117"/>
    </w:p>
    <w:p w14:paraId="29FA7742" w14:textId="77777777" w:rsidR="00B75513" w:rsidRDefault="009E2465">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8"/>
      <w:bookmarkEnd w:id="174"/>
      <w:bookmarkEnd w:id="175"/>
      <w:bookmarkEnd w:id="176"/>
    </w:p>
    <w:p w14:paraId="7D107FB6" w14:textId="77777777" w:rsidR="005D1947" w:rsidRDefault="00A442A0">
      <w:pPr>
        <w:pStyle w:val="BodyText"/>
      </w:pPr>
      <w:bookmarkStart w:id="177"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8" w:name="_Toc118224424"/>
      <w:bookmarkStart w:id="179" w:name="_Toc118909492"/>
      <w:bookmarkStart w:id="180"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1" w:name="_Toc73847720"/>
      <w:bookmarkStart w:id="182" w:name="_Toc118224425"/>
      <w:bookmarkStart w:id="183" w:name="_Toc118909493"/>
      <w:bookmarkStart w:id="184" w:name="_Toc205190301"/>
      <w:bookmarkEnd w:id="169"/>
      <w:bookmarkEnd w:id="177"/>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3" w:name="D"/>
      <w:bookmarkEnd w:id="193"/>
      <w:r>
        <w:rPr>
          <w:b/>
          <w:sz w:val="40"/>
          <w:szCs w:val="40"/>
        </w:rPr>
        <w:t>D</w:t>
      </w:r>
    </w:p>
    <w:p w14:paraId="6371DC2F" w14:textId="77777777" w:rsidR="00B75513" w:rsidRDefault="009E2465">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lastRenderedPageBreak/>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6" w:name="_Toc73847734"/>
      <w:bookmarkStart w:id="227" w:name="_Toc118224441"/>
      <w:bookmarkStart w:id="228" w:name="_Toc118909509"/>
      <w:bookmarkStart w:id="229" w:name="_Toc205190317"/>
      <w:r w:rsidRPr="00D5497B">
        <w:rPr>
          <w:b/>
        </w:rPr>
        <w:lastRenderedPageBreak/>
        <w:t>Delivery Plan</w:t>
      </w:r>
      <w:bookmarkEnd w:id="226"/>
      <w:bookmarkEnd w:id="227"/>
      <w:bookmarkEnd w:id="228"/>
      <w:bookmarkEnd w:id="22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Direct Current Tie (DC Tie)</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lastRenderedPageBreak/>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lastRenderedPageBreak/>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3" w:name="E"/>
      <w:bookmarkEnd w:id="283"/>
    </w:p>
    <w:p w14:paraId="277AE507" w14:textId="77777777" w:rsidR="00B75513" w:rsidRDefault="009E2465">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lastRenderedPageBreak/>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w:t>
            </w:r>
            <w:r w:rsidRPr="00AC520F">
              <w:rPr>
                <w:iCs/>
              </w:rPr>
              <w:lastRenderedPageBreak/>
              <w:t xml:space="preserve">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2"/>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2" w:name="_Toc205190350"/>
      <w:r w:rsidRPr="00D5497B">
        <w:rPr>
          <w:b/>
        </w:rPr>
        <w:lastRenderedPageBreak/>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9" w:name="_Toc118224468"/>
      <w:bookmarkStart w:id="340" w:name="_Toc118909536"/>
      <w:bookmarkStart w:id="341" w:name="_Toc205190352"/>
      <w:r w:rsidRPr="00D5497B">
        <w:rPr>
          <w:b/>
        </w:rPr>
        <w:t>Entity</w:t>
      </w:r>
      <w:bookmarkEnd w:id="338"/>
      <w:bookmarkEnd w:id="339"/>
      <w:bookmarkEnd w:id="340"/>
      <w:bookmarkEnd w:id="341"/>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2" w:name="_Toc80425533"/>
            <w:bookmarkStart w:id="343" w:name="_Toc118224473"/>
            <w:bookmarkStart w:id="344" w:name="_Toc118909541"/>
            <w:bookmarkStart w:id="345" w:name="_Toc205190357"/>
            <w:bookmarkStart w:id="346"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lastRenderedPageBreak/>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lastRenderedPageBreak/>
        <w:t>ERCOT-Polled Settlement (EPS) Meter</w:t>
      </w:r>
      <w:bookmarkEnd w:id="342"/>
      <w:bookmarkEnd w:id="343"/>
      <w:bookmarkEnd w:id="344"/>
      <w:bookmarkEnd w:id="345"/>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7" w:name="_Toc80425534"/>
      <w:bookmarkStart w:id="348" w:name="_Toc118224474"/>
      <w:bookmarkStart w:id="349" w:name="_Toc118909542"/>
      <w:bookmarkStart w:id="350" w:name="_Toc205190358"/>
      <w:bookmarkStart w:id="351" w:name="_Toc73847772"/>
      <w:bookmarkEnd w:id="346"/>
      <w:r w:rsidRPr="00D5497B">
        <w:rPr>
          <w:b/>
        </w:rPr>
        <w:t>ERCOT Region</w:t>
      </w:r>
      <w:bookmarkEnd w:id="347"/>
      <w:bookmarkEnd w:id="348"/>
      <w:bookmarkEnd w:id="349"/>
      <w:bookmarkEnd w:id="350"/>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2" w:name="_Toc80425536"/>
      <w:bookmarkStart w:id="353" w:name="_Toc118224475"/>
      <w:bookmarkStart w:id="354" w:name="_Toc118909543"/>
      <w:bookmarkStart w:id="355" w:name="_Toc205190359"/>
      <w:bookmarkStart w:id="356" w:name="_Toc73847774"/>
      <w:bookmarkEnd w:id="351"/>
      <w:r w:rsidRPr="00D5497B">
        <w:rPr>
          <w:b/>
        </w:rPr>
        <w:t>ERCOT System</w:t>
      </w:r>
      <w:bookmarkEnd w:id="352"/>
      <w:bookmarkEnd w:id="353"/>
      <w:bookmarkEnd w:id="354"/>
      <w:bookmarkEnd w:id="355"/>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7" w:name="_Toc80425537"/>
      <w:bookmarkStart w:id="358" w:name="_Toc118224476"/>
      <w:bookmarkStart w:id="359" w:name="_Toc118909544"/>
      <w:bookmarkStart w:id="360" w:name="_Toc205190360"/>
      <w:bookmarkStart w:id="361" w:name="_Toc73847775"/>
      <w:bookmarkEnd w:id="356"/>
      <w:r w:rsidRPr="00D5497B">
        <w:rPr>
          <w:b/>
        </w:rPr>
        <w:t xml:space="preserve">ERCOT System </w:t>
      </w:r>
      <w:bookmarkEnd w:id="357"/>
      <w:r w:rsidRPr="00D5497B">
        <w:rPr>
          <w:b/>
        </w:rPr>
        <w:t>Demand</w:t>
      </w:r>
      <w:bookmarkEnd w:id="358"/>
      <w:bookmarkEnd w:id="359"/>
      <w:bookmarkEnd w:id="360"/>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2" w:name="_Toc80425538"/>
            <w:bookmarkStart w:id="363" w:name="_Toc118224477"/>
            <w:bookmarkStart w:id="364" w:name="_Toc118909545"/>
            <w:bookmarkStart w:id="365" w:name="_Toc205190361"/>
            <w:bookmarkStart w:id="366" w:name="_Toc73847776"/>
            <w:bookmarkEnd w:id="361"/>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lastRenderedPageBreak/>
        <w:t>ERCOT Transmission Grid</w:t>
      </w:r>
      <w:bookmarkEnd w:id="362"/>
      <w:bookmarkEnd w:id="363"/>
      <w:bookmarkEnd w:id="364"/>
      <w:bookmarkEnd w:id="365"/>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6"/>
    <w:p w14:paraId="754C2A16" w14:textId="77777777" w:rsidR="005D1947" w:rsidRDefault="00A442A0">
      <w:pPr>
        <w:pStyle w:val="BodyText"/>
        <w:keepNext/>
        <w:rPr>
          <w:b/>
          <w:sz w:val="40"/>
          <w:szCs w:val="40"/>
        </w:rPr>
      </w:pPr>
      <w:r>
        <w:rPr>
          <w:b/>
          <w:sz w:val="40"/>
          <w:szCs w:val="40"/>
        </w:rPr>
        <w:t>F</w:t>
      </w:r>
      <w:bookmarkStart w:id="367" w:name="F"/>
      <w:bookmarkEnd w:id="367"/>
      <w:r>
        <w:rPr>
          <w:b/>
          <w:sz w:val="40"/>
          <w:szCs w:val="40"/>
        </w:rPr>
        <w:t xml:space="preserve"> </w:t>
      </w:r>
    </w:p>
    <w:p w14:paraId="05F7976A" w14:textId="77777777" w:rsidR="00B75513" w:rsidRDefault="009E2465">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8" w:name="_Toc205190362"/>
      <w:bookmarkStart w:id="369" w:name="_Toc118224478"/>
      <w:bookmarkStart w:id="370"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8"/>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1"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9"/>
      <w:bookmarkEnd w:id="370"/>
      <w:bookmarkEnd w:id="371"/>
    </w:p>
    <w:p w14:paraId="5261E8C7" w14:textId="77777777" w:rsidR="005D1947" w:rsidRPr="00D5497B" w:rsidRDefault="00A442A0">
      <w:pPr>
        <w:pStyle w:val="H2"/>
        <w:rPr>
          <w:b/>
        </w:rPr>
      </w:pPr>
      <w:bookmarkStart w:id="372" w:name="_Toc73847780"/>
      <w:bookmarkStart w:id="373" w:name="_Toc80425542"/>
      <w:bookmarkStart w:id="374" w:name="_Toc118224479"/>
      <w:bookmarkStart w:id="375" w:name="_Toc118909547"/>
      <w:bookmarkStart w:id="376" w:name="_Toc205190364"/>
      <w:bookmarkStart w:id="377" w:name="_Toc73847781"/>
      <w:r w:rsidRPr="00D5497B">
        <w:rPr>
          <w:b/>
        </w:rPr>
        <w:t>Financing Person</w:t>
      </w:r>
      <w:bookmarkEnd w:id="372"/>
      <w:bookmarkEnd w:id="373"/>
      <w:bookmarkEnd w:id="374"/>
      <w:bookmarkEnd w:id="375"/>
      <w:bookmarkEnd w:id="376"/>
    </w:p>
    <w:p w14:paraId="112C0538" w14:textId="77777777" w:rsidR="005D1947" w:rsidRDefault="00A442A0">
      <w:pPr>
        <w:pStyle w:val="BodyText"/>
      </w:pPr>
      <w:bookmarkStart w:id="378" w:name="_Toc80425543"/>
      <w:bookmarkStart w:id="379" w:name="_Toc73847782"/>
      <w:bookmarkEnd w:id="377"/>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0" w:name="_Toc205190365"/>
            <w:bookmarkStart w:id="381" w:name="_Toc118224480"/>
            <w:bookmarkStart w:id="382" w:name="_Toc118909548"/>
            <w:bookmarkEnd w:id="378"/>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0"/>
    </w:p>
    <w:p w14:paraId="1B9EA2C9" w14:textId="77777777" w:rsidR="005D1947" w:rsidRPr="00D5497B" w:rsidRDefault="00A442A0">
      <w:pPr>
        <w:pStyle w:val="H2"/>
        <w:ind w:left="907" w:hanging="907"/>
        <w:rPr>
          <w:b/>
        </w:rPr>
      </w:pPr>
      <w:bookmarkStart w:id="383" w:name="_Toc205190366"/>
      <w:r w:rsidRPr="00D5497B">
        <w:rPr>
          <w:b/>
        </w:rPr>
        <w:lastRenderedPageBreak/>
        <w:t>Force Majeure Event</w:t>
      </w:r>
      <w:bookmarkEnd w:id="379"/>
      <w:bookmarkEnd w:id="381"/>
      <w:bookmarkEnd w:id="382"/>
      <w:bookmarkEnd w:id="383"/>
      <w:r w:rsidRPr="00D5497B">
        <w:rPr>
          <w:b/>
        </w:rPr>
        <w:t xml:space="preserve"> </w:t>
      </w:r>
    </w:p>
    <w:p w14:paraId="2FD7C02A" w14:textId="77777777" w:rsidR="005D1947" w:rsidRDefault="00A442A0">
      <w:pPr>
        <w:pStyle w:val="BodyText"/>
      </w:pPr>
      <w:bookmarkStart w:id="384"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5" w:name="_Toc118224481"/>
      <w:bookmarkStart w:id="386" w:name="_Toc118909549"/>
      <w:bookmarkStart w:id="387" w:name="_Toc205190367"/>
      <w:bookmarkStart w:id="388" w:name="_Toc73847784"/>
      <w:bookmarkEnd w:id="38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5"/>
      <w:bookmarkEnd w:id="386"/>
      <w:bookmarkEnd w:id="387"/>
    </w:p>
    <w:p w14:paraId="791C28B5" w14:textId="77777777" w:rsidR="00E545B3" w:rsidRDefault="00E545B3" w:rsidP="00E545B3">
      <w:pPr>
        <w:autoSpaceDE w:val="0"/>
        <w:autoSpaceDN w:val="0"/>
        <w:adjustRightInd w:val="0"/>
        <w:spacing w:before="240" w:after="240"/>
        <w:rPr>
          <w:rFonts w:eastAsia="Calibri"/>
          <w:b/>
          <w:bCs/>
        </w:rPr>
      </w:pPr>
      <w:bookmarkStart w:id="389" w:name="_Toc118224482"/>
      <w:bookmarkStart w:id="390" w:name="_Toc118909550"/>
      <w:bookmarkStart w:id="39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8"/>
      <w:r w:rsidRPr="00D5497B">
        <w:rPr>
          <w:b/>
        </w:rPr>
        <w:t xml:space="preserve"> Price (FIP)</w:t>
      </w:r>
      <w:bookmarkEnd w:id="389"/>
      <w:bookmarkEnd w:id="390"/>
      <w:bookmarkEnd w:id="391"/>
    </w:p>
    <w:p w14:paraId="07716D9F" w14:textId="77777777" w:rsidR="00D31B68" w:rsidRDefault="00D31B68" w:rsidP="00D31B68">
      <w:pPr>
        <w:pStyle w:val="BodyText"/>
      </w:pPr>
      <w:bookmarkStart w:id="39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w:t>
      </w:r>
      <w:r>
        <w:lastRenderedPageBreak/>
        <w:t xml:space="preserve">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3" w:name="_Toc118224483"/>
      <w:bookmarkStart w:id="394" w:name="_Toc118909551"/>
      <w:bookmarkStart w:id="395" w:name="_Toc205190369"/>
      <w:bookmarkEnd w:id="392"/>
      <w:r w:rsidRPr="00D5497B">
        <w:rPr>
          <w:b/>
        </w:rPr>
        <w:t>Fuel Oil Price (FOP)</w:t>
      </w:r>
      <w:bookmarkEnd w:id="393"/>
      <w:bookmarkEnd w:id="394"/>
      <w:bookmarkEnd w:id="39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6" w:name="G"/>
      <w:bookmarkEnd w:id="396"/>
    </w:p>
    <w:p w14:paraId="6BBF2125" w14:textId="77777777" w:rsidR="00B75513" w:rsidRDefault="009E2465">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7" w:name="_Toc73847785"/>
      <w:bookmarkStart w:id="398" w:name="_Toc80425548"/>
      <w:bookmarkStart w:id="399" w:name="_Toc118224484"/>
      <w:bookmarkStart w:id="400" w:name="_Toc118909552"/>
      <w:bookmarkStart w:id="401" w:name="_Toc205190370"/>
      <w:bookmarkStart w:id="402" w:name="_Toc73847787"/>
      <w:r w:rsidRPr="00D5497B">
        <w:rPr>
          <w:b/>
        </w:rPr>
        <w:lastRenderedPageBreak/>
        <w:t>Generation Entity</w:t>
      </w:r>
      <w:bookmarkEnd w:id="397"/>
      <w:bookmarkEnd w:id="398"/>
      <w:bookmarkEnd w:id="399"/>
      <w:bookmarkEnd w:id="400"/>
      <w:bookmarkEnd w:id="401"/>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3" w:name="_Toc73847786"/>
      <w:bookmarkStart w:id="404" w:name="_Toc80425549"/>
      <w:bookmarkStart w:id="405" w:name="_Toc118224485"/>
      <w:bookmarkStart w:id="406" w:name="_Toc118909553"/>
      <w:bookmarkStart w:id="407" w:name="_Toc205190371"/>
      <w:r w:rsidRPr="00D5497B">
        <w:rPr>
          <w:b/>
        </w:rPr>
        <w:t>Generation Resource</w:t>
      </w:r>
      <w:bookmarkEnd w:id="403"/>
      <w:bookmarkEnd w:id="40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5"/>
      <w:bookmarkEnd w:id="406"/>
      <w:bookmarkEnd w:id="407"/>
    </w:p>
    <w:p w14:paraId="5EAB757B" w14:textId="77777777" w:rsidR="00FB31A4" w:rsidRDefault="00FB31A4" w:rsidP="00FB31A4">
      <w:pPr>
        <w:pStyle w:val="BodyText"/>
        <w:spacing w:before="240"/>
      </w:pPr>
      <w:bookmarkStart w:id="408" w:name="_Toc205190372"/>
      <w:bookmarkStart w:id="409" w:name="_Toc118224486"/>
      <w:bookmarkStart w:id="410"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8"/>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1" w:name="_Toc205190373"/>
      <w:r w:rsidRPr="00D5497B">
        <w:rPr>
          <w:b/>
        </w:rPr>
        <w:t>Good Utility Practice</w:t>
      </w:r>
      <w:bookmarkEnd w:id="402"/>
      <w:bookmarkEnd w:id="409"/>
      <w:bookmarkEnd w:id="410"/>
      <w:bookmarkEnd w:id="411"/>
      <w:r w:rsidRPr="00D5497B">
        <w:rPr>
          <w:b/>
        </w:rPr>
        <w:t xml:space="preserve"> </w:t>
      </w:r>
    </w:p>
    <w:p w14:paraId="6B082987" w14:textId="77777777" w:rsidR="005D1947" w:rsidRDefault="00A442A0">
      <w:pPr>
        <w:pStyle w:val="BodyText"/>
      </w:pPr>
      <w:bookmarkStart w:id="41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3" w:name="_Toc118224487"/>
      <w:bookmarkStart w:id="414" w:name="_Toc118909555"/>
      <w:bookmarkStart w:id="415" w:name="_Toc205190374"/>
      <w:r w:rsidRPr="00D5497B">
        <w:rPr>
          <w:b/>
        </w:rPr>
        <w:t>Governmental Authority</w:t>
      </w:r>
      <w:bookmarkEnd w:id="412"/>
      <w:bookmarkEnd w:id="413"/>
      <w:bookmarkEnd w:id="414"/>
      <w:bookmarkEnd w:id="41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6" w:name="H"/>
      <w:bookmarkEnd w:id="416"/>
    </w:p>
    <w:p w14:paraId="416FBECD" w14:textId="77777777" w:rsidR="00B75513" w:rsidRDefault="009E2465">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7" w:name="_Toc73847790"/>
      <w:bookmarkStart w:id="418" w:name="_Toc118224488"/>
      <w:bookmarkStart w:id="419" w:name="_Toc118909556"/>
      <w:bookmarkStart w:id="420" w:name="_Toc205190375"/>
      <w:r w:rsidRPr="00D5497B">
        <w:rPr>
          <w:b/>
        </w:rPr>
        <w:t>High Ancillary Service Limit (HASL)</w:t>
      </w:r>
      <w:bookmarkEnd w:id="417"/>
      <w:bookmarkEnd w:id="418"/>
      <w:bookmarkEnd w:id="419"/>
      <w:bookmarkEnd w:id="420"/>
      <w:r w:rsidRPr="00D5497B">
        <w:rPr>
          <w:b/>
        </w:rPr>
        <w:t xml:space="preserve"> </w:t>
      </w:r>
    </w:p>
    <w:p w14:paraId="14785CC7" w14:textId="77777777" w:rsidR="005D1947" w:rsidRDefault="00A442A0">
      <w:pPr>
        <w:pStyle w:val="BodyText"/>
      </w:pPr>
      <w:bookmarkStart w:id="421" w:name="_Toc74126496"/>
      <w:bookmarkStart w:id="422" w:name="_Toc73847791"/>
      <w:bookmarkStart w:id="423"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4" w:name="_Toc118224489"/>
      <w:bookmarkStart w:id="425" w:name="_Toc118909557"/>
      <w:bookmarkStart w:id="426" w:name="_Toc205190376"/>
      <w:bookmarkStart w:id="427" w:name="_Toc73847795"/>
      <w:bookmarkEnd w:id="421"/>
      <w:bookmarkEnd w:id="422"/>
      <w:bookmarkEnd w:id="423"/>
      <w:r w:rsidRPr="00D5497B">
        <w:rPr>
          <w:b/>
        </w:rPr>
        <w:t>High Emergency Limit (HEL)</w:t>
      </w:r>
      <w:bookmarkEnd w:id="424"/>
      <w:bookmarkEnd w:id="425"/>
      <w:bookmarkEnd w:id="426"/>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8" w:name="_Toc74126503"/>
      <w:bookmarkStart w:id="429" w:name="_Toc118224490"/>
      <w:bookmarkStart w:id="430" w:name="_Toc118909558"/>
      <w:bookmarkStart w:id="431" w:name="_Toc205190377"/>
      <w:bookmarkStart w:id="432" w:name="_Toc73847797"/>
      <w:bookmarkEnd w:id="427"/>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8"/>
      <w:r w:rsidR="00A442A0" w:rsidRPr="00837B78">
        <w:rPr>
          <w:iCs/>
        </w:rPr>
        <w:t>for a Generation Resource</w:t>
      </w:r>
      <w:bookmarkEnd w:id="429"/>
      <w:bookmarkEnd w:id="430"/>
      <w:bookmarkEnd w:id="431"/>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3" w:name="_Toc74126502"/>
      <w:bookmarkStart w:id="434" w:name="_Toc118224491"/>
      <w:bookmarkStart w:id="435" w:name="_Toc118909559"/>
      <w:bookmarkStart w:id="436" w:name="_Toc205190378"/>
      <w:r w:rsidRPr="00837B78">
        <w:rPr>
          <w:iCs/>
        </w:rPr>
        <w:t>High Sustained Limit (HSL</w:t>
      </w:r>
      <w:r w:rsidR="00837B78">
        <w:rPr>
          <w:iCs/>
        </w:rPr>
        <w:t>)</w:t>
      </w:r>
      <w:r w:rsidRPr="00837B78">
        <w:rPr>
          <w:iCs/>
        </w:rPr>
        <w:t xml:space="preserve"> </w:t>
      </w:r>
      <w:bookmarkEnd w:id="433"/>
      <w:r w:rsidRPr="00837B78">
        <w:rPr>
          <w:iCs/>
        </w:rPr>
        <w:t>for a Load Resource</w:t>
      </w:r>
      <w:bookmarkEnd w:id="434"/>
      <w:bookmarkEnd w:id="435"/>
      <w:bookmarkEnd w:id="436"/>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7" w:name="_Toc80425567"/>
      <w:bookmarkStart w:id="438" w:name="_Toc118224492"/>
      <w:bookmarkStart w:id="439" w:name="_Toc118909560"/>
      <w:bookmarkStart w:id="440" w:name="_Toc205190379"/>
      <w:bookmarkStart w:id="441" w:name="_Toc73847802"/>
      <w:bookmarkEnd w:id="432"/>
      <w:r w:rsidRPr="00D5497B">
        <w:rPr>
          <w:b/>
        </w:rPr>
        <w:t>Hourly Reliability Unit Commitment (HRUC)</w:t>
      </w:r>
      <w:bookmarkEnd w:id="437"/>
      <w:bookmarkEnd w:id="438"/>
      <w:bookmarkEnd w:id="439"/>
      <w:bookmarkEnd w:id="440"/>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2" w:name="_Toc118224493"/>
      <w:bookmarkStart w:id="443" w:name="_Toc118909561"/>
      <w:bookmarkStart w:id="444" w:name="_Toc205190380"/>
      <w:bookmarkStart w:id="445" w:name="_Toc80425569"/>
      <w:r w:rsidRPr="00D5497B">
        <w:rPr>
          <w:b/>
        </w:rPr>
        <w:t>Hub</w:t>
      </w:r>
      <w:bookmarkEnd w:id="442"/>
      <w:bookmarkEnd w:id="443"/>
      <w:bookmarkEnd w:id="444"/>
      <w:r w:rsidRPr="00D5497B">
        <w:rPr>
          <w:b/>
        </w:rPr>
        <w:t xml:space="preserve"> </w:t>
      </w:r>
    </w:p>
    <w:bookmarkEnd w:id="441"/>
    <w:bookmarkEnd w:id="445"/>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6" w:name="_Toc118224494"/>
      <w:bookmarkStart w:id="447" w:name="_Toc118909562"/>
      <w:bookmarkStart w:id="448" w:name="_Toc205190381"/>
      <w:r w:rsidRPr="00D5497B">
        <w:rPr>
          <w:b/>
        </w:rPr>
        <w:t>Hub Bus</w:t>
      </w:r>
      <w:bookmarkEnd w:id="446"/>
      <w:bookmarkEnd w:id="447"/>
      <w:bookmarkEnd w:id="448"/>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9" w:name="I"/>
      <w:bookmarkEnd w:id="449"/>
    </w:p>
    <w:p w14:paraId="15A9DE57" w14:textId="77777777" w:rsidR="00CD6F70" w:rsidRDefault="009E2465" w:rsidP="00CD6F70">
      <w:pPr>
        <w:pStyle w:val="ListIntroduction"/>
        <w:keepNext w:val="0"/>
        <w:rPr>
          <w:rStyle w:val="Hyperlink"/>
        </w:rPr>
      </w:pPr>
      <w:hyperlink w:anchor="_DEFINITIONS" w:history="1">
        <w:r w:rsidR="00842B9A">
          <w:rPr>
            <w:rStyle w:val="Hyperlink"/>
          </w:rPr>
          <w:t>[Back to Top]</w:t>
        </w:r>
      </w:hyperlink>
      <w:bookmarkStart w:id="450" w:name="_Toc205190382"/>
      <w:bookmarkStart w:id="451" w:name="_Toc172698881"/>
      <w:bookmarkStart w:id="452" w:name="_Toc118224495"/>
      <w:bookmarkStart w:id="453"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0"/>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1"/>
    </w:p>
    <w:p w14:paraId="1509DEAE" w14:textId="77777777" w:rsidR="005D1947" w:rsidRPr="00D5497B" w:rsidRDefault="00A442A0">
      <w:pPr>
        <w:pStyle w:val="H2"/>
        <w:tabs>
          <w:tab w:val="clear" w:pos="900"/>
          <w:tab w:val="left" w:pos="0"/>
        </w:tabs>
        <w:ind w:left="0" w:firstLine="0"/>
        <w:rPr>
          <w:b/>
        </w:rPr>
      </w:pPr>
      <w:bookmarkStart w:id="454" w:name="_Toc205190383"/>
      <w:r w:rsidRPr="00D5497B">
        <w:rPr>
          <w:b/>
        </w:rPr>
        <w:t>Independent Organization</w:t>
      </w:r>
      <w:bookmarkEnd w:id="454"/>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5" w:name="_Toc205190384"/>
      <w:r w:rsidRPr="00D5497B">
        <w:rPr>
          <w:b/>
        </w:rPr>
        <w:t>Intermittent Renewable Resource (IRR)</w:t>
      </w:r>
      <w:bookmarkEnd w:id="452"/>
      <w:bookmarkEnd w:id="453"/>
      <w:bookmarkEnd w:id="455"/>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6" w:name="_Toc73847813"/>
      <w:bookmarkStart w:id="457" w:name="_Toc118224496"/>
      <w:bookmarkStart w:id="458" w:name="_Toc118909564"/>
      <w:bookmarkStart w:id="459" w:name="_Toc205190385"/>
      <w:r w:rsidRPr="00D5497B">
        <w:rPr>
          <w:b/>
        </w:rPr>
        <w:lastRenderedPageBreak/>
        <w:t>Interval Data Recorder (IDR)</w:t>
      </w:r>
      <w:bookmarkEnd w:id="456"/>
      <w:bookmarkEnd w:id="457"/>
      <w:bookmarkEnd w:id="458"/>
      <w:bookmarkEnd w:id="459"/>
    </w:p>
    <w:p w14:paraId="7510DB5E" w14:textId="77777777" w:rsidR="005D1947" w:rsidRDefault="00837B78">
      <w:pPr>
        <w:pStyle w:val="BodyText"/>
      </w:pPr>
      <w:bookmarkStart w:id="460"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1" w:name="_Toc118224497"/>
      <w:bookmarkStart w:id="462" w:name="_Toc118909565"/>
      <w:bookmarkStart w:id="463"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Intra-Hour PhotoVoltaic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Intra-Hour PhotoVoltaic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PhotoVoltaic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1"/>
      <w:bookmarkEnd w:id="462"/>
      <w:bookmarkEnd w:id="463"/>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0"/>
    <w:p w14:paraId="769A5A9B" w14:textId="77777777" w:rsidR="005D1947" w:rsidRDefault="00A442A0">
      <w:pPr>
        <w:pStyle w:val="BodyText"/>
        <w:keepNext/>
        <w:rPr>
          <w:b/>
          <w:sz w:val="40"/>
          <w:szCs w:val="40"/>
        </w:rPr>
      </w:pPr>
      <w:r>
        <w:rPr>
          <w:b/>
          <w:sz w:val="40"/>
          <w:szCs w:val="40"/>
        </w:rPr>
        <w:t>J</w:t>
      </w:r>
      <w:bookmarkStart w:id="464" w:name="J"/>
      <w:bookmarkEnd w:id="464"/>
    </w:p>
    <w:p w14:paraId="1A92D968" w14:textId="77777777" w:rsidR="00B75513" w:rsidRDefault="009E2465">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5" w:name="K"/>
      <w:bookmarkEnd w:id="465"/>
    </w:p>
    <w:p w14:paraId="58667C9C" w14:textId="77777777" w:rsidR="00B75513" w:rsidRDefault="009E2465">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6" w:name="L"/>
      <w:bookmarkEnd w:id="466"/>
    </w:p>
    <w:p w14:paraId="6F19938D" w14:textId="77777777" w:rsidR="00B75513" w:rsidRDefault="009E2465">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7" w:name="_Toc118224498"/>
      <w:bookmarkStart w:id="468" w:name="_Toc118909566"/>
      <w:bookmarkStart w:id="469"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7"/>
      <w:bookmarkEnd w:id="468"/>
      <w:bookmarkEnd w:id="469"/>
    </w:p>
    <w:p w14:paraId="4EBA29BA" w14:textId="77777777" w:rsidR="00B75513" w:rsidRPr="00D5497B" w:rsidRDefault="00A442A0">
      <w:pPr>
        <w:pStyle w:val="H2"/>
        <w:keepNext w:val="0"/>
        <w:ind w:left="907" w:hanging="907"/>
        <w:rPr>
          <w:b/>
        </w:rPr>
      </w:pPr>
      <w:bookmarkStart w:id="470" w:name="_Toc118224499"/>
      <w:bookmarkStart w:id="471" w:name="_Toc118909567"/>
      <w:bookmarkStart w:id="472"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0"/>
      <w:bookmarkEnd w:id="471"/>
      <w:bookmarkEnd w:id="472"/>
    </w:p>
    <w:p w14:paraId="56DFA1A1" w14:textId="77777777" w:rsidR="00B75513" w:rsidRPr="00D5497B" w:rsidRDefault="00A442A0">
      <w:pPr>
        <w:pStyle w:val="H2"/>
        <w:keepNext w:val="0"/>
        <w:ind w:left="907" w:hanging="907"/>
        <w:rPr>
          <w:b/>
        </w:rPr>
      </w:pPr>
      <w:bookmarkStart w:id="473" w:name="_Toc118224500"/>
      <w:bookmarkStart w:id="474" w:name="_Toc118909568"/>
      <w:bookmarkStart w:id="475"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r w:rsidRPr="00D5497B">
        <w:rPr>
          <w:b/>
        </w:rPr>
        <w:t xml:space="preserve"> </w:t>
      </w:r>
    </w:p>
    <w:p w14:paraId="11F31214" w14:textId="3FD36688" w:rsidR="00943E4B" w:rsidRDefault="00A2517C" w:rsidP="00943E4B">
      <w:pPr>
        <w:pStyle w:val="H2"/>
        <w:rPr>
          <w:b/>
        </w:rPr>
      </w:pPr>
      <w:bookmarkStart w:id="476" w:name="_Toc73847817"/>
      <w:bookmarkStart w:id="477" w:name="_Toc118224501"/>
      <w:bookmarkStart w:id="478" w:name="_Toc118909569"/>
      <w:bookmarkStart w:id="479"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6"/>
      <w:bookmarkEnd w:id="477"/>
      <w:bookmarkEnd w:id="478"/>
      <w:bookmarkEnd w:id="479"/>
    </w:p>
    <w:p w14:paraId="46A9D45F" w14:textId="77777777" w:rsidR="005D1947" w:rsidRDefault="00A442A0">
      <w:pPr>
        <w:pStyle w:val="BodyText"/>
      </w:pPr>
      <w:bookmarkStart w:id="480"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1" w:name="_Toc118224502"/>
      <w:bookmarkStart w:id="482" w:name="_Toc118909570"/>
      <w:bookmarkStart w:id="483" w:name="_Toc205190391"/>
      <w:bookmarkStart w:id="484" w:name="_Toc73847820"/>
      <w:bookmarkEnd w:id="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1"/>
      <w:bookmarkEnd w:id="482"/>
      <w:bookmarkEnd w:id="483"/>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5" w:name="_Toc118224503"/>
            <w:bookmarkStart w:id="486" w:name="_Toc118909571"/>
            <w:bookmarkStart w:id="487"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r w:rsidRPr="0089065D">
              <w:lastRenderedPageBreak/>
              <w:t xml:space="preserve">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4"/>
      <w:bookmarkEnd w:id="485"/>
      <w:bookmarkEnd w:id="486"/>
      <w:bookmarkEnd w:id="487"/>
    </w:p>
    <w:p w14:paraId="4FDFC59F" w14:textId="77777777" w:rsidR="005D1947" w:rsidRDefault="00A442A0">
      <w:pPr>
        <w:pStyle w:val="BodyText"/>
      </w:pPr>
      <w:bookmarkStart w:id="488"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9" w:name="_Toc205190393"/>
      <w:bookmarkStart w:id="490" w:name="_Toc118224504"/>
      <w:bookmarkStart w:id="491"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9"/>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2"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8"/>
      <w:bookmarkEnd w:id="490"/>
      <w:bookmarkEnd w:id="491"/>
      <w:bookmarkEnd w:id="492"/>
    </w:p>
    <w:p w14:paraId="4B6FBB01" w14:textId="77777777" w:rsidR="005D1947" w:rsidRDefault="00A442A0">
      <w:pPr>
        <w:pStyle w:val="BodyText"/>
      </w:pPr>
      <w:bookmarkStart w:id="493"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4" w:name="_Toc118224505"/>
      <w:bookmarkStart w:id="495" w:name="_Toc118909573"/>
      <w:bookmarkStart w:id="496" w:name="_Toc205190395"/>
      <w:r w:rsidRPr="00D5497B">
        <w:rPr>
          <w:b/>
        </w:rPr>
        <w:t>Load Profiling</w:t>
      </w:r>
      <w:bookmarkEnd w:id="493"/>
      <w:bookmarkEnd w:id="494"/>
      <w:bookmarkEnd w:id="495"/>
      <w:bookmarkEnd w:id="496"/>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7" w:name="_Toc73847824"/>
      <w:bookmarkStart w:id="498" w:name="_Toc118224506"/>
      <w:bookmarkStart w:id="499" w:name="_Toc118909574"/>
      <w:bookmarkStart w:id="500"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7"/>
      <w:bookmarkEnd w:id="498"/>
      <w:bookmarkEnd w:id="499"/>
      <w:bookmarkEnd w:id="500"/>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1" w:name="_Toc118224507"/>
      <w:bookmarkStart w:id="502" w:name="_Toc118909575"/>
      <w:bookmarkStart w:id="503"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1"/>
      <w:bookmarkEnd w:id="502"/>
      <w:bookmarkEnd w:id="503"/>
    </w:p>
    <w:p w14:paraId="6E2D39E5" w14:textId="77777777" w:rsidR="005D1947" w:rsidRPr="00D5497B" w:rsidRDefault="00A442A0">
      <w:pPr>
        <w:pStyle w:val="H2"/>
        <w:rPr>
          <w:b/>
        </w:rPr>
      </w:pPr>
      <w:bookmarkStart w:id="504" w:name="_Toc80425596"/>
      <w:bookmarkStart w:id="505" w:name="_Toc118224508"/>
      <w:bookmarkStart w:id="506" w:name="_Toc118909576"/>
      <w:bookmarkStart w:id="507" w:name="_Toc205190398"/>
      <w:bookmarkStart w:id="508" w:name="_Toc73847827"/>
      <w:r w:rsidRPr="00D5497B">
        <w:rPr>
          <w:b/>
        </w:rPr>
        <w:t>Load Serving Entity</w:t>
      </w:r>
      <w:bookmarkEnd w:id="504"/>
      <w:bookmarkEnd w:id="505"/>
      <w:bookmarkEnd w:id="506"/>
      <w:bookmarkEnd w:id="507"/>
      <w:r w:rsidR="00837B78" w:rsidRPr="00D5497B">
        <w:rPr>
          <w:b/>
        </w:rPr>
        <w:t xml:space="preserve"> (LSE)</w:t>
      </w:r>
    </w:p>
    <w:p w14:paraId="581305A5" w14:textId="77777777" w:rsidR="005D1947" w:rsidRDefault="00A442A0">
      <w:pPr>
        <w:pStyle w:val="BodyText"/>
      </w:pPr>
      <w:bookmarkStart w:id="509" w:name="_Toc80425597"/>
      <w:bookmarkStart w:id="510" w:name="_Toc73847830"/>
      <w:bookmarkEnd w:id="508"/>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1" w:name="_Toc118224509"/>
      <w:bookmarkStart w:id="512" w:name="_Toc118909577"/>
      <w:bookmarkStart w:id="513" w:name="_Toc205190399"/>
      <w:r w:rsidRPr="00D5497B">
        <w:rPr>
          <w:b/>
        </w:rPr>
        <w:t>Load Zone</w:t>
      </w:r>
      <w:bookmarkEnd w:id="509"/>
      <w:bookmarkEnd w:id="511"/>
      <w:bookmarkEnd w:id="512"/>
      <w:bookmarkEnd w:id="513"/>
    </w:p>
    <w:p w14:paraId="781AE023" w14:textId="77777777" w:rsidR="007956AB" w:rsidRDefault="007956AB" w:rsidP="007956AB">
      <w:pPr>
        <w:pStyle w:val="BodyTextNumbered"/>
      </w:pPr>
      <w:bookmarkStart w:id="514"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5" w:name="LMP"/>
      <w:bookmarkStart w:id="516" w:name="_Toc118224510"/>
      <w:bookmarkStart w:id="517" w:name="_Toc118909578"/>
      <w:bookmarkStart w:id="518" w:name="_Toc205190400"/>
      <w:bookmarkEnd w:id="510"/>
      <w:bookmarkEnd w:id="514"/>
      <w:bookmarkEnd w:id="515"/>
      <w:r w:rsidRPr="00D5497B">
        <w:rPr>
          <w:b/>
        </w:rPr>
        <w:t>Locational Marginal Price (LMP)</w:t>
      </w:r>
      <w:bookmarkStart w:id="519" w:name="Locational"/>
      <w:bookmarkEnd w:id="516"/>
      <w:bookmarkEnd w:id="517"/>
      <w:bookmarkEnd w:id="518"/>
      <w:bookmarkEnd w:id="519"/>
    </w:p>
    <w:p w14:paraId="61BD2DD1" w14:textId="77777777" w:rsidR="005D1947" w:rsidRDefault="00565A5A" w:rsidP="004E5DF8">
      <w:pPr>
        <w:pStyle w:val="BodyText"/>
        <w:keepNext/>
      </w:pPr>
      <w:bookmarkStart w:id="520"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1" w:name="_Toc118224511"/>
      <w:bookmarkStart w:id="522" w:name="_Toc118909579"/>
      <w:bookmarkStart w:id="523" w:name="_Toc205190401"/>
      <w:r w:rsidRPr="004222A1">
        <w:rPr>
          <w:b/>
        </w:rPr>
        <w:lastRenderedPageBreak/>
        <w:t>Low Ancillary Service Limit (LASL)</w:t>
      </w:r>
      <w:bookmarkEnd w:id="520"/>
      <w:bookmarkEnd w:id="521"/>
      <w:bookmarkEnd w:id="522"/>
      <w:bookmarkEnd w:id="523"/>
      <w:r w:rsidRPr="004222A1">
        <w:rPr>
          <w:b/>
        </w:rPr>
        <w:t xml:space="preserve">  </w:t>
      </w:r>
    </w:p>
    <w:p w14:paraId="6197F12D" w14:textId="77777777" w:rsidR="005D1947" w:rsidRDefault="00A442A0">
      <w:pPr>
        <w:pStyle w:val="BodyText"/>
      </w:pPr>
      <w:bookmarkStart w:id="524"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5" w:name="_Toc118224512"/>
      <w:bookmarkStart w:id="526" w:name="_Toc118909580"/>
      <w:bookmarkStart w:id="527" w:name="_Toc205190402"/>
      <w:bookmarkStart w:id="528" w:name="_Toc73847837"/>
      <w:bookmarkEnd w:id="524"/>
      <w:r w:rsidRPr="004222A1">
        <w:rPr>
          <w:b/>
        </w:rPr>
        <w:t>Low Emergency Limit (LEL)</w:t>
      </w:r>
      <w:bookmarkEnd w:id="525"/>
      <w:bookmarkEnd w:id="526"/>
      <w:bookmarkEnd w:id="52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9" w:name="_Toc118224513"/>
      <w:bookmarkStart w:id="530" w:name="_Toc118909581"/>
      <w:bookmarkStart w:id="531" w:name="_Toc205190403"/>
      <w:bookmarkStart w:id="532" w:name="_Toc73847841"/>
      <w:bookmarkEnd w:id="528"/>
      <w:r w:rsidRPr="004222A1">
        <w:rPr>
          <w:b/>
        </w:rPr>
        <w:t>Low Power Consumption (LPC)</w:t>
      </w:r>
      <w:bookmarkEnd w:id="529"/>
      <w:bookmarkEnd w:id="530"/>
      <w:bookmarkEnd w:id="531"/>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3" w:name="_Toc74126547"/>
      <w:bookmarkStart w:id="534" w:name="_Toc118224514"/>
      <w:bookmarkStart w:id="535" w:name="_Toc118909582"/>
      <w:bookmarkStart w:id="536" w:name="_Toc205190404"/>
      <w:bookmarkEnd w:id="532"/>
      <w:r w:rsidRPr="004222A1">
        <w:rPr>
          <w:b/>
        </w:rPr>
        <w:t>Low Sustained Limit (LSL</w:t>
      </w:r>
      <w:bookmarkEnd w:id="533"/>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4"/>
      <w:bookmarkEnd w:id="535"/>
      <w:bookmarkEnd w:id="536"/>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7" w:name="M"/>
      <w:bookmarkEnd w:id="537"/>
    </w:p>
    <w:p w14:paraId="56A89020" w14:textId="77777777" w:rsidR="00B75513" w:rsidRDefault="009E2465">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8" w:name="_Toc73847842"/>
      <w:bookmarkStart w:id="539" w:name="_Toc118224516"/>
      <w:bookmarkStart w:id="540" w:name="_Toc118909584"/>
      <w:bookmarkStart w:id="541"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8"/>
      <w:bookmarkEnd w:id="539"/>
      <w:bookmarkEnd w:id="540"/>
      <w:bookmarkEnd w:id="541"/>
    </w:p>
    <w:p w14:paraId="7D8612B0" w14:textId="77777777" w:rsidR="00475BE9" w:rsidRPr="004222A1" w:rsidRDefault="00475BE9" w:rsidP="00475BE9">
      <w:pPr>
        <w:pStyle w:val="H2"/>
        <w:rPr>
          <w:b/>
        </w:rPr>
      </w:pPr>
      <w:bookmarkStart w:id="542" w:name="_Toc118224517"/>
      <w:bookmarkStart w:id="543" w:name="_Toc118909585"/>
      <w:bookmarkStart w:id="544" w:name="_Toc205190407"/>
      <w:bookmarkStart w:id="54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2"/>
      <w:bookmarkEnd w:id="543"/>
      <w:bookmarkEnd w:id="54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6" w:name="_Toc205190409"/>
      <w:r w:rsidRPr="004222A1">
        <w:rPr>
          <w:b/>
        </w:rPr>
        <w:t>Mandatory Installation Threshold</w:t>
      </w:r>
      <w:bookmarkEnd w:id="54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7" w:name="_Toc118224519"/>
      <w:bookmarkStart w:id="548" w:name="_Toc118909587"/>
      <w:bookmarkStart w:id="549" w:name="_Toc205190410"/>
      <w:r w:rsidRPr="004222A1">
        <w:rPr>
          <w:b/>
        </w:rPr>
        <w:t>Market Clearing Price for Capacity (MCPC)</w:t>
      </w:r>
      <w:bookmarkEnd w:id="545"/>
      <w:bookmarkEnd w:id="547"/>
      <w:bookmarkEnd w:id="548"/>
      <w:bookmarkEnd w:id="549"/>
    </w:p>
    <w:p w14:paraId="40D70617" w14:textId="77777777" w:rsidR="005D1947" w:rsidRDefault="00A442A0">
      <w:pPr>
        <w:pStyle w:val="BodyText"/>
      </w:pPr>
      <w:bookmarkStart w:id="550" w:name="_Toc80425619"/>
      <w:bookmarkStart w:id="551"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2" w:name="_Toc118224520"/>
      <w:bookmarkStart w:id="553" w:name="_Toc118909588"/>
      <w:bookmarkStart w:id="554" w:name="_Toc205190411"/>
      <w:r w:rsidRPr="004222A1">
        <w:rPr>
          <w:b/>
        </w:rPr>
        <w:t>Market Information System (MIS)</w:t>
      </w:r>
      <w:bookmarkEnd w:id="550"/>
      <w:bookmarkEnd w:id="552"/>
      <w:bookmarkEnd w:id="553"/>
      <w:bookmarkEnd w:id="554"/>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5" w:name="_Toc80425620"/>
      <w:bookmarkStart w:id="556" w:name="_Toc118224521"/>
      <w:bookmarkStart w:id="557" w:name="_Toc118909589"/>
      <w:bookmarkStart w:id="558"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5"/>
      <w:bookmarkEnd w:id="556"/>
      <w:bookmarkEnd w:id="557"/>
      <w:bookmarkEnd w:id="558"/>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59" w:name="_Toc80425621"/>
      <w:bookmarkStart w:id="560" w:name="_Toc118224522"/>
      <w:bookmarkStart w:id="561" w:name="_Toc118909590"/>
      <w:bookmarkStart w:id="562" w:name="_Toc205190413"/>
      <w:r>
        <w:t>Market Information System (</w:t>
      </w:r>
      <w:r w:rsidR="00A442A0">
        <w:t>MIS</w:t>
      </w:r>
      <w:r>
        <w:t>)</w:t>
      </w:r>
      <w:r w:rsidR="00A442A0">
        <w:t xml:space="preserve"> Secure Area</w:t>
      </w:r>
      <w:bookmarkEnd w:id="559"/>
      <w:bookmarkEnd w:id="560"/>
      <w:bookmarkEnd w:id="561"/>
      <w:bookmarkEnd w:id="56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3" w:name="_Toc80425623"/>
      <w:bookmarkStart w:id="564" w:name="_Toc118224524"/>
      <w:bookmarkStart w:id="565" w:name="_Toc118909592"/>
      <w:bookmarkStart w:id="566"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3"/>
      <w:bookmarkEnd w:id="564"/>
      <w:bookmarkEnd w:id="565"/>
      <w:bookmarkEnd w:id="566"/>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7" w:name="_Toc73847851"/>
            <w:bookmarkStart w:id="568" w:name="_Toc118224525"/>
            <w:bookmarkStart w:id="569" w:name="_Toc118909593"/>
            <w:bookmarkStart w:id="570" w:name="_Toc205190416"/>
            <w:bookmarkEnd w:id="551"/>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lastRenderedPageBreak/>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1" w:name="_Toc118224527"/>
      <w:bookmarkStart w:id="572" w:name="_Toc118909595"/>
      <w:bookmarkStart w:id="573" w:name="_Toc205190418"/>
      <w:bookmarkStart w:id="574" w:name="_Toc73847861"/>
      <w:bookmarkStart w:id="575" w:name="_Toc73847852"/>
      <w:bookmarkEnd w:id="567"/>
      <w:bookmarkEnd w:id="568"/>
      <w:bookmarkEnd w:id="569"/>
      <w:bookmarkEnd w:id="570"/>
      <w:r w:rsidRPr="004222A1">
        <w:rPr>
          <w:b/>
        </w:rPr>
        <w:t>Maximum Power Consumption (MPC)</w:t>
      </w:r>
      <w:bookmarkEnd w:id="571"/>
      <w:bookmarkEnd w:id="572"/>
      <w:bookmarkEnd w:id="57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6" w:name="_Toc73847853"/>
      <w:bookmarkStart w:id="577" w:name="_Toc118224528"/>
      <w:bookmarkStart w:id="578" w:name="_Toc118909596"/>
      <w:bookmarkStart w:id="579" w:name="_Toc205190419"/>
      <w:bookmarkEnd w:id="574"/>
      <w:bookmarkEnd w:id="575"/>
      <w:r w:rsidRPr="004222A1">
        <w:rPr>
          <w:b/>
        </w:rPr>
        <w:t>Messaging System</w:t>
      </w:r>
      <w:bookmarkEnd w:id="576"/>
      <w:bookmarkEnd w:id="577"/>
      <w:bookmarkEnd w:id="578"/>
      <w:bookmarkEnd w:id="57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0" w:name="_Toc73847854"/>
      <w:bookmarkStart w:id="581" w:name="_Toc80425630"/>
      <w:bookmarkStart w:id="582" w:name="_Toc118224529"/>
      <w:bookmarkStart w:id="583" w:name="_Toc118909597"/>
      <w:bookmarkStart w:id="584" w:name="_Toc205190420"/>
      <w:r w:rsidRPr="004222A1">
        <w:rPr>
          <w:b/>
          <w:lang w:val="sv-SE"/>
        </w:rPr>
        <w:t>Meter Data Acquisition System</w:t>
      </w:r>
      <w:bookmarkEnd w:id="580"/>
      <w:r w:rsidRPr="004222A1">
        <w:rPr>
          <w:b/>
          <w:lang w:val="sv-SE"/>
        </w:rPr>
        <w:t xml:space="preserve"> (MDAS)</w:t>
      </w:r>
      <w:bookmarkEnd w:id="581"/>
      <w:bookmarkEnd w:id="582"/>
      <w:bookmarkEnd w:id="583"/>
      <w:bookmarkEnd w:id="58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5" w:name="_Toc80425633"/>
      <w:bookmarkStart w:id="586" w:name="_Toc118224530"/>
      <w:bookmarkStart w:id="587" w:name="_Toc118909598"/>
      <w:bookmarkStart w:id="588" w:name="_Toc205190421"/>
      <w:r w:rsidRPr="004222A1">
        <w:rPr>
          <w:b/>
        </w:rPr>
        <w:lastRenderedPageBreak/>
        <w:t>Meter Reading Entity (MRE)</w:t>
      </w:r>
      <w:bookmarkEnd w:id="585"/>
      <w:bookmarkEnd w:id="586"/>
      <w:bookmarkEnd w:id="587"/>
      <w:bookmarkEnd w:id="58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9" w:name="_Toc118224531"/>
      <w:bookmarkStart w:id="590" w:name="_Toc118909599"/>
      <w:bookmarkStart w:id="591" w:name="_Toc205190422"/>
      <w:bookmarkStart w:id="59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9"/>
      <w:bookmarkEnd w:id="590"/>
      <w:bookmarkEnd w:id="59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3" w:name="_Toc118224532"/>
      <w:bookmarkStart w:id="594" w:name="_Toc118909600"/>
      <w:bookmarkStart w:id="595" w:name="_Toc205190423"/>
      <w:r w:rsidRPr="004222A1">
        <w:rPr>
          <w:b/>
        </w:rPr>
        <w:t>Minimum Reservation Price</w:t>
      </w:r>
      <w:bookmarkEnd w:id="593"/>
      <w:bookmarkEnd w:id="594"/>
      <w:bookmarkEnd w:id="59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6" w:name="_Toc118224533"/>
      <w:bookmarkStart w:id="597" w:name="_Toc118909601"/>
      <w:bookmarkStart w:id="598" w:name="_Toc205190424"/>
      <w:bookmarkStart w:id="599" w:name="_Toc73847868"/>
      <w:bookmarkStart w:id="600" w:name="_Toc73847867"/>
      <w:bookmarkStart w:id="601" w:name="_Toc80425644"/>
      <w:bookmarkEnd w:id="592"/>
      <w:r w:rsidRPr="004222A1">
        <w:rPr>
          <w:b/>
        </w:rPr>
        <w:t>Mitigated Offer Cap</w:t>
      </w:r>
      <w:bookmarkEnd w:id="596"/>
      <w:bookmarkEnd w:id="597"/>
      <w:bookmarkEnd w:id="59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2" w:name="_Toc118224534"/>
            <w:bookmarkStart w:id="603" w:name="_Toc118909602"/>
            <w:bookmarkStart w:id="60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2"/>
      <w:bookmarkEnd w:id="603"/>
      <w:bookmarkEnd w:id="60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5" w:name="_Toc205190426"/>
      <w:bookmarkStart w:id="606" w:name="_Toc80425647"/>
      <w:bookmarkStart w:id="607" w:name="_Toc118224535"/>
      <w:bookmarkStart w:id="608" w:name="_Toc118909603"/>
      <w:bookmarkEnd w:id="599"/>
      <w:bookmarkEnd w:id="600"/>
      <w:bookmarkEnd w:id="60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6"/>
      <w:bookmarkEnd w:id="607"/>
      <w:bookmarkEnd w:id="608"/>
      <w:bookmarkEnd w:id="60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0" w:name="N"/>
      <w:bookmarkEnd w:id="610"/>
    </w:p>
    <w:p w14:paraId="0BC3EB68" w14:textId="77777777" w:rsidR="00B75513" w:rsidRDefault="009E2465">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1" w:name="_Toc118224536"/>
      <w:bookmarkStart w:id="612" w:name="_Toc118909604"/>
      <w:bookmarkStart w:id="613" w:name="_Toc205190428"/>
      <w:bookmarkStart w:id="614" w:name="_Toc73847871"/>
      <w:bookmarkStart w:id="615"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1"/>
      <w:bookmarkEnd w:id="612"/>
      <w:bookmarkEnd w:id="61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6" w:name="_Toc118224537"/>
      <w:bookmarkStart w:id="617" w:name="_Toc118909605"/>
      <w:bookmarkStart w:id="618" w:name="_Toc205190429"/>
      <w:r w:rsidRPr="004222A1">
        <w:rPr>
          <w:b/>
        </w:rPr>
        <w:t>Net Generation</w:t>
      </w:r>
      <w:bookmarkEnd w:id="614"/>
      <w:bookmarkEnd w:id="615"/>
      <w:bookmarkEnd w:id="616"/>
      <w:bookmarkEnd w:id="617"/>
      <w:bookmarkEnd w:id="61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19" w:name="_Toc80425650"/>
      <w:bookmarkStart w:id="620" w:name="_Toc118224538"/>
      <w:bookmarkStart w:id="621" w:name="_Toc118909606"/>
      <w:bookmarkStart w:id="622" w:name="_Toc205190430"/>
      <w:r w:rsidRPr="004222A1">
        <w:rPr>
          <w:b/>
        </w:rPr>
        <w:lastRenderedPageBreak/>
        <w:t>Network Operations Model</w:t>
      </w:r>
      <w:bookmarkEnd w:id="619"/>
      <w:bookmarkEnd w:id="620"/>
      <w:bookmarkEnd w:id="621"/>
      <w:bookmarkEnd w:id="62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3" w:name="_Toc118224539"/>
            <w:bookmarkStart w:id="624" w:name="_Toc118909607"/>
            <w:bookmarkStart w:id="625"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3"/>
      <w:bookmarkEnd w:id="624"/>
      <w:bookmarkEnd w:id="62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6" w:name="_Toc73847874"/>
      <w:bookmarkStart w:id="627" w:name="_Toc118224540"/>
      <w:bookmarkStart w:id="628" w:name="_Toc118909608"/>
      <w:bookmarkStart w:id="629" w:name="_Toc205190432"/>
      <w:r w:rsidRPr="004222A1">
        <w:rPr>
          <w:b/>
        </w:rPr>
        <w:t>Non-Competitive Constraint</w:t>
      </w:r>
      <w:bookmarkEnd w:id="626"/>
      <w:bookmarkEnd w:id="627"/>
      <w:bookmarkEnd w:id="628"/>
      <w:bookmarkEnd w:id="62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0" w:name="_Toc205190433"/>
      <w:bookmarkStart w:id="631" w:name="_Toc118224541"/>
      <w:bookmarkStart w:id="632" w:name="_Toc118909609"/>
      <w:r w:rsidRPr="004222A1">
        <w:rPr>
          <w:b/>
        </w:rPr>
        <w:t>Non-Metered Load</w:t>
      </w:r>
      <w:bookmarkEnd w:id="63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3" w:name="_Toc205190434"/>
      <w:r w:rsidRPr="004222A1">
        <w:rPr>
          <w:b/>
          <w:lang w:val="fr-FR"/>
        </w:rPr>
        <w:t>Non-Opt-In Entity (NOIE)</w:t>
      </w:r>
      <w:bookmarkEnd w:id="631"/>
      <w:bookmarkEnd w:id="632"/>
      <w:bookmarkEnd w:id="633"/>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4" w:name="_Toc73847877"/>
      <w:bookmarkStart w:id="635" w:name="_Toc80425660"/>
      <w:bookmarkStart w:id="636" w:name="_Toc118224542"/>
      <w:bookmarkStart w:id="637" w:name="_Toc118909610"/>
      <w:bookmarkStart w:id="638" w:name="_Toc205190435"/>
      <w:bookmarkStart w:id="639" w:name="_Toc73847878"/>
      <w:r w:rsidRPr="004222A1">
        <w:rPr>
          <w:b/>
          <w:lang w:val="fr-FR"/>
        </w:rPr>
        <w:t>Non-Opt-In Entity (NOIE) Load Zone</w:t>
      </w:r>
      <w:bookmarkEnd w:id="634"/>
      <w:bookmarkEnd w:id="635"/>
      <w:bookmarkEnd w:id="636"/>
      <w:bookmarkEnd w:id="637"/>
      <w:bookmarkEnd w:id="63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0" w:name="_Toc80425661"/>
      <w:bookmarkStart w:id="641" w:name="_Toc118224543"/>
      <w:bookmarkStart w:id="642" w:name="_Toc118909611"/>
      <w:bookmarkStart w:id="643" w:name="_Toc205190436"/>
      <w:r w:rsidRPr="004222A1">
        <w:rPr>
          <w:b/>
          <w:lang w:val="it-IT"/>
        </w:rPr>
        <w:t>Non-Spinning Reserve (Non-Spin)</w:t>
      </w:r>
      <w:bookmarkEnd w:id="640"/>
      <w:bookmarkEnd w:id="641"/>
      <w:bookmarkEnd w:id="642"/>
      <w:bookmarkEnd w:id="643"/>
      <w:r w:rsidRPr="004222A1">
        <w:rPr>
          <w:b/>
          <w:lang w:val="it-IT"/>
        </w:rPr>
        <w:t xml:space="preserve"> </w:t>
      </w:r>
    </w:p>
    <w:bookmarkEnd w:id="639"/>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4" w:name="_Toc118224544"/>
      <w:bookmarkStart w:id="645" w:name="_Toc118909612"/>
      <w:bookmarkStart w:id="646" w:name="_Toc205190437"/>
      <w:r w:rsidRPr="004222A1">
        <w:rPr>
          <w:b/>
        </w:rPr>
        <w:t>Normal Ramp Rate</w:t>
      </w:r>
      <w:bookmarkEnd w:id="644"/>
      <w:bookmarkEnd w:id="645"/>
      <w:bookmarkEnd w:id="64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7" w:name="_Toc80425664"/>
      <w:bookmarkStart w:id="648" w:name="_Toc118224545"/>
      <w:bookmarkStart w:id="649" w:name="_Toc118909613"/>
      <w:bookmarkStart w:id="650" w:name="_Toc205190438"/>
      <w:r w:rsidRPr="004222A1">
        <w:rPr>
          <w:b/>
        </w:rPr>
        <w:t>Normal Rating</w:t>
      </w:r>
      <w:bookmarkEnd w:id="647"/>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8"/>
      <w:bookmarkEnd w:id="649"/>
      <w:bookmarkEnd w:id="650"/>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1" w:name="O"/>
      <w:bookmarkEnd w:id="651"/>
    </w:p>
    <w:p w14:paraId="75F58771" w14:textId="77777777" w:rsidR="00B75513" w:rsidRDefault="009E2465">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2" w:name="_Toc118224546"/>
      <w:bookmarkStart w:id="653" w:name="_Toc118909614"/>
      <w:bookmarkStart w:id="654" w:name="_Toc205190439"/>
      <w:r w:rsidRPr="004222A1">
        <w:rPr>
          <w:b/>
        </w:rPr>
        <w:t>Off-Line</w:t>
      </w:r>
      <w:bookmarkEnd w:id="652"/>
      <w:bookmarkEnd w:id="653"/>
      <w:bookmarkEnd w:id="654"/>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5" w:name="_Toc118224548"/>
      <w:bookmarkStart w:id="656" w:name="_Toc118909616"/>
      <w:bookmarkStart w:id="657" w:name="_Toc205190441"/>
      <w:r w:rsidRPr="004222A1">
        <w:rPr>
          <w:b/>
        </w:rPr>
        <w:lastRenderedPageBreak/>
        <w:t>Oklaunion Exemption</w:t>
      </w:r>
      <w:bookmarkEnd w:id="655"/>
      <w:bookmarkEnd w:id="656"/>
      <w:bookmarkEnd w:id="657"/>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0" w:name="_Toc118224555"/>
      <w:bookmarkStart w:id="681" w:name="_Toc118909623"/>
      <w:bookmarkStart w:id="682" w:name="_Toc205190448"/>
      <w:bookmarkStart w:id="683" w:name="_Toc80425682"/>
      <w:bookmarkStart w:id="684"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p w14:paraId="5A06DCD0" w14:textId="77777777" w:rsidR="00D26136" w:rsidRPr="004222A1" w:rsidRDefault="00C96602" w:rsidP="00CE2EF2">
      <w:pPr>
        <w:pStyle w:val="H2"/>
        <w:rPr>
          <w:b/>
        </w:rPr>
      </w:pPr>
      <w:bookmarkStart w:id="685" w:name="_Toc118224556"/>
      <w:bookmarkStart w:id="686" w:name="_Toc118909624"/>
      <w:bookmarkStart w:id="687" w:name="_Toc205190449"/>
      <w:bookmarkStart w:id="688"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89" w:name="_Toc118224557"/>
      <w:bookmarkStart w:id="690" w:name="_Toc118909625"/>
      <w:bookmarkStart w:id="691" w:name="_Toc205190450"/>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lastRenderedPageBreak/>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7" w:name="_Toc118224562"/>
            <w:bookmarkStart w:id="708" w:name="_Toc118909630"/>
            <w:bookmarkStart w:id="709" w:name="_Toc205190455"/>
            <w:bookmarkEnd w:id="684"/>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0" w:name="_Toc73847896"/>
      <w:bookmarkStart w:id="711" w:name="_Toc80425684"/>
      <w:bookmarkStart w:id="712" w:name="_Toc118224563"/>
      <w:bookmarkStart w:id="713" w:name="_Toc118909631"/>
      <w:bookmarkStart w:id="714" w:name="_Toc205190456"/>
      <w:bookmarkEnd w:id="707"/>
      <w:bookmarkEnd w:id="708"/>
      <w:bookmarkEnd w:id="709"/>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9E2465"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2" w:name="_Toc118224565"/>
      <w:bookmarkStart w:id="723" w:name="_Toc118909633"/>
      <w:bookmarkStart w:id="724" w:name="_Toc205190459"/>
      <w:bookmarkEnd w:id="720"/>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0" w:name="_Toc80425694"/>
      <w:bookmarkStart w:id="731" w:name="_Toc118224567"/>
      <w:bookmarkStart w:id="732" w:name="_Toc118909635"/>
      <w:bookmarkStart w:id="733" w:name="_Toc205190463"/>
      <w:bookmarkStart w:id="734" w:name="_Toc73847905"/>
      <w:bookmarkEnd w:id="729"/>
      <w:r w:rsidRPr="004222A1">
        <w:rPr>
          <w:b/>
        </w:rPr>
        <w:lastRenderedPageBreak/>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9E2465">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9E2465">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lastRenderedPageBreak/>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(Reg-Down)</w:t>
      </w:r>
    </w:p>
    <w:p w14:paraId="284C0C42" w14:textId="77777777" w:rsidR="00B75513" w:rsidRDefault="00425796">
      <w:pPr>
        <w:pStyle w:val="BodyText"/>
        <w:tabs>
          <w:tab w:val="left" w:pos="360"/>
        </w:tabs>
        <w:ind w:left="360"/>
      </w:pPr>
      <w:r>
        <w:t>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Reg-Down in which the participating Resource provides Reg-Down capacity to ERCOT within 60 cycles of either its receipt of an ERCOT Dispatch Instruction or its </w:t>
      </w:r>
      <w:r>
        <w:lastRenderedPageBreak/>
        <w:t xml:space="preserve">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(Reg-Up)</w:t>
      </w:r>
    </w:p>
    <w:p w14:paraId="4333A36E" w14:textId="77777777" w:rsidR="00B75513" w:rsidRDefault="00425796">
      <w:pPr>
        <w:pStyle w:val="BodyTextIndent"/>
        <w:ind w:left="360"/>
        <w:rPr>
          <w:iCs w:val="0"/>
        </w:rPr>
      </w:pPr>
      <w:r w:rsidRPr="00425796">
        <w:rPr>
          <w:iCs w:val="0"/>
        </w:rPr>
        <w:t>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3" w:name="_Toc73847926"/>
      <w:bookmarkStart w:id="794" w:name="_Toc118224584"/>
      <w:bookmarkStart w:id="795" w:name="_Toc118909652"/>
      <w:bookmarkStart w:id="796" w:name="_Toc205190483"/>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lastRenderedPageBreak/>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lastRenderedPageBreak/>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M</w:t>
      </w:r>
      <w:r>
        <w:rPr>
          <w:iCs w:val="0"/>
          <w:szCs w:val="24"/>
        </w:rPr>
        <w:t>VA</w:t>
      </w:r>
      <w:r w:rsidRPr="004C4C3E">
        <w:rPr>
          <w:iCs w:val="0"/>
          <w:szCs w:val="24"/>
        </w:rPr>
        <w:t xml:space="preserve">r),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lastRenderedPageBreak/>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lastRenderedPageBreak/>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bookmarkEnd w:id="830"/>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7" w:name="_Toc118224597"/>
      <w:bookmarkStart w:id="838" w:name="_Toc118909665"/>
      <w:bookmarkStart w:id="839" w:name="_Toc205190504"/>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lastRenderedPageBreak/>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9E2465">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lastRenderedPageBreak/>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2" w:name="_Toc80425757"/>
      <w:bookmarkStart w:id="873" w:name="_Toc118224608"/>
      <w:bookmarkStart w:id="874" w:name="_Toc118909676"/>
      <w:bookmarkStart w:id="875" w:name="_Toc205190519"/>
      <w:bookmarkStart w:id="876" w:name="_Toc73847958"/>
      <w:r w:rsidRPr="004222A1">
        <w:rPr>
          <w:b/>
        </w:rPr>
        <w:t>Self-Arranged Ancillary Service</w:t>
      </w:r>
      <w:bookmarkEnd w:id="872"/>
      <w:r w:rsidRPr="004222A1">
        <w:rPr>
          <w:b/>
        </w:rPr>
        <w:t xml:space="preserve"> Quantity</w:t>
      </w:r>
      <w:bookmarkEnd w:id="873"/>
      <w:bookmarkEnd w:id="874"/>
      <w:bookmarkEnd w:id="875"/>
    </w:p>
    <w:p w14:paraId="10E34D96" w14:textId="77777777"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9" w:name="_Toc118224609"/>
      <w:bookmarkStart w:id="880" w:name="_Toc118909677"/>
      <w:bookmarkStart w:id="881" w:name="_Toc205190520"/>
      <w:bookmarkStart w:id="882" w:name="_Toc80425760"/>
      <w:bookmarkStart w:id="883" w:name="_Toc73847963"/>
      <w:bookmarkEnd w:id="877"/>
      <w:bookmarkEnd w:id="878"/>
      <w:r w:rsidRPr="004222A1">
        <w:rPr>
          <w:b/>
        </w:rPr>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lastRenderedPageBreak/>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lastRenderedPageBreak/>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lastRenderedPageBreak/>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4" w:name="_Toc118224625"/>
      <w:bookmarkStart w:id="945" w:name="_Toc118909693"/>
      <w:bookmarkStart w:id="946" w:name="_Toc205190538"/>
      <w:r w:rsidRPr="004222A1">
        <w:rPr>
          <w:b/>
        </w:rPr>
        <w:lastRenderedPageBreak/>
        <w:t>State Estimator (SE)</w:t>
      </w:r>
      <w:bookmarkEnd w:id="943"/>
      <w:bookmarkEnd w:id="944"/>
      <w:bookmarkEnd w:id="945"/>
      <w:bookmarkEnd w:id="946"/>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8"/>
    <w:bookmarkEnd w:id="949"/>
    <w:bookmarkEnd w:id="950"/>
    <w:p w14:paraId="11D6BF95" w14:textId="77777777" w:rsidR="005D1947" w:rsidRDefault="00A442A0">
      <w:pPr>
        <w:pStyle w:val="BodyText"/>
        <w:keepNext/>
        <w:rPr>
          <w:b/>
          <w:sz w:val="40"/>
          <w:szCs w:val="40"/>
        </w:rPr>
      </w:pPr>
      <w:r>
        <w:rPr>
          <w:b/>
          <w:sz w:val="40"/>
          <w:szCs w:val="40"/>
        </w:rPr>
        <w:t>T</w:t>
      </w:r>
      <w:bookmarkStart w:id="952" w:name="T"/>
      <w:bookmarkEnd w:id="952"/>
    </w:p>
    <w:p w14:paraId="76806BF3" w14:textId="77777777" w:rsidR="00B75513" w:rsidRDefault="009E2465">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lastRenderedPageBreak/>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6" w:name="_Toc118224638"/>
      <w:bookmarkStart w:id="997" w:name="_Toc118909706"/>
      <w:bookmarkStart w:id="998" w:name="_Toc205190552"/>
      <w:r w:rsidRPr="004222A1">
        <w:rPr>
          <w:b/>
        </w:rPr>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lastRenderedPageBreak/>
        <w:t>U</w:t>
      </w:r>
      <w:bookmarkStart w:id="1003" w:name="U"/>
      <w:bookmarkEnd w:id="1003"/>
    </w:p>
    <w:p w14:paraId="1E3F674E" w14:textId="77777777" w:rsidR="00B75513" w:rsidRDefault="009E2465">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7" w:name="_Toc205190557"/>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9E2465">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7" w:name="_Toc205190562"/>
      <w:r w:rsidRPr="00B20862">
        <w:rPr>
          <w:b/>
        </w:rPr>
        <w:lastRenderedPageBreak/>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9E2465">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lastRenderedPageBreak/>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9E2465">
      <w:pPr>
        <w:pStyle w:val="ListIntroduction"/>
        <w:keepNext w:val="0"/>
      </w:pPr>
      <w:hyperlink w:anchor="_DEFINITIONS" w:history="1">
        <w:r w:rsidR="00842B9A">
          <w:rPr>
            <w:rStyle w:val="Hyperlink"/>
          </w:rPr>
          <w:t>[Back to Top]</w:t>
        </w:r>
      </w:hyperlink>
    </w:p>
    <w:p w14:paraId="73E46C47" w14:textId="77777777" w:rsidR="005D1947" w:rsidRDefault="009E2465">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9E2465">
      <w:pPr>
        <w:pStyle w:val="ListIntroduction"/>
        <w:keepNext w:val="0"/>
      </w:pPr>
      <w:hyperlink w:anchor="_DEFINITIONS" w:history="1">
        <w:r w:rsidR="00842B9A">
          <w:rPr>
            <w:rStyle w:val="Hyperlink"/>
          </w:rPr>
          <w:t>[Back to Top]</w:t>
        </w:r>
      </w:hyperlink>
    </w:p>
    <w:p w14:paraId="76C10CB2" w14:textId="77777777" w:rsidR="005D1947" w:rsidRDefault="009E2465">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9E2465">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lastRenderedPageBreak/>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lastRenderedPageBreak/>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7575DB">
      <w:pPr>
        <w:pStyle w:val="Acronym"/>
        <w:tabs>
          <w:tab w:val="clear" w:pos="1440"/>
          <w:tab w:val="left" w:pos="2160"/>
        </w:tabs>
      </w:pPr>
      <w:r>
        <w:rPr>
          <w:b/>
        </w:rPr>
        <w:lastRenderedPageBreak/>
        <w:t>FRRS-Up</w:t>
      </w:r>
      <w:r>
        <w:tab/>
        <w:t>Fast Responding Regulation Up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lastRenderedPageBreak/>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lastRenderedPageBreak/>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lastRenderedPageBreak/>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lastRenderedPageBreak/>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7E55E" w14:textId="77777777" w:rsidR="009E2465" w:rsidRDefault="009E246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7E1E43AC" w:rsidR="00943E4B" w:rsidRPr="00F909A2" w:rsidRDefault="00943E4B">
    <w:pPr>
      <w:pStyle w:val="Footer"/>
      <w:tabs>
        <w:tab w:val="clear" w:pos="4680"/>
      </w:tabs>
      <w:spacing w:before="0" w:after="0"/>
    </w:pPr>
    <w:r w:rsidRPr="00F909A2">
      <w:t>ERCOT Nodal Protocols –</w:t>
    </w:r>
    <w:r>
      <w:t xml:space="preserve"> </w:t>
    </w:r>
    <w:r w:rsidR="00B64DD2">
      <w:t>June 10</w:t>
    </w:r>
    <w:bookmarkStart w:id="1046" w:name="_GoBack"/>
    <w:bookmarkEnd w:id="1046"/>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9E2465">
      <w:rPr>
        <w:rStyle w:val="PageNumber"/>
        <w:noProof/>
      </w:rPr>
      <w:t>90</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DA268" w14:textId="77777777" w:rsidR="009E2465" w:rsidRDefault="009E24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E54F7" w14:textId="77777777" w:rsidR="009E2465" w:rsidRDefault="009E246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A1F"/>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cot.com/mktrules/nprotocols/pir_process.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cot.com/mktrules/nprotocols/pir_proc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38E57-B4C4-4484-B825-971511D05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22535</Words>
  <Characters>132904</Characters>
  <Application>Microsoft Office Word</Application>
  <DocSecurity>0</DocSecurity>
  <Lines>1107</Lines>
  <Paragraphs>310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155129</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2020-06-07T19:38:00Z</dcterms:created>
  <dcterms:modified xsi:type="dcterms:W3CDTF">2020-06-07T19:38:00Z</dcterms:modified>
</cp:coreProperties>
</file>