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0922AB8F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1E728A" w:rsidRPr="00AF5DCD">
        <w:rPr>
          <w:rFonts w:ascii="Arial" w:hAnsi="Arial" w:cs="Arial"/>
          <w:color w:val="5B6770" w:themeColor="text2"/>
          <w:sz w:val="22"/>
          <w:szCs w:val="22"/>
        </w:rPr>
        <w:t>1,</w:t>
      </w:r>
      <w:r w:rsidR="001E728A">
        <w:rPr>
          <w:rFonts w:ascii="Arial" w:hAnsi="Arial" w:cs="Arial"/>
          <w:color w:val="5B6770" w:themeColor="text2"/>
          <w:sz w:val="22"/>
          <w:szCs w:val="22"/>
        </w:rPr>
        <w:t>034.6</w:t>
      </w:r>
      <w:r w:rsidR="001E728A" w:rsidRPr="00AF5DC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1E728A">
        <w:rPr>
          <w:rFonts w:ascii="Arial" w:hAnsi="Arial" w:cs="Arial"/>
          <w:color w:val="5B6770" w:themeColor="text2"/>
          <w:sz w:val="22"/>
          <w:szCs w:val="22"/>
        </w:rPr>
        <w:t>June 30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627E54A5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1E728A">
        <w:rPr>
          <w:rFonts w:ascii="Arial" w:hAnsi="Arial" w:cs="Arial"/>
          <w:color w:val="5B6770" w:themeColor="text2"/>
          <w:sz w:val="22"/>
          <w:szCs w:val="22"/>
        </w:rPr>
        <w:t>598.6</w:t>
      </w:r>
      <w:r w:rsidR="00AF5DCD" w:rsidRPr="00AF5DC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1E728A">
        <w:rPr>
          <w:rFonts w:ascii="Arial" w:hAnsi="Arial" w:cs="Arial"/>
          <w:color w:val="5B6770" w:themeColor="text2"/>
          <w:sz w:val="22"/>
          <w:szCs w:val="22"/>
        </w:rPr>
        <w:t>June 30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116F487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4B6A32">
        <w:rPr>
          <w:rFonts w:ascii="Arial" w:hAnsi="Arial" w:cs="Arial"/>
          <w:color w:val="5B6770" w:themeColor="text2"/>
          <w:sz w:val="22"/>
          <w:szCs w:val="22"/>
        </w:rPr>
        <w:t>26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Billion as of </w:t>
      </w:r>
      <w:r w:rsidR="004B6A32">
        <w:rPr>
          <w:rFonts w:ascii="Arial" w:hAnsi="Arial" w:cs="Arial"/>
          <w:color w:val="5B6770" w:themeColor="text2"/>
          <w:sz w:val="22"/>
          <w:szCs w:val="22"/>
        </w:rPr>
        <w:t xml:space="preserve">June 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1, 2020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59DAE694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</w:t>
      </w:r>
      <w:r w:rsidR="004B6A32">
        <w:rPr>
          <w:rFonts w:cs="Arial"/>
          <w:sz w:val="22"/>
          <w:szCs w:val="22"/>
        </w:rPr>
        <w:t>.06</w:t>
      </w:r>
      <w:r w:rsidR="004C7869">
        <w:rPr>
          <w:rFonts w:cs="Arial"/>
          <w:sz w:val="22"/>
          <w:szCs w:val="22"/>
        </w:rPr>
        <w:t xml:space="preserve"> </w:t>
      </w:r>
      <w:r w:rsidR="004B6A32">
        <w:rPr>
          <w:rFonts w:cs="Arial"/>
          <w:sz w:val="22"/>
          <w:szCs w:val="22"/>
        </w:rPr>
        <w:t>B</w:t>
      </w:r>
      <w:r w:rsidR="004C7869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as of </w:t>
      </w:r>
      <w:r w:rsidR="004B6A32">
        <w:rPr>
          <w:rFonts w:cs="Arial"/>
          <w:sz w:val="22"/>
          <w:szCs w:val="22"/>
        </w:rPr>
        <w:t xml:space="preserve">June </w:t>
      </w:r>
      <w:r w:rsidR="004C7869">
        <w:rPr>
          <w:rFonts w:cs="Arial"/>
          <w:sz w:val="22"/>
          <w:szCs w:val="22"/>
        </w:rPr>
        <w:t>1, 2020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5C112012" w14:textId="4764354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D76096">
        <w:rPr>
          <w:sz w:val="22"/>
          <w:szCs w:val="22"/>
        </w:rPr>
        <w:t>Corpus North Shore Project</w:t>
      </w:r>
      <w:r>
        <w:rPr>
          <w:sz w:val="22"/>
          <w:szCs w:val="22"/>
        </w:rPr>
        <w:t>. This is a Tier 1 project that is estimated to cost $259.57 million.</w:t>
      </w:r>
      <w:r w:rsidRPr="00E336D0">
        <w:rPr>
          <w:sz w:val="22"/>
          <w:szCs w:val="22"/>
        </w:rPr>
        <w:t> </w:t>
      </w:r>
      <w:r w:rsidR="00AF5DCD" w:rsidRPr="0098726A">
        <w:rPr>
          <w:sz w:val="22"/>
          <w:szCs w:val="22"/>
        </w:rPr>
        <w:t xml:space="preserve">ERCOT has completed the independent review </w:t>
      </w:r>
      <w:r w:rsidR="00AF5DCD">
        <w:rPr>
          <w:sz w:val="22"/>
          <w:szCs w:val="22"/>
        </w:rPr>
        <w:t xml:space="preserve">on May 19, </w:t>
      </w:r>
      <w:r w:rsidR="00AF5DCD" w:rsidRPr="0098726A">
        <w:rPr>
          <w:sz w:val="22"/>
          <w:szCs w:val="22"/>
        </w:rPr>
        <w:t xml:space="preserve">and an alternate project was recommended for </w:t>
      </w:r>
      <w:r w:rsidR="00EA7D60">
        <w:rPr>
          <w:sz w:val="22"/>
          <w:szCs w:val="22"/>
        </w:rPr>
        <w:t>ERCOT Board</w:t>
      </w:r>
      <w:r w:rsidR="00EA7D60" w:rsidRPr="0098726A">
        <w:rPr>
          <w:sz w:val="22"/>
          <w:szCs w:val="22"/>
        </w:rPr>
        <w:t xml:space="preserve"> </w:t>
      </w:r>
      <w:r w:rsidR="00AF5DCD" w:rsidRPr="0098726A">
        <w:rPr>
          <w:sz w:val="22"/>
          <w:szCs w:val="22"/>
        </w:rPr>
        <w:t xml:space="preserve">endorsement. TAC voted unanimously to endorse the project on May 27. </w:t>
      </w:r>
      <w:r w:rsidR="00EA7D60">
        <w:rPr>
          <w:sz w:val="22"/>
          <w:szCs w:val="22"/>
        </w:rPr>
        <w:t xml:space="preserve">The </w:t>
      </w:r>
      <w:r w:rsidR="001E728A" w:rsidRPr="004E7237">
        <w:rPr>
          <w:sz w:val="22"/>
          <w:szCs w:val="22"/>
        </w:rPr>
        <w:t xml:space="preserve">ERCOT </w:t>
      </w:r>
      <w:r w:rsidR="00EA7D60">
        <w:rPr>
          <w:sz w:val="22"/>
          <w:szCs w:val="22"/>
        </w:rPr>
        <w:t>Board</w:t>
      </w:r>
      <w:r w:rsidR="001E728A" w:rsidRPr="004E7237">
        <w:rPr>
          <w:sz w:val="22"/>
          <w:szCs w:val="22"/>
        </w:rPr>
        <w:t xml:space="preserve"> endorsed the project on June 9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4179C922" w14:textId="4EF581BC" w:rsidR="00320C40" w:rsidRDefault="00320C40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TNMP has submitted the Texas</w:t>
      </w:r>
      <w:r w:rsidRPr="00C53DCE">
        <w:rPr>
          <w:sz w:val="22"/>
          <w:szCs w:val="22"/>
        </w:rPr>
        <w:t xml:space="preserve"> City Transmission Improvement Project</w:t>
      </w:r>
      <w:r>
        <w:rPr>
          <w:sz w:val="22"/>
          <w:szCs w:val="22"/>
        </w:rPr>
        <w:t xml:space="preserve">. This is a Tier 2 project that is estimated to cost $29.3 million. This project is currently </w:t>
      </w:r>
      <w:r w:rsidR="00AF5DCD" w:rsidRPr="00AF5DCD">
        <w:rPr>
          <w:sz w:val="22"/>
          <w:szCs w:val="22"/>
        </w:rPr>
        <w:t>under ERCOT Independent Review</w:t>
      </w:r>
      <w:r>
        <w:rPr>
          <w:sz w:val="22"/>
          <w:szCs w:val="22"/>
        </w:rPr>
        <w:t>.</w:t>
      </w:r>
    </w:p>
    <w:p w14:paraId="71A3D9A5" w14:textId="1BEB267F" w:rsidR="00AF5DCD" w:rsidRDefault="00AF5DCD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F5DCD">
        <w:rPr>
          <w:sz w:val="22"/>
          <w:szCs w:val="22"/>
        </w:rPr>
        <w:t xml:space="preserve">BEC has submitted the Moffat to </w:t>
      </w:r>
      <w:proofErr w:type="spellStart"/>
      <w:r w:rsidRPr="00AF5DCD">
        <w:rPr>
          <w:sz w:val="22"/>
          <w:szCs w:val="22"/>
        </w:rPr>
        <w:t>Hasse</w:t>
      </w:r>
      <w:proofErr w:type="spellEnd"/>
      <w:r w:rsidRPr="00AF5DCD">
        <w:rPr>
          <w:sz w:val="22"/>
          <w:szCs w:val="22"/>
        </w:rPr>
        <w:t xml:space="preserve"> Voltage Conversion Project. This is a Tier 2 project that is estimated to cost $55.2 million. This project is currently </w:t>
      </w:r>
      <w:r w:rsidR="001E728A" w:rsidRPr="00AF5DCD">
        <w:rPr>
          <w:sz w:val="22"/>
          <w:szCs w:val="22"/>
        </w:rPr>
        <w:t>under ERCOT Independent Review</w:t>
      </w:r>
      <w:r w:rsidRPr="00AF5DCD">
        <w:rPr>
          <w:sz w:val="22"/>
          <w:szCs w:val="22"/>
        </w:rPr>
        <w:t>.</w:t>
      </w:r>
    </w:p>
    <w:p w14:paraId="16192783" w14:textId="2730936E" w:rsidR="00AF5DCD" w:rsidRDefault="00AF5DCD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 w:rsidRPr="00AF5DCD">
        <w:rPr>
          <w:sz w:val="22"/>
          <w:szCs w:val="22"/>
        </w:rPr>
        <w:t>Oncor</w:t>
      </w:r>
      <w:proofErr w:type="spellEnd"/>
      <w:r w:rsidRPr="00AF5DCD">
        <w:rPr>
          <w:sz w:val="22"/>
          <w:szCs w:val="22"/>
        </w:rPr>
        <w:t xml:space="preserve"> has submitted the Quarry Field 345-kV Switch Project. This is a Tier 3 project that is estimated to cost $29 million. </w:t>
      </w:r>
      <w:r w:rsidR="001E728A" w:rsidRPr="00BF5A35">
        <w:rPr>
          <w:sz w:val="22"/>
          <w:szCs w:val="22"/>
        </w:rPr>
        <w:t xml:space="preserve">This project completed the RPG review on </w:t>
      </w:r>
      <w:r w:rsidR="001E728A">
        <w:rPr>
          <w:sz w:val="22"/>
          <w:szCs w:val="22"/>
        </w:rPr>
        <w:t>June 12</w:t>
      </w:r>
      <w:r w:rsidR="001E728A" w:rsidRPr="00BF5A35">
        <w:rPr>
          <w:sz w:val="22"/>
          <w:szCs w:val="22"/>
        </w:rPr>
        <w:t xml:space="preserve">, and ERCOT </w:t>
      </w:r>
      <w:r w:rsidR="001E728A">
        <w:rPr>
          <w:sz w:val="22"/>
          <w:szCs w:val="22"/>
        </w:rPr>
        <w:t xml:space="preserve">has </w:t>
      </w:r>
      <w:r w:rsidR="001E728A" w:rsidRPr="00BF5A35">
        <w:rPr>
          <w:sz w:val="22"/>
          <w:szCs w:val="22"/>
        </w:rPr>
        <w:t>issue</w:t>
      </w:r>
      <w:r w:rsidR="001E728A">
        <w:rPr>
          <w:sz w:val="22"/>
          <w:szCs w:val="22"/>
        </w:rPr>
        <w:t>d</w:t>
      </w:r>
      <w:r w:rsidR="001E728A" w:rsidRPr="00BF5A35">
        <w:rPr>
          <w:sz w:val="22"/>
          <w:szCs w:val="22"/>
        </w:rPr>
        <w:t xml:space="preserve"> an acceptance letter</w:t>
      </w:r>
      <w:r>
        <w:rPr>
          <w:sz w:val="22"/>
          <w:szCs w:val="22"/>
        </w:rPr>
        <w:t>.</w:t>
      </w:r>
    </w:p>
    <w:p w14:paraId="31E32DE4" w14:textId="77777777" w:rsidR="001E728A" w:rsidRDefault="001E728A" w:rsidP="001E728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 w:rsidRPr="00AF5DCD">
        <w:rPr>
          <w:sz w:val="22"/>
          <w:szCs w:val="22"/>
        </w:rPr>
        <w:t>Oncor</w:t>
      </w:r>
      <w:proofErr w:type="spellEnd"/>
      <w:r w:rsidRPr="00AF5DCD">
        <w:rPr>
          <w:sz w:val="22"/>
          <w:szCs w:val="22"/>
        </w:rPr>
        <w:t xml:space="preserve"> has submitted the </w:t>
      </w:r>
      <w:r>
        <w:rPr>
          <w:sz w:val="22"/>
          <w:szCs w:val="22"/>
        </w:rPr>
        <w:t>Big Spring – Buzzard Draw 69-kV Line Conversion to 138-</w:t>
      </w:r>
      <w:r w:rsidRPr="00BF5A35">
        <w:rPr>
          <w:sz w:val="22"/>
          <w:szCs w:val="22"/>
        </w:rPr>
        <w:t>kV Project</w:t>
      </w:r>
      <w:r w:rsidRPr="00AF5DCD">
        <w:rPr>
          <w:sz w:val="22"/>
          <w:szCs w:val="22"/>
        </w:rPr>
        <w:t>. This is a Tier 3 project that is estimated to cost $</w:t>
      </w:r>
      <w:r>
        <w:rPr>
          <w:sz w:val="22"/>
          <w:szCs w:val="22"/>
        </w:rPr>
        <w:t>32</w:t>
      </w:r>
      <w:r w:rsidRPr="00AF5DCD">
        <w:rPr>
          <w:sz w:val="22"/>
          <w:szCs w:val="22"/>
        </w:rPr>
        <w:t xml:space="preserve"> million</w:t>
      </w:r>
      <w:r>
        <w:rPr>
          <w:sz w:val="22"/>
          <w:szCs w:val="22"/>
        </w:rPr>
        <w:t>.</w:t>
      </w:r>
      <w:r w:rsidRPr="00BF5A35">
        <w:rPr>
          <w:sz w:val="22"/>
          <w:szCs w:val="22"/>
        </w:rPr>
        <w:t xml:space="preserve"> This project completed the RPG review on </w:t>
      </w:r>
      <w:r>
        <w:rPr>
          <w:sz w:val="22"/>
          <w:szCs w:val="22"/>
        </w:rPr>
        <w:t>June 26</w:t>
      </w:r>
      <w:r w:rsidRPr="00BF5A35">
        <w:rPr>
          <w:sz w:val="22"/>
          <w:szCs w:val="22"/>
        </w:rPr>
        <w:t xml:space="preserve">, and ERCOT </w:t>
      </w:r>
      <w:r>
        <w:rPr>
          <w:sz w:val="22"/>
          <w:szCs w:val="22"/>
        </w:rPr>
        <w:t xml:space="preserve">will </w:t>
      </w:r>
      <w:r w:rsidRPr="00BF5A35">
        <w:rPr>
          <w:sz w:val="22"/>
          <w:szCs w:val="22"/>
        </w:rPr>
        <w:t>issue an acceptance letter</w:t>
      </w:r>
      <w:r>
        <w:rPr>
          <w:sz w:val="22"/>
          <w:szCs w:val="22"/>
        </w:rPr>
        <w:t>.</w:t>
      </w:r>
    </w:p>
    <w:p w14:paraId="206BA3A2" w14:textId="73644730" w:rsidR="001E728A" w:rsidRPr="00320C40" w:rsidRDefault="001E728A" w:rsidP="001E728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 w:rsidRPr="00AF5DCD">
        <w:rPr>
          <w:sz w:val="22"/>
          <w:szCs w:val="22"/>
        </w:rPr>
        <w:t>Oncor</w:t>
      </w:r>
      <w:proofErr w:type="spellEnd"/>
      <w:r w:rsidRPr="00AF5DCD">
        <w:rPr>
          <w:sz w:val="22"/>
          <w:szCs w:val="22"/>
        </w:rPr>
        <w:t xml:space="preserve"> has submitted the </w:t>
      </w:r>
      <w:r>
        <w:rPr>
          <w:sz w:val="22"/>
          <w:szCs w:val="22"/>
        </w:rPr>
        <w:t>Carrollton Northwest 345/138-</w:t>
      </w:r>
      <w:r w:rsidRPr="00BF5A35">
        <w:rPr>
          <w:sz w:val="22"/>
          <w:szCs w:val="22"/>
        </w:rPr>
        <w:t>kV Autotransformer Upgrade Project</w:t>
      </w:r>
      <w:r w:rsidRPr="00AF5DCD">
        <w:rPr>
          <w:sz w:val="22"/>
          <w:szCs w:val="22"/>
        </w:rPr>
        <w:t>. This is a Tier 3 project that is estimated to cost $</w:t>
      </w:r>
      <w:r>
        <w:rPr>
          <w:sz w:val="22"/>
          <w:szCs w:val="22"/>
        </w:rPr>
        <w:t>8.5</w:t>
      </w:r>
      <w:r w:rsidRPr="00AF5DCD">
        <w:rPr>
          <w:sz w:val="22"/>
          <w:szCs w:val="22"/>
        </w:rPr>
        <w:t xml:space="preserve"> million</w:t>
      </w:r>
      <w:r>
        <w:rPr>
          <w:sz w:val="22"/>
          <w:szCs w:val="22"/>
        </w:rPr>
        <w:t>.</w:t>
      </w:r>
      <w:r w:rsidRPr="00BF5A35">
        <w:rPr>
          <w:sz w:val="22"/>
          <w:szCs w:val="22"/>
        </w:rPr>
        <w:t xml:space="preserve"> This project </w:t>
      </w:r>
      <w:r>
        <w:rPr>
          <w:sz w:val="22"/>
          <w:szCs w:val="22"/>
        </w:rPr>
        <w:t xml:space="preserve">is currently in the </w:t>
      </w:r>
      <w:r w:rsidRPr="00BF5A35">
        <w:rPr>
          <w:sz w:val="22"/>
          <w:szCs w:val="22"/>
        </w:rPr>
        <w:t xml:space="preserve">RPG </w:t>
      </w:r>
      <w:r>
        <w:rPr>
          <w:sz w:val="22"/>
          <w:szCs w:val="22"/>
        </w:rPr>
        <w:t>comment period.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lastRenderedPageBreak/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0D94ACC5" w:rsidR="005C30B8" w:rsidRPr="00F81B3A" w:rsidRDefault="000B12E4" w:rsidP="00E91521">
      <w:pPr>
        <w:pStyle w:val="ListParagraph"/>
        <w:numPr>
          <w:ilvl w:val="0"/>
          <w:numId w:val="44"/>
        </w:numPr>
        <w:tabs>
          <w:tab w:val="left" w:pos="1260"/>
          <w:tab w:val="left" w:pos="252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4B6A32">
        <w:rPr>
          <w:rFonts w:eastAsia="SymbolMT" w:cs="Arial"/>
          <w:sz w:val="22"/>
          <w:szCs w:val="22"/>
        </w:rPr>
        <w:t>Oct 15</w:t>
      </w:r>
      <w:r w:rsidR="001A5CB3">
        <w:rPr>
          <w:rFonts w:eastAsia="SymbolMT" w:cs="Arial"/>
          <w:sz w:val="22"/>
          <w:szCs w:val="22"/>
        </w:rPr>
        <w:t>, 2020</w:t>
      </w:r>
      <w:r w:rsidR="005C30B8" w:rsidRPr="00F81B3A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 xml:space="preserve">Update 1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3C64E43F" w:rsidR="005C30B8" w:rsidRPr="00F81B3A" w:rsidRDefault="005C30B8" w:rsidP="00E91521">
      <w:pPr>
        <w:pStyle w:val="ListParagraph"/>
        <w:numPr>
          <w:ilvl w:val="0"/>
          <w:numId w:val="44"/>
        </w:numPr>
        <w:tabs>
          <w:tab w:val="left" w:pos="720"/>
        </w:tabs>
        <w:spacing w:after="240"/>
        <w:ind w:left="2520" w:hanging="216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By </w:t>
      </w:r>
      <w:r w:rsidR="004B6A32">
        <w:rPr>
          <w:rFonts w:eastAsia="SymbolMT" w:cs="Arial"/>
          <w:sz w:val="22"/>
          <w:szCs w:val="22"/>
        </w:rPr>
        <w:t>Oct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31</w:t>
      </w:r>
      <w:r w:rsidRPr="00F81B3A">
        <w:rPr>
          <w:rFonts w:eastAsia="SymbolMT" w:cs="Arial"/>
          <w:sz w:val="22"/>
          <w:szCs w:val="22"/>
        </w:rPr>
        <w:t xml:space="preserve">, 2020 </w:t>
      </w:r>
      <w:r w:rsidRPr="00F81B3A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4B6A32">
        <w:rPr>
          <w:rFonts w:eastAsia="SymbolMT" w:cs="Arial"/>
          <w:sz w:val="22"/>
          <w:szCs w:val="22"/>
        </w:rPr>
        <w:t xml:space="preserve">U1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16D268E5" w14:textId="24849D17" w:rsidR="005C30B8" w:rsidRPr="00F81B3A" w:rsidRDefault="005C30B8" w:rsidP="005C30B8">
      <w:pPr>
        <w:tabs>
          <w:tab w:val="left" w:pos="1620"/>
          <w:tab w:val="left" w:pos="3888"/>
        </w:tabs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6311C751" w14:textId="05951C8F" w:rsidR="005C30B8" w:rsidRDefault="000B12E4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0B12E4">
        <w:rPr>
          <w:noProof/>
        </w:rPr>
        <w:t xml:space="preserve"> </w:t>
      </w:r>
      <w:r w:rsidR="004B6A32" w:rsidRPr="004B6A32">
        <w:rPr>
          <w:noProof/>
        </w:rPr>
        <w:t xml:space="preserve"> </w:t>
      </w:r>
      <w:r w:rsidR="004B6A32">
        <w:rPr>
          <w:noProof/>
        </w:rPr>
        <w:drawing>
          <wp:inline distT="0" distB="0" distL="0" distR="0" wp14:anchorId="5CF2BBAB" wp14:editId="75D54E70">
            <wp:extent cx="5090824" cy="62519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5067" cy="628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95A">
        <w:t xml:space="preserve"> </w:t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09D366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58703" cy="39137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03" cy="391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50239771">
            <wp:simplePos x="0" y="0"/>
            <wp:positionH relativeFrom="margin">
              <wp:align>left</wp:align>
            </wp:positionH>
            <wp:positionV relativeFrom="paragraph">
              <wp:posOffset>3910330</wp:posOffset>
            </wp:positionV>
            <wp:extent cx="4772939" cy="35521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939" cy="3552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2D3C2BDB" w14:textId="537A70A5" w:rsidR="00B273F5" w:rsidRPr="00F4019C" w:rsidRDefault="00B273F5" w:rsidP="00F4019C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F4019C">
        <w:rPr>
          <w:sz w:val="22"/>
          <w:szCs w:val="22"/>
        </w:rPr>
        <w:t>The SPWG</w:t>
      </w:r>
      <w:r w:rsidR="00472E4C" w:rsidRPr="00F4019C">
        <w:rPr>
          <w:sz w:val="22"/>
          <w:szCs w:val="22"/>
        </w:rPr>
        <w:t xml:space="preserve"> </w:t>
      </w:r>
      <w:r w:rsidR="001A5CB3" w:rsidRPr="00F4019C">
        <w:rPr>
          <w:sz w:val="22"/>
          <w:szCs w:val="22"/>
        </w:rPr>
        <w:t xml:space="preserve">completed and posted </w:t>
      </w:r>
      <w:r w:rsidR="009B41C6" w:rsidRPr="00F4019C">
        <w:rPr>
          <w:sz w:val="22"/>
          <w:szCs w:val="22"/>
        </w:rPr>
        <w:t>the 2020 CY base case</w:t>
      </w:r>
      <w:r w:rsidR="001A5CB3" w:rsidRPr="00F4019C">
        <w:rPr>
          <w:sz w:val="22"/>
          <w:szCs w:val="22"/>
        </w:rPr>
        <w:t xml:space="preserve"> on March 27, 2020</w:t>
      </w:r>
      <w:r w:rsidR="00472E4C" w:rsidRPr="00F4019C">
        <w:rPr>
          <w:sz w:val="22"/>
          <w:szCs w:val="22"/>
        </w:rPr>
        <w:t>.</w:t>
      </w:r>
    </w:p>
    <w:p w14:paraId="43C74986" w14:textId="4F5C7863" w:rsidR="001A5CB3" w:rsidRDefault="001A5CB3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SPWG has begun building the 2020 FY cases.</w:t>
      </w:r>
    </w:p>
    <w:p w14:paraId="5F254926" w14:textId="534B2C00" w:rsidR="0068061B" w:rsidRDefault="0068061B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performing </w:t>
      </w:r>
      <w:r w:rsidR="00283188">
        <w:rPr>
          <w:sz w:val="22"/>
          <w:szCs w:val="22"/>
        </w:rPr>
        <w:t>stability analysis for Panhandle and West Texas export</w:t>
      </w:r>
      <w:r w:rsidR="00EA7D60">
        <w:rPr>
          <w:sz w:val="22"/>
          <w:szCs w:val="22"/>
        </w:rPr>
        <w:t>s</w:t>
      </w:r>
      <w:r w:rsidR="00283188">
        <w:rPr>
          <w:sz w:val="22"/>
          <w:szCs w:val="22"/>
        </w:rPr>
        <w:t xml:space="preserve"> and plans to </w:t>
      </w:r>
      <w:r w:rsidR="00651034">
        <w:rPr>
          <w:sz w:val="22"/>
          <w:szCs w:val="22"/>
        </w:rPr>
        <w:t xml:space="preserve">finalize </w:t>
      </w:r>
      <w:r w:rsidR="00EA7D60">
        <w:rPr>
          <w:sz w:val="22"/>
          <w:szCs w:val="22"/>
        </w:rPr>
        <w:t>both reports</w:t>
      </w:r>
      <w:r w:rsidR="00034DE0">
        <w:rPr>
          <w:sz w:val="22"/>
          <w:szCs w:val="22"/>
        </w:rPr>
        <w:t xml:space="preserve"> in July</w:t>
      </w:r>
      <w:r w:rsidR="00283188">
        <w:rPr>
          <w:sz w:val="22"/>
          <w:szCs w:val="22"/>
        </w:rPr>
        <w:t>.</w:t>
      </w:r>
      <w:r w:rsidR="00034DE0">
        <w:rPr>
          <w:sz w:val="22"/>
          <w:szCs w:val="22"/>
        </w:rPr>
        <w:t xml:space="preserve">  ERCOT plans to start Valley export stability analysis in August.  </w:t>
      </w:r>
    </w:p>
    <w:p w14:paraId="0F90DF68" w14:textId="10F53BD8" w:rsidR="00F4606C" w:rsidRPr="00DE623D" w:rsidRDefault="007940A9" w:rsidP="00DE623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EA7D60">
        <w:rPr>
          <w:sz w:val="22"/>
          <w:szCs w:val="22"/>
        </w:rPr>
        <w:t>ERCOT presented information and a proposal for assumptions for including Battery Energy Storage Systems (BESS) in transmission planning studies</w:t>
      </w:r>
      <w:r w:rsidR="00651034" w:rsidRPr="00EA7D60">
        <w:rPr>
          <w:sz w:val="22"/>
          <w:szCs w:val="22"/>
        </w:rPr>
        <w:t xml:space="preserve"> to </w:t>
      </w:r>
      <w:r w:rsidR="00505AAB" w:rsidRPr="00EA7D60">
        <w:rPr>
          <w:sz w:val="22"/>
          <w:szCs w:val="22"/>
        </w:rPr>
        <w:t>PLWG in June</w:t>
      </w:r>
      <w:r w:rsidRPr="00EA7D60">
        <w:rPr>
          <w:sz w:val="22"/>
          <w:szCs w:val="22"/>
        </w:rPr>
        <w:t>. The assumptions included in the presentation are related to BEST</w:t>
      </w:r>
      <w:r w:rsidR="00EA7D60" w:rsidRPr="00EA7D60">
        <w:rPr>
          <w:sz w:val="22"/>
          <w:szCs w:val="22"/>
        </w:rPr>
        <w:t>F</w:t>
      </w:r>
      <w:r w:rsidRPr="00EA7D60">
        <w:rPr>
          <w:sz w:val="22"/>
          <w:szCs w:val="22"/>
        </w:rPr>
        <w:t xml:space="preserve"> KTC 10, Item 5. </w:t>
      </w:r>
    </w:p>
    <w:sectPr w:rsidR="00F4606C" w:rsidRPr="00DE623D" w:rsidSect="005C30B8">
      <w:head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1C6AC" w14:textId="77777777" w:rsidR="00226149" w:rsidRDefault="00226149" w:rsidP="0098347E">
      <w:r>
        <w:separator/>
      </w:r>
    </w:p>
  </w:endnote>
  <w:endnote w:type="continuationSeparator" w:id="0">
    <w:p w14:paraId="5AB6E334" w14:textId="77777777" w:rsidR="00226149" w:rsidRDefault="00226149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7AF5A4C6" w:rsidR="0098347E" w:rsidRPr="006D7974" w:rsidRDefault="00DD15ED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June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91D1C" w14:textId="77777777" w:rsidR="00226149" w:rsidRDefault="00226149" w:rsidP="0098347E">
      <w:r>
        <w:separator/>
      </w:r>
    </w:p>
  </w:footnote>
  <w:footnote w:type="continuationSeparator" w:id="0">
    <w:p w14:paraId="6FF6F809" w14:textId="77777777" w:rsidR="00226149" w:rsidRDefault="00226149" w:rsidP="0098347E">
      <w:r>
        <w:continuationSeparator/>
      </w:r>
    </w:p>
  </w:footnote>
  <w:footnote w:id="1">
    <w:p w14:paraId="297918A3" w14:textId="02079C3B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</w:t>
      </w:r>
      <w:proofErr w:type="gramStart"/>
      <w:r w:rsidRPr="00B273F5">
        <w:rPr>
          <w:rFonts w:asciiTheme="minorHAnsi" w:hAnsiTheme="minorHAnsi" w:cstheme="minorHAnsi"/>
          <w:sz w:val="16"/>
          <w:szCs w:val="16"/>
        </w:rPr>
        <w:t>symbol</w:t>
      </w:r>
      <w:proofErr w:type="gramEnd"/>
      <w:r w:rsidRPr="00B273F5">
        <w:rPr>
          <w:rFonts w:asciiTheme="minorHAnsi" w:hAnsiTheme="minorHAnsi" w:cstheme="minorHAnsi"/>
          <w:sz w:val="16"/>
          <w:szCs w:val="16"/>
        </w:rPr>
        <w:t xml:space="preserve"> indicates the increase or decrease from the previous month in oil rigs present in each county. There are </w:t>
      </w:r>
      <w:r w:rsidR="0010485B">
        <w:rPr>
          <w:rFonts w:asciiTheme="minorHAnsi" w:hAnsiTheme="minorHAnsi" w:cstheme="minorHAnsi"/>
          <w:sz w:val="16"/>
          <w:szCs w:val="16"/>
        </w:rPr>
        <w:t>78</w:t>
      </w:r>
      <w:r w:rsidRPr="00B273F5">
        <w:rPr>
          <w:rFonts w:asciiTheme="minorHAnsi" w:hAnsiTheme="minorHAnsi" w:cstheme="minorHAnsi"/>
          <w:sz w:val="16"/>
          <w:szCs w:val="16"/>
        </w:rPr>
        <w:t xml:space="preserve"> rigs, including a total decrease of </w:t>
      </w:r>
      <w:r w:rsidR="0010485B">
        <w:rPr>
          <w:rFonts w:asciiTheme="minorHAnsi" w:hAnsiTheme="minorHAnsi" w:cstheme="minorHAnsi"/>
          <w:sz w:val="16"/>
          <w:szCs w:val="16"/>
        </w:rPr>
        <w:t>9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10485B">
        <w:rPr>
          <w:rFonts w:asciiTheme="minorHAnsi" w:hAnsiTheme="minorHAnsi" w:cstheme="minorHAnsi"/>
          <w:sz w:val="16"/>
          <w:szCs w:val="16"/>
        </w:rPr>
        <w:t>May</w:t>
      </w:r>
      <w:r w:rsidR="0027600E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to</w:t>
      </w:r>
      <w:r w:rsidR="001E08A3">
        <w:rPr>
          <w:rFonts w:asciiTheme="minorHAnsi" w:hAnsiTheme="minorHAnsi" w:cstheme="minorHAnsi"/>
          <w:sz w:val="16"/>
          <w:szCs w:val="16"/>
        </w:rPr>
        <w:t xml:space="preserve"> </w:t>
      </w:r>
      <w:r w:rsidR="0010485B">
        <w:rPr>
          <w:rFonts w:asciiTheme="minorHAnsi" w:hAnsiTheme="minorHAnsi" w:cstheme="minorHAnsi"/>
          <w:sz w:val="16"/>
          <w:szCs w:val="16"/>
        </w:rPr>
        <w:t>June</w:t>
      </w:r>
      <w:r w:rsidR="001E08A3">
        <w:rPr>
          <w:rFonts w:asciiTheme="minorHAnsi" w:hAnsiTheme="minorHAnsi" w:cstheme="minorHAnsi"/>
          <w:sz w:val="16"/>
          <w:szCs w:val="16"/>
        </w:rPr>
        <w:t xml:space="preserve"> </w:t>
      </w:r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B12E4"/>
    <w:rsid w:val="000C15E1"/>
    <w:rsid w:val="000D759F"/>
    <w:rsid w:val="000E13E0"/>
    <w:rsid w:val="0010485B"/>
    <w:rsid w:val="00107455"/>
    <w:rsid w:val="00142B7A"/>
    <w:rsid w:val="00164C11"/>
    <w:rsid w:val="00176CA4"/>
    <w:rsid w:val="001A255A"/>
    <w:rsid w:val="001A5CB3"/>
    <w:rsid w:val="001B020D"/>
    <w:rsid w:val="001E08A3"/>
    <w:rsid w:val="001E728A"/>
    <w:rsid w:val="00202BA3"/>
    <w:rsid w:val="00226149"/>
    <w:rsid w:val="00245ED7"/>
    <w:rsid w:val="00247018"/>
    <w:rsid w:val="00250F28"/>
    <w:rsid w:val="0027122F"/>
    <w:rsid w:val="0027600E"/>
    <w:rsid w:val="00283188"/>
    <w:rsid w:val="00320C40"/>
    <w:rsid w:val="003458EB"/>
    <w:rsid w:val="003546B8"/>
    <w:rsid w:val="00355D1E"/>
    <w:rsid w:val="003B5CF3"/>
    <w:rsid w:val="003C5ED1"/>
    <w:rsid w:val="003D4F77"/>
    <w:rsid w:val="003E3F40"/>
    <w:rsid w:val="00400CFA"/>
    <w:rsid w:val="00425B76"/>
    <w:rsid w:val="0044096E"/>
    <w:rsid w:val="00457313"/>
    <w:rsid w:val="00472E4C"/>
    <w:rsid w:val="00482384"/>
    <w:rsid w:val="004B6A32"/>
    <w:rsid w:val="004C7869"/>
    <w:rsid w:val="00505AAB"/>
    <w:rsid w:val="00524917"/>
    <w:rsid w:val="0055122F"/>
    <w:rsid w:val="00594A91"/>
    <w:rsid w:val="005A138F"/>
    <w:rsid w:val="005B55BE"/>
    <w:rsid w:val="005C30B8"/>
    <w:rsid w:val="005C51A7"/>
    <w:rsid w:val="00614611"/>
    <w:rsid w:val="00651034"/>
    <w:rsid w:val="006563AC"/>
    <w:rsid w:val="0068061B"/>
    <w:rsid w:val="006936D9"/>
    <w:rsid w:val="006D7974"/>
    <w:rsid w:val="006E4C53"/>
    <w:rsid w:val="00700285"/>
    <w:rsid w:val="00702B73"/>
    <w:rsid w:val="007357F6"/>
    <w:rsid w:val="007940A9"/>
    <w:rsid w:val="0079637D"/>
    <w:rsid w:val="007D0EED"/>
    <w:rsid w:val="007F7756"/>
    <w:rsid w:val="0084112D"/>
    <w:rsid w:val="0088788B"/>
    <w:rsid w:val="008E7B0D"/>
    <w:rsid w:val="008F29FA"/>
    <w:rsid w:val="00917EC0"/>
    <w:rsid w:val="009304B1"/>
    <w:rsid w:val="0095508F"/>
    <w:rsid w:val="0098347E"/>
    <w:rsid w:val="00985DEF"/>
    <w:rsid w:val="00990002"/>
    <w:rsid w:val="00996158"/>
    <w:rsid w:val="009A0577"/>
    <w:rsid w:val="009B3EAA"/>
    <w:rsid w:val="009B41C6"/>
    <w:rsid w:val="009E544E"/>
    <w:rsid w:val="00A046EB"/>
    <w:rsid w:val="00A13F36"/>
    <w:rsid w:val="00A36FD4"/>
    <w:rsid w:val="00A628E9"/>
    <w:rsid w:val="00A6620C"/>
    <w:rsid w:val="00AC3368"/>
    <w:rsid w:val="00AF5DCD"/>
    <w:rsid w:val="00B02A88"/>
    <w:rsid w:val="00B0539D"/>
    <w:rsid w:val="00B07A0B"/>
    <w:rsid w:val="00B122A8"/>
    <w:rsid w:val="00B273F5"/>
    <w:rsid w:val="00B32440"/>
    <w:rsid w:val="00B355BE"/>
    <w:rsid w:val="00B545BF"/>
    <w:rsid w:val="00B94FE8"/>
    <w:rsid w:val="00BA6A4A"/>
    <w:rsid w:val="00BF25D6"/>
    <w:rsid w:val="00C40BC3"/>
    <w:rsid w:val="00C553B3"/>
    <w:rsid w:val="00C5695A"/>
    <w:rsid w:val="00C60C53"/>
    <w:rsid w:val="00C726D1"/>
    <w:rsid w:val="00C91210"/>
    <w:rsid w:val="00C918B4"/>
    <w:rsid w:val="00C94AC6"/>
    <w:rsid w:val="00CD110F"/>
    <w:rsid w:val="00D94505"/>
    <w:rsid w:val="00DD15ED"/>
    <w:rsid w:val="00DE623D"/>
    <w:rsid w:val="00E2379B"/>
    <w:rsid w:val="00E308D5"/>
    <w:rsid w:val="00E326E6"/>
    <w:rsid w:val="00E4095C"/>
    <w:rsid w:val="00E532C3"/>
    <w:rsid w:val="00E558A6"/>
    <w:rsid w:val="00E62CA7"/>
    <w:rsid w:val="00E67C79"/>
    <w:rsid w:val="00E77059"/>
    <w:rsid w:val="00E91521"/>
    <w:rsid w:val="00EA7D60"/>
    <w:rsid w:val="00EB2C58"/>
    <w:rsid w:val="00EC1203"/>
    <w:rsid w:val="00ED40B7"/>
    <w:rsid w:val="00F130EF"/>
    <w:rsid w:val="00F4019C"/>
    <w:rsid w:val="00F4606C"/>
    <w:rsid w:val="00F6430C"/>
    <w:rsid w:val="00F67E96"/>
    <w:rsid w:val="00F81B3A"/>
    <w:rsid w:val="00F970D6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B84B-26D6-49D1-AD0D-8652E591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47E3AF-C64F-4153-A04B-B0679D43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639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2020-07-09T13:35:00Z</dcterms:created>
  <dcterms:modified xsi:type="dcterms:W3CDTF">2020-07-09T13:35:00Z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