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59A8" w14:textId="77777777" w:rsidR="00FF42D1" w:rsidRDefault="00CA575F">
      <w:r>
        <w:rPr>
          <w:noProof/>
        </w:rPr>
        <w:drawing>
          <wp:anchor distT="0" distB="0" distL="114300" distR="114300" simplePos="0" relativeHeight="251666944" behindDoc="0" locked="0" layoutInCell="1" allowOverlap="1" wp14:anchorId="7DE64DF5" wp14:editId="07499A42">
            <wp:simplePos x="0" y="0"/>
            <wp:positionH relativeFrom="column">
              <wp:posOffset>4562475</wp:posOffset>
            </wp:positionH>
            <wp:positionV relativeFrom="paragraph">
              <wp:posOffset>-436245</wp:posOffset>
            </wp:positionV>
            <wp:extent cx="1758950" cy="6800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cpw0021\Legal\External Affairs\GRAPHICS\Logos\ERCOT\Color\ERCOT Logo - Trans 8x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B4" w:rsidRPr="0011176B">
        <w:t xml:space="preserve"> </w:t>
      </w:r>
    </w:p>
    <w:p w14:paraId="6CD235CE" w14:textId="77777777" w:rsidR="0037369C" w:rsidRDefault="0037369C" w:rsidP="00C06356">
      <w:pPr>
        <w:jc w:val="center"/>
        <w:rPr>
          <w:rFonts w:ascii="Arial" w:hAnsi="Arial" w:cs="Arial"/>
          <w:sz w:val="28"/>
          <w:u w:val="single"/>
        </w:rPr>
      </w:pPr>
      <w:bookmarkStart w:id="0" w:name="_Toc413859005"/>
    </w:p>
    <w:p w14:paraId="57670D61" w14:textId="77777777" w:rsidR="0089253A" w:rsidRDefault="0089253A" w:rsidP="0089253A">
      <w:pPr>
        <w:spacing w:line="360" w:lineRule="auto"/>
        <w:jc w:val="center"/>
        <w:rPr>
          <w:rFonts w:asciiTheme="minorHAnsi" w:hAnsiTheme="minorHAnsi" w:cstheme="minorHAnsi"/>
          <w:sz w:val="28"/>
          <w:u w:val="single"/>
        </w:rPr>
      </w:pPr>
    </w:p>
    <w:p w14:paraId="05B6A0D0" w14:textId="670F61D8" w:rsidR="005731F0" w:rsidRDefault="00FF42D1" w:rsidP="0089253A">
      <w:pPr>
        <w:spacing w:line="360" w:lineRule="auto"/>
        <w:jc w:val="center"/>
        <w:rPr>
          <w:rFonts w:asciiTheme="minorHAnsi" w:hAnsiTheme="minorHAnsi" w:cstheme="minorHAnsi"/>
          <w:sz w:val="28"/>
          <w:u w:val="single"/>
        </w:rPr>
      </w:pPr>
      <w:r w:rsidRPr="00662DF0">
        <w:rPr>
          <w:rFonts w:asciiTheme="minorHAnsi" w:hAnsiTheme="minorHAnsi" w:cstheme="minorHAnsi"/>
          <w:sz w:val="28"/>
          <w:u w:val="single"/>
        </w:rPr>
        <w:t>BAL-001-TRE-</w:t>
      </w:r>
      <w:r w:rsidR="00847B59">
        <w:rPr>
          <w:rFonts w:asciiTheme="minorHAnsi" w:hAnsiTheme="minorHAnsi" w:cstheme="minorHAnsi"/>
          <w:sz w:val="28"/>
          <w:u w:val="single"/>
        </w:rPr>
        <w:t>2</w:t>
      </w:r>
      <w:r w:rsidRPr="00662DF0">
        <w:rPr>
          <w:rFonts w:asciiTheme="minorHAnsi" w:hAnsiTheme="minorHAnsi" w:cstheme="minorHAnsi"/>
          <w:sz w:val="28"/>
          <w:u w:val="single"/>
        </w:rPr>
        <w:t xml:space="preserve"> </w:t>
      </w:r>
      <w:r w:rsidR="005731F0">
        <w:rPr>
          <w:rFonts w:asciiTheme="minorHAnsi" w:hAnsiTheme="minorHAnsi" w:cstheme="minorHAnsi"/>
          <w:sz w:val="28"/>
          <w:u w:val="single"/>
        </w:rPr>
        <w:t>Primary Frequency Response (</w:t>
      </w:r>
      <w:r w:rsidRPr="00662DF0">
        <w:rPr>
          <w:rFonts w:asciiTheme="minorHAnsi" w:hAnsiTheme="minorHAnsi" w:cstheme="minorHAnsi"/>
          <w:sz w:val="28"/>
          <w:u w:val="single"/>
        </w:rPr>
        <w:t>PFR</w:t>
      </w:r>
      <w:r w:rsidR="005731F0">
        <w:rPr>
          <w:rFonts w:asciiTheme="minorHAnsi" w:hAnsiTheme="minorHAnsi" w:cstheme="minorHAnsi"/>
          <w:sz w:val="28"/>
          <w:u w:val="single"/>
        </w:rPr>
        <w:t>)</w:t>
      </w:r>
    </w:p>
    <w:p w14:paraId="277931A9" w14:textId="104A193B" w:rsidR="00C06356" w:rsidRPr="00662DF0" w:rsidRDefault="00FF42D1" w:rsidP="0089253A">
      <w:pPr>
        <w:spacing w:line="360" w:lineRule="auto"/>
        <w:jc w:val="center"/>
        <w:rPr>
          <w:rFonts w:asciiTheme="minorHAnsi" w:hAnsiTheme="minorHAnsi" w:cstheme="minorHAnsi"/>
          <w:sz w:val="28"/>
          <w:u w:val="single"/>
        </w:rPr>
      </w:pPr>
      <w:r w:rsidRPr="00662DF0">
        <w:rPr>
          <w:rFonts w:asciiTheme="minorHAnsi" w:hAnsiTheme="minorHAnsi" w:cstheme="minorHAnsi"/>
          <w:sz w:val="28"/>
          <w:u w:val="single"/>
        </w:rPr>
        <w:t>Responsibility Exclusion Process</w:t>
      </w:r>
    </w:p>
    <w:p w14:paraId="6F72D7B0" w14:textId="77777777" w:rsidR="00662DF0" w:rsidRPr="00662DF0" w:rsidRDefault="00662DF0" w:rsidP="0089253A">
      <w:pPr>
        <w:spacing w:line="360" w:lineRule="auto"/>
        <w:rPr>
          <w:rFonts w:asciiTheme="minorHAnsi" w:hAnsiTheme="minorHAnsi" w:cstheme="minorHAnsi"/>
        </w:rPr>
      </w:pPr>
    </w:p>
    <w:p w14:paraId="23C97D17" w14:textId="77777777" w:rsidR="00662DF0" w:rsidRDefault="00662DF0" w:rsidP="0089253A">
      <w:pPr>
        <w:spacing w:line="360" w:lineRule="auto"/>
        <w:rPr>
          <w:rFonts w:asciiTheme="minorHAnsi" w:hAnsiTheme="minorHAnsi" w:cstheme="minorHAnsi"/>
        </w:rPr>
      </w:pPr>
    </w:p>
    <w:p w14:paraId="03D0A277" w14:textId="2DB9DE08" w:rsidR="00662DF0" w:rsidRPr="00662DF0" w:rsidRDefault="005731F0" w:rsidP="008925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Parts</w:t>
      </w:r>
      <w:r w:rsidRPr="00662DF0">
        <w:rPr>
          <w:rFonts w:asciiTheme="minorHAnsi" w:hAnsiTheme="minorHAnsi" w:cstheme="minorHAnsi"/>
        </w:rPr>
        <w:t xml:space="preserve"> </w:t>
      </w:r>
      <w:r w:rsidR="00662DF0" w:rsidRPr="00662DF0">
        <w:rPr>
          <w:rFonts w:asciiTheme="minorHAnsi" w:hAnsiTheme="minorHAnsi" w:cstheme="minorHAnsi"/>
        </w:rPr>
        <w:t>9</w:t>
      </w:r>
      <w:r w:rsidR="00662DF0">
        <w:rPr>
          <w:rFonts w:asciiTheme="minorHAnsi" w:hAnsiTheme="minorHAnsi" w:cstheme="minorHAnsi"/>
        </w:rPr>
        <w:t>.3</w:t>
      </w:r>
      <w:r w:rsidR="00662DF0" w:rsidRPr="00662DF0">
        <w:rPr>
          <w:rFonts w:asciiTheme="minorHAnsi" w:hAnsiTheme="minorHAnsi" w:cstheme="minorHAnsi"/>
        </w:rPr>
        <w:t xml:space="preserve"> and 10</w:t>
      </w:r>
      <w:r w:rsidR="00662DF0">
        <w:rPr>
          <w:rFonts w:asciiTheme="minorHAnsi" w:hAnsiTheme="minorHAnsi" w:cstheme="minorHAnsi"/>
        </w:rPr>
        <w:t>.3</w:t>
      </w:r>
      <w:r w:rsidR="00662DF0" w:rsidRPr="00662DF0">
        <w:rPr>
          <w:rFonts w:asciiTheme="minorHAnsi" w:hAnsiTheme="minorHAnsi" w:cstheme="minorHAnsi"/>
        </w:rPr>
        <w:t xml:space="preserve"> in th</w:t>
      </w:r>
      <w:r w:rsidR="00662DF0">
        <w:rPr>
          <w:rFonts w:asciiTheme="minorHAnsi" w:hAnsiTheme="minorHAnsi" w:cstheme="minorHAnsi"/>
        </w:rPr>
        <w:t>e BAL-001-TRE-</w:t>
      </w:r>
      <w:r w:rsidR="00847B59">
        <w:rPr>
          <w:rFonts w:asciiTheme="minorHAnsi" w:hAnsiTheme="minorHAnsi" w:cstheme="minorHAnsi"/>
        </w:rPr>
        <w:t>2</w:t>
      </w:r>
      <w:r w:rsidR="00662DF0">
        <w:rPr>
          <w:rFonts w:asciiTheme="minorHAnsi" w:hAnsiTheme="minorHAnsi" w:cstheme="minorHAnsi"/>
        </w:rPr>
        <w:t xml:space="preserve"> </w:t>
      </w:r>
      <w:r w:rsidR="00411231">
        <w:rPr>
          <w:rFonts w:asciiTheme="minorHAnsi" w:hAnsiTheme="minorHAnsi" w:cstheme="minorHAnsi"/>
        </w:rPr>
        <w:t>NERC Reliability S</w:t>
      </w:r>
      <w:r w:rsidR="00662DF0">
        <w:rPr>
          <w:rFonts w:asciiTheme="minorHAnsi" w:hAnsiTheme="minorHAnsi" w:cstheme="minorHAnsi"/>
        </w:rPr>
        <w:t>tandard allow the</w:t>
      </w:r>
      <w:r w:rsidR="00662DF0" w:rsidRPr="00662DF0">
        <w:rPr>
          <w:rFonts w:asciiTheme="minorHAnsi" w:hAnsiTheme="minorHAnsi" w:cstheme="minorHAnsi"/>
        </w:rPr>
        <w:t xml:space="preserve"> Generation </w:t>
      </w:r>
      <w:r w:rsidR="00662DF0">
        <w:rPr>
          <w:rFonts w:asciiTheme="minorHAnsi" w:hAnsiTheme="minorHAnsi" w:cstheme="minorHAnsi"/>
        </w:rPr>
        <w:t xml:space="preserve">Owner </w:t>
      </w:r>
      <w:r w:rsidR="00816131">
        <w:rPr>
          <w:rFonts w:asciiTheme="minorHAnsi" w:hAnsiTheme="minorHAnsi" w:cstheme="minorHAnsi"/>
        </w:rPr>
        <w:t xml:space="preserve">(GO) </w:t>
      </w:r>
      <w:r w:rsidR="00662DF0" w:rsidRPr="00662DF0">
        <w:rPr>
          <w:rFonts w:asciiTheme="minorHAnsi" w:hAnsiTheme="minorHAnsi" w:cstheme="minorHAnsi"/>
        </w:rPr>
        <w:t xml:space="preserve">to request an exclusion for </w:t>
      </w:r>
      <w:r w:rsidR="00662DF0">
        <w:rPr>
          <w:rFonts w:asciiTheme="minorHAnsi" w:hAnsiTheme="minorHAnsi" w:cstheme="minorHAnsi"/>
        </w:rPr>
        <w:t xml:space="preserve">a generating unit’s </w:t>
      </w:r>
      <w:r w:rsidR="00662DF0" w:rsidRPr="00662DF0">
        <w:rPr>
          <w:rFonts w:asciiTheme="minorHAnsi" w:hAnsiTheme="minorHAnsi" w:cstheme="minorHAnsi"/>
        </w:rPr>
        <w:t xml:space="preserve">initial and sustained PFR scores computed for </w:t>
      </w:r>
      <w:r>
        <w:rPr>
          <w:rFonts w:asciiTheme="minorHAnsi" w:hAnsiTheme="minorHAnsi" w:cstheme="minorHAnsi"/>
        </w:rPr>
        <w:t>a Frequency Measurable Event (</w:t>
      </w:r>
      <w:r w:rsidR="00662DF0" w:rsidRPr="00662DF0">
        <w:rPr>
          <w:rFonts w:asciiTheme="minorHAnsi" w:hAnsiTheme="minorHAnsi" w:cstheme="minorHAnsi"/>
        </w:rPr>
        <w:t>FME</w:t>
      </w:r>
      <w:r>
        <w:rPr>
          <w:rFonts w:asciiTheme="minorHAnsi" w:hAnsiTheme="minorHAnsi" w:cstheme="minorHAnsi"/>
        </w:rPr>
        <w:t>)</w:t>
      </w:r>
      <w:r w:rsidR="00662DF0" w:rsidRPr="00662DF0">
        <w:rPr>
          <w:rFonts w:asciiTheme="minorHAnsi" w:hAnsiTheme="minorHAnsi" w:cstheme="minorHAnsi"/>
        </w:rPr>
        <w:t xml:space="preserve"> using the methodology specified in this </w:t>
      </w:r>
      <w:r w:rsidR="005D3833">
        <w:rPr>
          <w:rFonts w:asciiTheme="minorHAnsi" w:hAnsiTheme="minorHAnsi" w:cstheme="minorHAnsi"/>
        </w:rPr>
        <w:t>S</w:t>
      </w:r>
      <w:r w:rsidR="00662DF0" w:rsidRPr="00662DF0">
        <w:rPr>
          <w:rFonts w:asciiTheme="minorHAnsi" w:hAnsiTheme="minorHAnsi" w:cstheme="minorHAnsi"/>
        </w:rPr>
        <w:t>tandard</w:t>
      </w:r>
      <w:r w:rsidR="00662DF0">
        <w:rPr>
          <w:rFonts w:asciiTheme="minorHAnsi" w:hAnsiTheme="minorHAnsi" w:cstheme="minorHAnsi"/>
        </w:rPr>
        <w:t xml:space="preserve">. </w:t>
      </w:r>
      <w:r w:rsidR="00C93D8B">
        <w:rPr>
          <w:rFonts w:asciiTheme="minorHAnsi" w:hAnsiTheme="minorHAnsi" w:cstheme="minorHAnsi"/>
        </w:rPr>
        <w:t>The b</w:t>
      </w:r>
      <w:r w:rsidR="00662DF0">
        <w:rPr>
          <w:rFonts w:asciiTheme="minorHAnsi" w:hAnsiTheme="minorHAnsi" w:cstheme="minorHAnsi"/>
        </w:rPr>
        <w:t>elow process detail</w:t>
      </w:r>
      <w:r w:rsidR="00C93D8B">
        <w:rPr>
          <w:rFonts w:asciiTheme="minorHAnsi" w:hAnsiTheme="minorHAnsi" w:cstheme="minorHAnsi"/>
        </w:rPr>
        <w:t>s</w:t>
      </w:r>
      <w:r w:rsidR="00662DF0">
        <w:rPr>
          <w:rFonts w:asciiTheme="minorHAnsi" w:hAnsiTheme="minorHAnsi" w:cstheme="minorHAnsi"/>
        </w:rPr>
        <w:t xml:space="preserve"> the steps </w:t>
      </w:r>
      <w:r>
        <w:rPr>
          <w:rFonts w:asciiTheme="minorHAnsi" w:hAnsiTheme="minorHAnsi" w:cstheme="minorHAnsi"/>
        </w:rPr>
        <w:t xml:space="preserve">that </w:t>
      </w:r>
      <w:r w:rsidR="00662DF0">
        <w:rPr>
          <w:rFonts w:asciiTheme="minorHAnsi" w:hAnsiTheme="minorHAnsi" w:cstheme="minorHAnsi"/>
        </w:rPr>
        <w:t xml:space="preserve">need to be taken by the GO </w:t>
      </w:r>
      <w:r>
        <w:rPr>
          <w:rFonts w:asciiTheme="minorHAnsi" w:hAnsiTheme="minorHAnsi" w:cstheme="minorHAnsi"/>
        </w:rPr>
        <w:t xml:space="preserve">when </w:t>
      </w:r>
      <w:r w:rsidR="004B3F51">
        <w:rPr>
          <w:rFonts w:asciiTheme="minorHAnsi" w:hAnsiTheme="minorHAnsi" w:cstheme="minorHAnsi"/>
        </w:rPr>
        <w:t xml:space="preserve">submitting an exclusion request and ERCOT’s evaluation process. </w:t>
      </w:r>
    </w:p>
    <w:p w14:paraId="75F5712A" w14:textId="77777777" w:rsidR="00662DF0" w:rsidRPr="00662DF0" w:rsidRDefault="00662DF0" w:rsidP="0089253A">
      <w:pPr>
        <w:spacing w:line="360" w:lineRule="auto"/>
        <w:rPr>
          <w:rFonts w:asciiTheme="minorHAnsi" w:hAnsiTheme="minorHAnsi" w:cstheme="minorHAnsi"/>
        </w:rPr>
      </w:pPr>
    </w:p>
    <w:p w14:paraId="64035277" w14:textId="77777777" w:rsidR="00662DF0" w:rsidRPr="00662DF0" w:rsidRDefault="00662DF0" w:rsidP="0089253A">
      <w:pPr>
        <w:spacing w:line="360" w:lineRule="auto"/>
        <w:rPr>
          <w:rFonts w:asciiTheme="minorHAnsi" w:hAnsiTheme="minorHAnsi" w:cstheme="minorHAnsi"/>
        </w:rPr>
      </w:pPr>
    </w:p>
    <w:p w14:paraId="6E7F82F5" w14:textId="77777777" w:rsidR="00C06356" w:rsidRPr="004B3F51" w:rsidRDefault="00C06356" w:rsidP="0089253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4B3F51">
        <w:rPr>
          <w:rFonts w:asciiTheme="minorHAnsi" w:hAnsiTheme="minorHAnsi" w:cstheme="minorHAnsi"/>
          <w:sz w:val="24"/>
          <w:u w:val="single"/>
        </w:rPr>
        <w:t>Exemption request receipt</w:t>
      </w:r>
    </w:p>
    <w:p w14:paraId="2CCFE824" w14:textId="3A8B2D20" w:rsidR="00C06356" w:rsidRPr="00520BAA" w:rsidRDefault="00C06356" w:rsidP="007A093D">
      <w:pPr>
        <w:pStyle w:val="ListParagraph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520BAA">
        <w:rPr>
          <w:rFonts w:asciiTheme="minorHAnsi" w:hAnsiTheme="minorHAnsi" w:cstheme="minorHAnsi"/>
          <w:sz w:val="20"/>
          <w:szCs w:val="20"/>
        </w:rPr>
        <w:t>The Market Participant must submit to their Client Services Rep</w:t>
      </w:r>
      <w:r w:rsidR="00C93D8B" w:rsidRPr="00520BAA">
        <w:rPr>
          <w:rFonts w:asciiTheme="minorHAnsi" w:hAnsiTheme="minorHAnsi" w:cstheme="minorHAnsi"/>
          <w:sz w:val="20"/>
          <w:szCs w:val="20"/>
        </w:rPr>
        <w:t>resentative</w:t>
      </w:r>
      <w:r w:rsidRPr="00520BAA">
        <w:rPr>
          <w:rFonts w:asciiTheme="minorHAnsi" w:hAnsiTheme="minorHAnsi" w:cstheme="minorHAnsi"/>
          <w:sz w:val="20"/>
          <w:szCs w:val="20"/>
        </w:rPr>
        <w:t xml:space="preserve"> or ERCOT </w:t>
      </w:r>
      <w:r w:rsidR="00DA77B2" w:rsidRPr="00520BAA">
        <w:rPr>
          <w:rFonts w:asciiTheme="minorHAnsi" w:hAnsiTheme="minorHAnsi" w:cstheme="minorHAnsi"/>
          <w:sz w:val="20"/>
          <w:szCs w:val="20"/>
        </w:rPr>
        <w:t>C</w:t>
      </w:r>
      <w:r w:rsidRPr="00520BAA">
        <w:rPr>
          <w:rFonts w:asciiTheme="minorHAnsi" w:hAnsiTheme="minorHAnsi" w:cstheme="minorHAnsi"/>
          <w:sz w:val="20"/>
          <w:szCs w:val="20"/>
        </w:rPr>
        <w:t xml:space="preserve">ompliance </w:t>
      </w:r>
      <w:r w:rsidR="00520BAA" w:rsidRPr="00520BAA">
        <w:rPr>
          <w:rFonts w:asciiTheme="minorHAnsi" w:hAnsiTheme="minorHAnsi" w:cstheme="minorHAnsi"/>
          <w:sz w:val="20"/>
          <w:szCs w:val="20"/>
        </w:rPr>
        <w:t xml:space="preserve">at </w:t>
      </w:r>
      <w:hyperlink r:id="rId11" w:history="1">
        <w:r w:rsidR="00520BAA" w:rsidRPr="00520BAA">
          <w:rPr>
            <w:rStyle w:val="Hyperlink"/>
            <w:rFonts w:asciiTheme="minorHAnsi" w:hAnsiTheme="minorHAnsi" w:cstheme="minorHAnsi"/>
            <w:sz w:val="20"/>
            <w:szCs w:val="20"/>
          </w:rPr>
          <w:t>compliance@ercot.com</w:t>
        </w:r>
      </w:hyperlink>
      <w:r w:rsidRPr="00520BAA">
        <w:rPr>
          <w:rFonts w:asciiTheme="minorHAnsi" w:hAnsiTheme="minorHAnsi" w:cstheme="minorHAnsi"/>
          <w:sz w:val="20"/>
          <w:szCs w:val="20"/>
        </w:rPr>
        <w:t>, a reques</w:t>
      </w:r>
      <w:bookmarkStart w:id="1" w:name="_Toc413859008"/>
      <w:r w:rsidR="004B3F51" w:rsidRPr="00520BAA">
        <w:rPr>
          <w:rFonts w:asciiTheme="minorHAnsi" w:hAnsiTheme="minorHAnsi" w:cstheme="minorHAnsi"/>
          <w:sz w:val="20"/>
          <w:szCs w:val="20"/>
        </w:rPr>
        <w:t xml:space="preserve">t for their unit to be excluded </w:t>
      </w:r>
      <w:r w:rsidR="004B3F51" w:rsidRPr="00520BAA">
        <w:rPr>
          <w:rFonts w:asciiTheme="minorHAnsi" w:hAnsiTheme="minorHAnsi" w:cstheme="minorHAnsi"/>
          <w:b/>
          <w:sz w:val="20"/>
          <w:szCs w:val="20"/>
        </w:rPr>
        <w:t>within 30 days</w:t>
      </w:r>
      <w:r w:rsidR="004B3F51" w:rsidRPr="00520BAA">
        <w:rPr>
          <w:rFonts w:asciiTheme="minorHAnsi" w:hAnsiTheme="minorHAnsi" w:cstheme="minorHAnsi"/>
          <w:sz w:val="20"/>
          <w:szCs w:val="20"/>
        </w:rPr>
        <w:t xml:space="preserve"> from the day the </w:t>
      </w:r>
      <w:hyperlink r:id="rId12" w:history="1">
        <w:r w:rsidR="005F08DB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>“Initial and Su</w:t>
        </w:r>
        <w:r w:rsidR="000A1A71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stained Frequency Response </w:t>
        </w:r>
        <w:r w:rsidR="004B3F51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>Unit Performance</w:t>
        </w:r>
        <w:r w:rsidR="000A1A71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>”</w:t>
        </w:r>
        <w:r w:rsidR="004B3F51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r w:rsidR="00CE0BD6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>r</w:t>
        </w:r>
        <w:r w:rsidR="004B3F51" w:rsidRPr="005F4F77">
          <w:rPr>
            <w:rStyle w:val="Hyperlink"/>
            <w:rFonts w:asciiTheme="minorHAnsi" w:hAnsiTheme="minorHAnsi" w:cstheme="minorHAnsi"/>
            <w:sz w:val="20"/>
            <w:szCs w:val="20"/>
          </w:rPr>
          <w:t>eport</w:t>
        </w:r>
      </w:hyperlink>
      <w:r w:rsidR="004B3F51" w:rsidRPr="00520BAA">
        <w:rPr>
          <w:rFonts w:asciiTheme="minorHAnsi" w:hAnsiTheme="minorHAnsi" w:cstheme="minorHAnsi"/>
          <w:sz w:val="20"/>
          <w:szCs w:val="20"/>
        </w:rPr>
        <w:t xml:space="preserve"> is posted on the MIS</w:t>
      </w:r>
      <w:r w:rsidR="00C93D8B" w:rsidRPr="00520BAA">
        <w:rPr>
          <w:rFonts w:asciiTheme="minorHAnsi" w:hAnsiTheme="minorHAnsi" w:cstheme="minorHAnsi"/>
          <w:sz w:val="20"/>
          <w:szCs w:val="20"/>
        </w:rPr>
        <w:t>.</w:t>
      </w:r>
    </w:p>
    <w:p w14:paraId="3F097FB9" w14:textId="58A1D71E" w:rsidR="004B3F51" w:rsidRPr="007A093D" w:rsidRDefault="004B3F51" w:rsidP="007A093D">
      <w:pPr>
        <w:spacing w:line="360" w:lineRule="auto"/>
        <w:ind w:left="360"/>
        <w:rPr>
          <w:rFonts w:asciiTheme="minorHAnsi" w:hAnsiTheme="minorHAnsi" w:cstheme="minorHAnsi"/>
        </w:rPr>
      </w:pPr>
      <w:r w:rsidRPr="007A093D">
        <w:rPr>
          <w:rFonts w:asciiTheme="minorHAnsi" w:hAnsiTheme="minorHAnsi" w:cstheme="minorHAnsi"/>
          <w:u w:val="single"/>
        </w:rPr>
        <w:t>Note</w:t>
      </w:r>
      <w:r w:rsidRPr="007A093D">
        <w:rPr>
          <w:rFonts w:asciiTheme="minorHAnsi" w:hAnsiTheme="minorHAnsi" w:cstheme="minorHAnsi"/>
        </w:rPr>
        <w:t xml:space="preserve">: </w:t>
      </w:r>
      <w:r w:rsidR="00DA77B2" w:rsidRPr="007A093D">
        <w:rPr>
          <w:rFonts w:asciiTheme="minorHAnsi" w:hAnsiTheme="minorHAnsi" w:cstheme="minorHAnsi"/>
        </w:rPr>
        <w:t xml:space="preserve">The Initial and Sustained Frequency Response </w:t>
      </w:r>
      <w:r w:rsidR="00473BA7" w:rsidRPr="007A093D">
        <w:rPr>
          <w:rFonts w:asciiTheme="minorHAnsi" w:hAnsiTheme="minorHAnsi" w:cstheme="minorHAnsi"/>
        </w:rPr>
        <w:t xml:space="preserve">Unit Performance </w:t>
      </w:r>
      <w:r w:rsidR="00DA77B2" w:rsidRPr="007A093D">
        <w:rPr>
          <w:rFonts w:asciiTheme="minorHAnsi" w:hAnsiTheme="minorHAnsi" w:cstheme="minorHAnsi"/>
        </w:rPr>
        <w:t>r</w:t>
      </w:r>
      <w:r w:rsidR="00473BA7" w:rsidRPr="007A093D">
        <w:rPr>
          <w:rFonts w:asciiTheme="minorHAnsi" w:hAnsiTheme="minorHAnsi" w:cstheme="minorHAnsi"/>
        </w:rPr>
        <w:t xml:space="preserve">eport </w:t>
      </w:r>
      <w:r w:rsidRPr="007A093D">
        <w:rPr>
          <w:rFonts w:asciiTheme="minorHAnsi" w:hAnsiTheme="minorHAnsi" w:cstheme="minorHAnsi"/>
        </w:rPr>
        <w:t>is a certified report and a QSE digital certificate with an appropriate role</w:t>
      </w:r>
      <w:r w:rsidR="005731F0">
        <w:rPr>
          <w:rFonts w:asciiTheme="minorHAnsi" w:hAnsiTheme="minorHAnsi" w:cstheme="minorHAnsi"/>
        </w:rPr>
        <w:t xml:space="preserve"> is needed</w:t>
      </w:r>
      <w:r w:rsidRPr="007A093D">
        <w:rPr>
          <w:rFonts w:asciiTheme="minorHAnsi" w:hAnsiTheme="minorHAnsi" w:cstheme="minorHAnsi"/>
        </w:rPr>
        <w:t xml:space="preserve"> to access</w:t>
      </w:r>
      <w:r w:rsidR="005731F0">
        <w:rPr>
          <w:rFonts w:asciiTheme="minorHAnsi" w:hAnsiTheme="minorHAnsi" w:cstheme="minorHAnsi"/>
        </w:rPr>
        <w:t xml:space="preserve"> it</w:t>
      </w:r>
      <w:r w:rsidRPr="007A093D">
        <w:rPr>
          <w:rFonts w:asciiTheme="minorHAnsi" w:hAnsiTheme="minorHAnsi" w:cstheme="minorHAnsi"/>
        </w:rPr>
        <w:t>.</w:t>
      </w:r>
    </w:p>
    <w:p w14:paraId="6A75C375" w14:textId="77777777" w:rsidR="00C06356" w:rsidRPr="004B3F51" w:rsidRDefault="00C06356" w:rsidP="0089253A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B3F51">
        <w:rPr>
          <w:rFonts w:asciiTheme="minorHAnsi" w:hAnsiTheme="minorHAnsi" w:cstheme="minorHAnsi"/>
          <w:sz w:val="20"/>
          <w:szCs w:val="20"/>
        </w:rPr>
        <w:t>The Market Participant must submit adequate supporting evidence on the merits of such a conclusion.</w:t>
      </w:r>
      <w:bookmarkEnd w:id="1"/>
    </w:p>
    <w:p w14:paraId="42D844E2" w14:textId="77777777" w:rsidR="00C93D8B" w:rsidRDefault="00C93D8B" w:rsidP="0089253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14:paraId="7DD762B9" w14:textId="77777777" w:rsidR="00C06356" w:rsidRPr="00473BA7" w:rsidRDefault="00C06356" w:rsidP="0089253A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473BA7">
        <w:rPr>
          <w:rFonts w:asciiTheme="minorHAnsi" w:hAnsiTheme="minorHAnsi" w:cstheme="minorHAnsi"/>
          <w:sz w:val="24"/>
          <w:u w:val="single"/>
        </w:rPr>
        <w:t>Evaluation Process</w:t>
      </w:r>
    </w:p>
    <w:p w14:paraId="4AF33E21" w14:textId="77777777" w:rsidR="00C06356" w:rsidRPr="00473BA7" w:rsidRDefault="00C06356" w:rsidP="0089253A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3BA7">
        <w:rPr>
          <w:rFonts w:asciiTheme="minorHAnsi" w:hAnsiTheme="minorHAnsi" w:cstheme="minorHAnsi"/>
          <w:sz w:val="20"/>
          <w:szCs w:val="20"/>
        </w:rPr>
        <w:t xml:space="preserve">If </w:t>
      </w:r>
      <w:r w:rsidR="00C93D8B">
        <w:rPr>
          <w:rFonts w:asciiTheme="minorHAnsi" w:hAnsiTheme="minorHAnsi" w:cstheme="minorHAnsi"/>
          <w:sz w:val="20"/>
          <w:szCs w:val="20"/>
        </w:rPr>
        <w:t xml:space="preserve">the </w:t>
      </w:r>
      <w:r w:rsidRPr="00473BA7">
        <w:rPr>
          <w:rFonts w:asciiTheme="minorHAnsi" w:hAnsiTheme="minorHAnsi" w:cstheme="minorHAnsi"/>
          <w:sz w:val="20"/>
          <w:szCs w:val="20"/>
        </w:rPr>
        <w:t>request is simple and evidence is clear, direct, and compelling, ERCOT may approve the exclusion.</w:t>
      </w:r>
    </w:p>
    <w:p w14:paraId="70A3599E" w14:textId="36B65CAB" w:rsidR="00C06356" w:rsidRPr="00473BA7" w:rsidRDefault="00C06356" w:rsidP="0089253A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3BA7">
        <w:rPr>
          <w:rFonts w:asciiTheme="minorHAnsi" w:hAnsiTheme="minorHAnsi" w:cstheme="minorHAnsi"/>
          <w:sz w:val="20"/>
          <w:szCs w:val="20"/>
        </w:rPr>
        <w:t xml:space="preserve">ERCOT may </w:t>
      </w:r>
      <w:r w:rsidR="0089253A">
        <w:rPr>
          <w:rFonts w:asciiTheme="minorHAnsi" w:hAnsiTheme="minorHAnsi" w:cstheme="minorHAnsi"/>
          <w:sz w:val="20"/>
          <w:szCs w:val="20"/>
        </w:rPr>
        <w:t xml:space="preserve">request additional documentation if deemed necessary. </w:t>
      </w:r>
    </w:p>
    <w:p w14:paraId="45B1F63D" w14:textId="689247AB" w:rsidR="00C06356" w:rsidRPr="00473BA7" w:rsidRDefault="00C06356" w:rsidP="0089253A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3BA7">
        <w:rPr>
          <w:rFonts w:asciiTheme="minorHAnsi" w:hAnsiTheme="minorHAnsi" w:cstheme="minorHAnsi"/>
          <w:sz w:val="20"/>
          <w:szCs w:val="20"/>
        </w:rPr>
        <w:t>At ERCOT’s determination a request may be submitted for review by PDCWG</w:t>
      </w:r>
      <w:r w:rsidR="005731F0">
        <w:rPr>
          <w:rFonts w:asciiTheme="minorHAnsi" w:hAnsiTheme="minorHAnsi" w:cstheme="minorHAnsi"/>
          <w:sz w:val="20"/>
          <w:szCs w:val="20"/>
        </w:rPr>
        <w:t>,</w:t>
      </w:r>
      <w:r w:rsidRPr="00473BA7">
        <w:rPr>
          <w:rFonts w:asciiTheme="minorHAnsi" w:hAnsiTheme="minorHAnsi" w:cstheme="minorHAnsi"/>
          <w:sz w:val="20"/>
          <w:szCs w:val="20"/>
        </w:rPr>
        <w:t xml:space="preserve"> which </w:t>
      </w:r>
      <w:r w:rsidR="005731F0">
        <w:rPr>
          <w:rFonts w:asciiTheme="minorHAnsi" w:hAnsiTheme="minorHAnsi" w:cstheme="minorHAnsi"/>
          <w:sz w:val="20"/>
          <w:szCs w:val="20"/>
        </w:rPr>
        <w:t>may</w:t>
      </w:r>
      <w:r w:rsidR="005731F0" w:rsidRPr="00473BA7">
        <w:rPr>
          <w:rFonts w:asciiTheme="minorHAnsi" w:hAnsiTheme="minorHAnsi" w:cstheme="minorHAnsi"/>
          <w:sz w:val="20"/>
          <w:szCs w:val="20"/>
        </w:rPr>
        <w:t xml:space="preserve"> </w:t>
      </w:r>
      <w:r w:rsidRPr="00473BA7">
        <w:rPr>
          <w:rFonts w:asciiTheme="minorHAnsi" w:hAnsiTheme="minorHAnsi" w:cstheme="minorHAnsi"/>
          <w:sz w:val="20"/>
          <w:szCs w:val="20"/>
        </w:rPr>
        <w:t>make a recommendation.  However, final determination will be made by ERCOT.</w:t>
      </w:r>
    </w:p>
    <w:p w14:paraId="5740551B" w14:textId="4ED45179" w:rsidR="00C06356" w:rsidRPr="0089253A" w:rsidRDefault="00C06356" w:rsidP="0089253A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9253A">
        <w:rPr>
          <w:rFonts w:asciiTheme="minorHAnsi" w:hAnsiTheme="minorHAnsi" w:cstheme="minorHAnsi"/>
          <w:sz w:val="20"/>
          <w:szCs w:val="20"/>
        </w:rPr>
        <w:t xml:space="preserve">ERCOT </w:t>
      </w:r>
      <w:r w:rsidR="00AF45FC">
        <w:rPr>
          <w:rFonts w:asciiTheme="minorHAnsi" w:hAnsiTheme="minorHAnsi" w:cstheme="minorHAnsi"/>
          <w:sz w:val="20"/>
          <w:szCs w:val="20"/>
        </w:rPr>
        <w:t>Operations Planning</w:t>
      </w:r>
      <w:r w:rsidR="00AF45FC" w:rsidRPr="0089253A">
        <w:rPr>
          <w:rFonts w:asciiTheme="minorHAnsi" w:hAnsiTheme="minorHAnsi" w:cstheme="minorHAnsi"/>
          <w:sz w:val="20"/>
          <w:szCs w:val="20"/>
        </w:rPr>
        <w:t xml:space="preserve"> </w:t>
      </w:r>
      <w:r w:rsidRPr="0089253A">
        <w:rPr>
          <w:rFonts w:asciiTheme="minorHAnsi" w:hAnsiTheme="minorHAnsi" w:cstheme="minorHAnsi"/>
          <w:sz w:val="20"/>
          <w:szCs w:val="20"/>
        </w:rPr>
        <w:t xml:space="preserve">will notify the Market Participant when </w:t>
      </w:r>
      <w:r w:rsidR="00C93D8B">
        <w:rPr>
          <w:rFonts w:asciiTheme="minorHAnsi" w:hAnsiTheme="minorHAnsi" w:cstheme="minorHAnsi"/>
          <w:sz w:val="20"/>
          <w:szCs w:val="20"/>
        </w:rPr>
        <w:t xml:space="preserve">the </w:t>
      </w:r>
      <w:r w:rsidR="0089253A" w:rsidRPr="0089253A">
        <w:rPr>
          <w:rFonts w:asciiTheme="minorHAnsi" w:hAnsiTheme="minorHAnsi" w:cstheme="minorHAnsi"/>
          <w:sz w:val="20"/>
          <w:szCs w:val="20"/>
        </w:rPr>
        <w:t xml:space="preserve">request is approved </w:t>
      </w:r>
      <w:r w:rsidR="0089253A">
        <w:rPr>
          <w:rFonts w:asciiTheme="minorHAnsi" w:hAnsiTheme="minorHAnsi" w:cstheme="minorHAnsi"/>
          <w:sz w:val="20"/>
          <w:szCs w:val="20"/>
        </w:rPr>
        <w:t xml:space="preserve">or </w:t>
      </w:r>
      <w:r w:rsidRPr="0089253A">
        <w:rPr>
          <w:rFonts w:asciiTheme="minorHAnsi" w:hAnsiTheme="minorHAnsi" w:cstheme="minorHAnsi"/>
          <w:sz w:val="20"/>
          <w:szCs w:val="20"/>
        </w:rPr>
        <w:t>there is a refusal to authorize a request for exclusion.</w:t>
      </w:r>
    </w:p>
    <w:bookmarkEnd w:id="0"/>
    <w:p w14:paraId="5A0DC992" w14:textId="77777777" w:rsidR="009C68B1" w:rsidRDefault="009C68B1" w:rsidP="009C68B1">
      <w:pPr>
        <w:spacing w:line="360" w:lineRule="auto"/>
        <w:rPr>
          <w:rFonts w:asciiTheme="minorHAnsi" w:hAnsiTheme="minorHAnsi" w:cstheme="minorHAnsi"/>
          <w:sz w:val="24"/>
          <w:u w:val="single"/>
        </w:rPr>
      </w:pPr>
    </w:p>
    <w:p w14:paraId="5DFABAEE" w14:textId="77777777" w:rsidR="009C68B1" w:rsidRPr="009C68B1" w:rsidRDefault="009C68B1" w:rsidP="009C68B1">
      <w:pPr>
        <w:spacing w:line="360" w:lineRule="auto"/>
        <w:rPr>
          <w:rFonts w:asciiTheme="minorHAnsi" w:hAnsiTheme="minorHAnsi" w:cstheme="minorHAnsi"/>
          <w:sz w:val="24"/>
          <w:u w:val="single"/>
        </w:rPr>
      </w:pPr>
      <w:r w:rsidRPr="009C68B1">
        <w:rPr>
          <w:rFonts w:asciiTheme="minorHAnsi" w:hAnsiTheme="minorHAnsi" w:cstheme="minorHAnsi"/>
          <w:sz w:val="24"/>
          <w:u w:val="single"/>
        </w:rPr>
        <w:t xml:space="preserve">Examples of reasonable operating conditions </w:t>
      </w:r>
    </w:p>
    <w:p w14:paraId="76E234F1" w14:textId="43D99B73" w:rsidR="009C68B1" w:rsidRPr="009C68B1" w:rsidRDefault="009C68B1" w:rsidP="00CE242A">
      <w:pPr>
        <w:spacing w:line="360" w:lineRule="auto"/>
        <w:ind w:left="720"/>
        <w:rPr>
          <w:rFonts w:asciiTheme="minorHAnsi" w:hAnsiTheme="minorHAnsi" w:cstheme="minorHAnsi"/>
        </w:rPr>
      </w:pPr>
      <w:r w:rsidRPr="009C68B1">
        <w:rPr>
          <w:rFonts w:asciiTheme="minorHAnsi" w:hAnsiTheme="minorHAnsi" w:cstheme="minorHAnsi"/>
        </w:rPr>
        <w:t xml:space="preserve">The table below provides a list of ordinarily experienced operating conditions that </w:t>
      </w:r>
      <w:r w:rsidR="005731F0">
        <w:rPr>
          <w:rFonts w:asciiTheme="minorHAnsi" w:hAnsiTheme="minorHAnsi" w:cstheme="minorHAnsi"/>
        </w:rPr>
        <w:t xml:space="preserve">may </w:t>
      </w:r>
      <w:r w:rsidRPr="009C68B1">
        <w:rPr>
          <w:rFonts w:asciiTheme="minorHAnsi" w:hAnsiTheme="minorHAnsi" w:cstheme="minorHAnsi"/>
        </w:rPr>
        <w:t>constrain a generating unit from responding within its capabilities during Frequency Measurable Events (FME</w:t>
      </w:r>
      <w:r w:rsidR="005731F0">
        <w:rPr>
          <w:rFonts w:asciiTheme="minorHAnsi" w:hAnsiTheme="minorHAnsi" w:cstheme="minorHAnsi"/>
        </w:rPr>
        <w:t>s</w:t>
      </w:r>
      <w:r w:rsidRPr="009C68B1">
        <w:rPr>
          <w:rFonts w:asciiTheme="minorHAnsi" w:hAnsiTheme="minorHAnsi" w:cstheme="minorHAnsi"/>
        </w:rPr>
        <w:t xml:space="preserve">). For such conditions ERCOT may re-evaluate or grant </w:t>
      </w:r>
      <w:r w:rsidR="005731F0">
        <w:rPr>
          <w:rFonts w:asciiTheme="minorHAnsi" w:hAnsiTheme="minorHAnsi" w:cstheme="minorHAnsi"/>
        </w:rPr>
        <w:t>exclusions</w:t>
      </w:r>
      <w:r w:rsidR="005731F0" w:rsidRPr="009C68B1">
        <w:rPr>
          <w:rFonts w:asciiTheme="minorHAnsi" w:hAnsiTheme="minorHAnsi" w:cstheme="minorHAnsi"/>
        </w:rPr>
        <w:t xml:space="preserve"> </w:t>
      </w:r>
      <w:r w:rsidRPr="009C68B1">
        <w:rPr>
          <w:rFonts w:asciiTheme="minorHAnsi" w:hAnsiTheme="minorHAnsi" w:cstheme="minorHAnsi"/>
        </w:rPr>
        <w:t xml:space="preserve">based on evidence provided. </w:t>
      </w:r>
      <w:r w:rsidR="005731F0">
        <w:rPr>
          <w:rFonts w:asciiTheme="minorHAnsi" w:hAnsiTheme="minorHAnsi" w:cstheme="minorHAnsi"/>
        </w:rPr>
        <w:t>Note that t</w:t>
      </w:r>
      <w:r w:rsidRPr="009C68B1">
        <w:rPr>
          <w:rFonts w:asciiTheme="minorHAnsi" w:hAnsiTheme="minorHAnsi" w:cstheme="minorHAnsi"/>
        </w:rPr>
        <w:t>his is not an exhaustive list of operating conditions that may impact the generating unit performance.</w:t>
      </w:r>
    </w:p>
    <w:p w14:paraId="5F1604C0" w14:textId="77777777" w:rsidR="009C68B1" w:rsidRDefault="009C68B1" w:rsidP="009C68B1">
      <w:pPr>
        <w:rPr>
          <w:rFonts w:asciiTheme="minorHAnsi" w:eastAsiaTheme="minorHAnsi" w:hAnsiTheme="minorHAnsi" w:cstheme="minorHAnsi"/>
          <w:color w:val="auto"/>
          <w:kern w:val="0"/>
        </w:rPr>
      </w:pP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4160"/>
        <w:gridCol w:w="5290"/>
      </w:tblGrid>
      <w:tr w:rsidR="004C31FC" w:rsidRPr="004C31FC" w14:paraId="533FFE5F" w14:textId="77777777" w:rsidTr="004C31FC">
        <w:trPr>
          <w:trHeight w:val="72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C115AF" w14:textId="77777777" w:rsidR="004C31FC" w:rsidRPr="004C31FC" w:rsidRDefault="004C31FC" w:rsidP="004C31F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FFFFFF" w:themeColor="background1"/>
                <w:kern w:val="0"/>
              </w:rPr>
              <w:t>Operating Conditions</w:t>
            </w:r>
          </w:p>
        </w:tc>
        <w:tc>
          <w:tcPr>
            <w:tcW w:w="5290" w:type="dxa"/>
            <w:tcBorders>
              <w:top w:val="single" w:sz="4" w:space="0" w:color="auto"/>
              <w:left w:val="double" w:sz="6" w:space="0" w:color="3F3F3F"/>
              <w:bottom w:val="double" w:sz="6" w:space="0" w:color="3F3F3F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C69D5E9" w14:textId="77777777" w:rsidR="004C31FC" w:rsidRPr="004C31FC" w:rsidRDefault="004C31FC" w:rsidP="004C31F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FFFFFF" w:themeColor="background1"/>
                <w:kern w:val="0"/>
              </w:rPr>
              <w:t>Response Limitation</w:t>
            </w:r>
          </w:p>
        </w:tc>
      </w:tr>
      <w:tr w:rsidR="004C31FC" w:rsidRPr="004C31FC" w14:paraId="0F4F4D2E" w14:textId="77777777" w:rsidTr="004C31FC">
        <w:trPr>
          <w:trHeight w:val="10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B3A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Operation at or near auxiliary equipment operating limits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C4F" w14:textId="6FD9C91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 xml:space="preserve">Boiler </w:t>
            </w:r>
            <w:r w:rsidR="005F4F77">
              <w:rPr>
                <w:rFonts w:asciiTheme="minorHAnsi" w:eastAsiaTheme="minorHAnsi" w:hAnsiTheme="minorHAnsi" w:cstheme="minorHAnsi"/>
                <w:color w:val="auto"/>
                <w:kern w:val="0"/>
              </w:rPr>
              <w:t>f</w:t>
            </w: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 xml:space="preserve">eed pumps transitions, </w:t>
            </w:r>
            <w:r w:rsidR="005F4F77">
              <w:rPr>
                <w:rFonts w:asciiTheme="minorHAnsi" w:eastAsiaTheme="minorHAnsi" w:hAnsiTheme="minorHAnsi" w:cstheme="minorHAnsi"/>
                <w:color w:val="auto"/>
                <w:kern w:val="0"/>
              </w:rPr>
              <w:t>c</w:t>
            </w: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 xml:space="preserve">ondensate pumps, </w:t>
            </w:r>
            <w:r w:rsidR="005F4F77">
              <w:rPr>
                <w:rFonts w:asciiTheme="minorHAnsi" w:eastAsiaTheme="minorHAnsi" w:hAnsiTheme="minorHAnsi" w:cstheme="minorHAnsi"/>
                <w:color w:val="auto"/>
                <w:kern w:val="0"/>
              </w:rPr>
              <w:t>p</w:t>
            </w: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 xml:space="preserve">ulverizer operating limits or transition points, and forced draft fans limiting steam flow  </w:t>
            </w:r>
          </w:p>
        </w:tc>
      </w:tr>
      <w:tr w:rsidR="004C31FC" w:rsidRPr="004C31FC" w14:paraId="3CA7A0BB" w14:textId="77777777" w:rsidTr="004C31FC">
        <w:trPr>
          <w:trHeight w:val="86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650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Data telemetry failure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4BA3" w14:textId="110465E1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 xml:space="preserve">Due to telemetry failure, actual generator response data was not communicated to </w:t>
            </w:r>
            <w:r w:rsidR="005F4F77">
              <w:rPr>
                <w:rFonts w:asciiTheme="minorHAnsi" w:eastAsiaTheme="minorHAnsi" w:hAnsiTheme="minorHAnsi" w:cstheme="minorHAnsi"/>
                <w:color w:val="auto"/>
                <w:kern w:val="0"/>
              </w:rPr>
              <w:t>ERCOT</w:t>
            </w:r>
          </w:p>
        </w:tc>
      </w:tr>
      <w:tr w:rsidR="004C31FC" w:rsidRPr="004C31FC" w14:paraId="1A8F7342" w14:textId="77777777" w:rsidTr="004C31FC">
        <w:trPr>
          <w:trHeight w:val="17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AB9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External system conditions impacting generator performance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64F1" w14:textId="77777777" w:rsid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  <w:u w:val="single"/>
              </w:rPr>
            </w:pPr>
          </w:p>
          <w:p w14:paraId="21D75210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  <w:u w:val="single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  <w:u w:val="single"/>
              </w:rPr>
              <w:t>Ambient Conditions</w:t>
            </w:r>
          </w:p>
          <w:p w14:paraId="5C73E17D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</w:p>
          <w:p w14:paraId="649E62A8" w14:textId="77777777" w:rsidR="004C31FC" w:rsidRPr="004C31FC" w:rsidRDefault="004C31FC" w:rsidP="004C31F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This should not include unit limitations due to seasonal ambient conditions as an alternative to updating the telemetered HSL sent to ERCOT</w:t>
            </w:r>
          </w:p>
          <w:p w14:paraId="2B3BB69A" w14:textId="77777777" w:rsidR="004C31FC" w:rsidRPr="004C31FC" w:rsidRDefault="004C31FC" w:rsidP="004C31F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Temperature control overrides to protect against mechanical damage</w:t>
            </w:r>
          </w:p>
          <w:p w14:paraId="2CD8F72E" w14:textId="77777777" w:rsidR="004C31FC" w:rsidRPr="004C31FC" w:rsidRDefault="004C31FC" w:rsidP="004C31F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Environmental constraints </w:t>
            </w:r>
          </w:p>
        </w:tc>
      </w:tr>
      <w:tr w:rsidR="004C31FC" w:rsidRPr="004C31FC" w14:paraId="0CB79AD2" w14:textId="77777777" w:rsidTr="00014AEF">
        <w:trPr>
          <w:trHeight w:val="17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72C3" w14:textId="77777777" w:rsidR="004C31FC" w:rsidRPr="004C31FC" w:rsidRDefault="004C31FC" w:rsidP="007A093D">
            <w:pPr>
              <w:spacing w:before="240"/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Combined Cycle Configuration Transitions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56C3" w14:textId="77777777" w:rsidR="004C31FC" w:rsidRPr="004C31FC" w:rsidRDefault="004C31FC" w:rsidP="007A093D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Transition to or from different combined cycle configurations such as 1x1 to 2x1 or vice-versa as well as other combined cycle configurations if there are more units.</w:t>
            </w:r>
          </w:p>
          <w:p w14:paraId="281D7253" w14:textId="4B74C395" w:rsidR="004C31FC" w:rsidRPr="004C31FC" w:rsidRDefault="004C31FC" w:rsidP="007A093D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Combined Cycle 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onfiguration changes does not change the 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esource 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tatus</w:t>
            </w:r>
          </w:p>
        </w:tc>
      </w:tr>
      <w:tr w:rsidR="004C31FC" w:rsidRPr="004C31FC" w14:paraId="0761A708" w14:textId="77777777" w:rsidTr="00840E74">
        <w:trPr>
          <w:trHeight w:val="178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1465" w14:textId="77777777" w:rsidR="004C31FC" w:rsidRPr="004C31FC" w:rsidRDefault="004C31FC" w:rsidP="004C31FC">
            <w:pPr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Unit ramping transition points affecting Ramp Magnitude Calculations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6A0A" w14:textId="77777777" w:rsidR="004C31FC" w:rsidRPr="004C31FC" w:rsidRDefault="004C31FC" w:rsidP="004C31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Unit did not continue to ramp in the gradient level of the pre-perturbation period after the event</w:t>
            </w:r>
          </w:p>
          <w:p w14:paraId="0892EB83" w14:textId="77777777" w:rsidR="004C31FC" w:rsidRPr="004C31FC" w:rsidRDefault="004C31FC" w:rsidP="004C31F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Reached base load or lower ramping transition output levels prior to or during the event.</w:t>
            </w:r>
          </w:p>
        </w:tc>
      </w:tr>
      <w:tr w:rsidR="004C31FC" w:rsidRPr="004C31FC" w14:paraId="5EF649A9" w14:textId="77777777" w:rsidTr="004C31FC">
        <w:trPr>
          <w:trHeight w:val="176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85A" w14:textId="77777777" w:rsidR="004C31FC" w:rsidRPr="004C31FC" w:rsidRDefault="004C31FC" w:rsidP="007A093D">
            <w:pPr>
              <w:spacing w:before="240"/>
              <w:rPr>
                <w:rFonts w:asciiTheme="minorHAnsi" w:eastAsiaTheme="minorHAnsi" w:hAnsiTheme="minorHAnsi" w:cstheme="minorHAnsi"/>
                <w:color w:val="auto"/>
                <w:kern w:val="0"/>
              </w:rPr>
            </w:pPr>
            <w:r w:rsidRPr="004C31FC">
              <w:rPr>
                <w:rFonts w:asciiTheme="minorHAnsi" w:eastAsiaTheme="minorHAnsi" w:hAnsiTheme="minorHAnsi" w:cstheme="minorHAnsi"/>
                <w:color w:val="auto"/>
                <w:kern w:val="0"/>
              </w:rPr>
              <w:t>Other operating conditions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23E" w14:textId="597FF84E" w:rsidR="004C31FC" w:rsidRPr="004C31FC" w:rsidRDefault="004C31FC" w:rsidP="007A093D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Governor off/out of service (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 xml:space="preserve">with evidence 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ERCOT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 xml:space="preserve"> was </w:t>
            </w:r>
            <w:r w:rsidR="006F7B15">
              <w:rPr>
                <w:rFonts w:asciiTheme="minorHAnsi" w:hAnsiTheme="minorHAnsi" w:cstheme="minorHAnsi"/>
                <w:sz w:val="20"/>
                <w:szCs w:val="20"/>
              </w:rPr>
              <w:t>notified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7E784A7" w14:textId="77777777" w:rsidR="004C31FC" w:rsidRPr="004C31FC" w:rsidRDefault="004C31FC" w:rsidP="007A093D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System stability limits</w:t>
            </w:r>
          </w:p>
          <w:p w14:paraId="17D8C586" w14:textId="1D65A5A0" w:rsidR="004C31FC" w:rsidRPr="004C31FC" w:rsidRDefault="004C31FC" w:rsidP="007A093D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Control </w:t>
            </w:r>
            <w:r w:rsidR="005F4F7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ogic issues</w:t>
            </w:r>
          </w:p>
          <w:p w14:paraId="721E6AC3" w14:textId="77777777" w:rsidR="004C31FC" w:rsidRPr="004C31FC" w:rsidRDefault="004C31FC" w:rsidP="007A093D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>Specific design conditions limiting responses</w:t>
            </w:r>
          </w:p>
          <w:p w14:paraId="13F2A6D1" w14:textId="77777777" w:rsidR="004C31FC" w:rsidRPr="004C31FC" w:rsidRDefault="004C31FC" w:rsidP="007A093D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4C31FC">
              <w:rPr>
                <w:rFonts w:asciiTheme="minorHAnsi" w:hAnsiTheme="minorHAnsi" w:cstheme="minorHAnsi"/>
                <w:sz w:val="20"/>
                <w:szCs w:val="20"/>
              </w:rPr>
              <w:t xml:space="preserve">Weather related issues </w:t>
            </w:r>
          </w:p>
        </w:tc>
      </w:tr>
    </w:tbl>
    <w:p w14:paraId="2974B8E7" w14:textId="77777777" w:rsidR="00FF42D1" w:rsidRPr="00CE242A" w:rsidRDefault="00FF42D1" w:rsidP="00662DF0">
      <w:pPr>
        <w:rPr>
          <w:rFonts w:asciiTheme="minorHAnsi" w:hAnsiTheme="minorHAnsi" w:cstheme="minorHAnsi"/>
        </w:rPr>
      </w:pPr>
    </w:p>
    <w:sectPr w:rsidR="00FF42D1" w:rsidRPr="00CE242A" w:rsidSect="00155848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637F" w14:textId="77777777" w:rsidR="00ED0932" w:rsidRDefault="00ED0932" w:rsidP="00DB164A">
      <w:r>
        <w:separator/>
      </w:r>
    </w:p>
  </w:endnote>
  <w:endnote w:type="continuationSeparator" w:id="0">
    <w:p w14:paraId="35823ABF" w14:textId="77777777" w:rsidR="00ED0932" w:rsidRDefault="00ED0932" w:rsidP="00D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99BA" w14:textId="77777777" w:rsidR="00DB164A" w:rsidRDefault="00654F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BA4A8" wp14:editId="51F89FE4">
              <wp:simplePos x="0" y="0"/>
              <wp:positionH relativeFrom="column">
                <wp:posOffset>-200025</wp:posOffset>
              </wp:positionH>
              <wp:positionV relativeFrom="paragraph">
                <wp:posOffset>-111125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47831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8.75pt" to="519.7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" strokecolor="#5b6770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8752" w14:textId="77777777" w:rsidR="00ED0932" w:rsidRDefault="00ED0932" w:rsidP="00DB164A">
      <w:r>
        <w:separator/>
      </w:r>
    </w:p>
  </w:footnote>
  <w:footnote w:type="continuationSeparator" w:id="0">
    <w:p w14:paraId="4DC67EFB" w14:textId="77777777" w:rsidR="00ED0932" w:rsidRDefault="00ED0932" w:rsidP="00DB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4.05pt;height:14.05pt" o:bullet="t">
        <v:imagedata r:id="rId1" o:title="bullet1"/>
      </v:shape>
    </w:pict>
  </w:numPicBullet>
  <w:numPicBullet w:numPicBulletId="1">
    <w:pict>
      <v:shape id="_x0000_i1231" type="#_x0000_t75" style="width:7.5pt;height:7.5pt" o:bullet="t">
        <v:imagedata r:id="rId2" o:title="bullet2"/>
      </v:shape>
    </w:pict>
  </w:numPicBullet>
  <w:numPicBullet w:numPicBulletId="2">
    <w:pict>
      <v:shape id="_x0000_i1232" type="#_x0000_t75" style="width:7.5pt;height:7.5pt" o:bullet="t">
        <v:imagedata r:id="rId3" o:title="bullet3"/>
      </v:shape>
    </w:pict>
  </w:numPicBullet>
  <w:numPicBullet w:numPicBulletId="3">
    <w:pict>
      <v:shape id="_x0000_i1233" type="#_x0000_t75" style="width:137pt;height:43pt" o:bullet="t">
        <v:imagedata r:id="rId4" o:title="ERCOT Swoosh - White 3x1"/>
      </v:shape>
    </w:pict>
  </w:numPicBullet>
  <w:abstractNum w:abstractNumId="0" w15:restartNumberingAfterBreak="0">
    <w:nsid w:val="04556C4D"/>
    <w:multiLevelType w:val="multilevel"/>
    <w:tmpl w:val="29CE39A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42"/>
        </w:tabs>
        <w:ind w:left="124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4410"/>
        </w:tabs>
        <w:ind w:left="441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upperRoman"/>
      <w:lvlText w:val="%4."/>
      <w:lvlJc w:val="right"/>
      <w:pPr>
        <w:tabs>
          <w:tab w:val="num" w:pos="3420"/>
        </w:tabs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7"/>
        </w:tabs>
        <w:ind w:left="8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7"/>
        </w:tabs>
        <w:ind w:left="13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7"/>
        </w:tabs>
        <w:ind w:left="18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7"/>
        </w:tabs>
        <w:ind w:left="24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7"/>
        </w:tabs>
        <w:ind w:left="2977" w:hanging="1440"/>
      </w:pPr>
      <w:rPr>
        <w:rFonts w:hint="default"/>
      </w:rPr>
    </w:lvl>
  </w:abstractNum>
  <w:abstractNum w:abstractNumId="1" w15:restartNumberingAfterBreak="0">
    <w:nsid w:val="088C10C3"/>
    <w:multiLevelType w:val="multilevel"/>
    <w:tmpl w:val="8D6606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sz w:val="24"/>
        <w:szCs w:val="24"/>
      </w:rPr>
    </w:lvl>
    <w:lvl w:ilvl="3">
      <w:start w:val="1"/>
      <w:numFmt w:val="upperRoman"/>
      <w:lvlText w:val="%4."/>
      <w:lvlJc w:val="right"/>
      <w:pPr>
        <w:tabs>
          <w:tab w:val="num" w:pos="2970"/>
        </w:tabs>
        <w:ind w:left="36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2" w15:restartNumberingAfterBreak="0">
    <w:nsid w:val="0F420265"/>
    <w:multiLevelType w:val="hybridMultilevel"/>
    <w:tmpl w:val="FAFAE354"/>
    <w:lvl w:ilvl="0" w:tplc="B02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F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C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1E76CB"/>
    <w:multiLevelType w:val="hybridMultilevel"/>
    <w:tmpl w:val="3CD4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719C"/>
    <w:multiLevelType w:val="hybridMultilevel"/>
    <w:tmpl w:val="AD6A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096"/>
    <w:multiLevelType w:val="hybridMultilevel"/>
    <w:tmpl w:val="CB24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57D9"/>
    <w:multiLevelType w:val="hybridMultilevel"/>
    <w:tmpl w:val="EE50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7162"/>
    <w:multiLevelType w:val="hybridMultilevel"/>
    <w:tmpl w:val="017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589D"/>
    <w:multiLevelType w:val="hybridMultilevel"/>
    <w:tmpl w:val="6B0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486E"/>
    <w:multiLevelType w:val="hybridMultilevel"/>
    <w:tmpl w:val="EA44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F55"/>
    <w:multiLevelType w:val="hybridMultilevel"/>
    <w:tmpl w:val="B8C4A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A824D7F"/>
    <w:multiLevelType w:val="hybridMultilevel"/>
    <w:tmpl w:val="99C6D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02C4"/>
    <w:multiLevelType w:val="hybridMultilevel"/>
    <w:tmpl w:val="AB96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E5C"/>
    <w:multiLevelType w:val="hybridMultilevel"/>
    <w:tmpl w:val="5C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3100B"/>
    <w:multiLevelType w:val="hybridMultilevel"/>
    <w:tmpl w:val="59D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AFD"/>
    <w:multiLevelType w:val="multilevel"/>
    <w:tmpl w:val="656A243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PicBulletId w:val="1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3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</w:abstractNum>
  <w:abstractNum w:abstractNumId="17" w15:restartNumberingAfterBreak="0">
    <w:nsid w:val="52C35C71"/>
    <w:multiLevelType w:val="hybridMultilevel"/>
    <w:tmpl w:val="4D949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F671B"/>
    <w:multiLevelType w:val="hybridMultilevel"/>
    <w:tmpl w:val="ACB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82740"/>
    <w:multiLevelType w:val="hybridMultilevel"/>
    <w:tmpl w:val="9250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501DE"/>
    <w:multiLevelType w:val="hybridMultilevel"/>
    <w:tmpl w:val="A14E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1F56"/>
    <w:multiLevelType w:val="hybridMultilevel"/>
    <w:tmpl w:val="4F4C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70E3"/>
    <w:multiLevelType w:val="hybridMultilevel"/>
    <w:tmpl w:val="20721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1915172">
    <w:abstractNumId w:val="16"/>
  </w:num>
  <w:num w:numId="2" w16cid:durableId="441271298">
    <w:abstractNumId w:val="23"/>
  </w:num>
  <w:num w:numId="3" w16cid:durableId="1092627018">
    <w:abstractNumId w:val="11"/>
  </w:num>
  <w:num w:numId="4" w16cid:durableId="1459762204">
    <w:abstractNumId w:val="5"/>
  </w:num>
  <w:num w:numId="5" w16cid:durableId="126436237">
    <w:abstractNumId w:val="2"/>
  </w:num>
  <w:num w:numId="6" w16cid:durableId="11655077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090302">
    <w:abstractNumId w:val="21"/>
  </w:num>
  <w:num w:numId="8" w16cid:durableId="1933657193">
    <w:abstractNumId w:val="17"/>
  </w:num>
  <w:num w:numId="9" w16cid:durableId="262342698">
    <w:abstractNumId w:val="0"/>
  </w:num>
  <w:num w:numId="10" w16cid:durableId="921372778">
    <w:abstractNumId w:val="9"/>
  </w:num>
  <w:num w:numId="11" w16cid:durableId="154885059">
    <w:abstractNumId w:val="1"/>
  </w:num>
  <w:num w:numId="12" w16cid:durableId="2090346404">
    <w:abstractNumId w:val="10"/>
  </w:num>
  <w:num w:numId="13" w16cid:durableId="2105808761">
    <w:abstractNumId w:val="12"/>
  </w:num>
  <w:num w:numId="14" w16cid:durableId="1883861500">
    <w:abstractNumId w:val="22"/>
  </w:num>
  <w:num w:numId="15" w16cid:durableId="1511292169">
    <w:abstractNumId w:val="20"/>
  </w:num>
  <w:num w:numId="16" w16cid:durableId="2021081002">
    <w:abstractNumId w:val="14"/>
  </w:num>
  <w:num w:numId="17" w16cid:durableId="1262563687">
    <w:abstractNumId w:val="19"/>
  </w:num>
  <w:num w:numId="18" w16cid:durableId="1777599230">
    <w:abstractNumId w:val="3"/>
  </w:num>
  <w:num w:numId="19" w16cid:durableId="506870096">
    <w:abstractNumId w:val="8"/>
  </w:num>
  <w:num w:numId="20" w16cid:durableId="1811554622">
    <w:abstractNumId w:val="4"/>
  </w:num>
  <w:num w:numId="21" w16cid:durableId="291793376">
    <w:abstractNumId w:val="15"/>
  </w:num>
  <w:num w:numId="22" w16cid:durableId="2032876555">
    <w:abstractNumId w:val="18"/>
  </w:num>
  <w:num w:numId="23" w16cid:durableId="1239245739">
    <w:abstractNumId w:val="13"/>
  </w:num>
  <w:num w:numId="24" w16cid:durableId="396319494">
    <w:abstractNumId w:val="7"/>
  </w:num>
  <w:num w:numId="25" w16cid:durableId="2113739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07b75,#0039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87"/>
    <w:rsid w:val="00003018"/>
    <w:rsid w:val="000430F9"/>
    <w:rsid w:val="00082E9F"/>
    <w:rsid w:val="0008769F"/>
    <w:rsid w:val="000A1A71"/>
    <w:rsid w:val="000C599B"/>
    <w:rsid w:val="000D5DB5"/>
    <w:rsid w:val="000E5F0F"/>
    <w:rsid w:val="000F577F"/>
    <w:rsid w:val="000F7E5E"/>
    <w:rsid w:val="0011176B"/>
    <w:rsid w:val="00113074"/>
    <w:rsid w:val="00131E08"/>
    <w:rsid w:val="00155848"/>
    <w:rsid w:val="00170E2B"/>
    <w:rsid w:val="001A06E1"/>
    <w:rsid w:val="001E19AA"/>
    <w:rsid w:val="001F77D0"/>
    <w:rsid w:val="00241959"/>
    <w:rsid w:val="002549A3"/>
    <w:rsid w:val="002611A9"/>
    <w:rsid w:val="00273397"/>
    <w:rsid w:val="0028184B"/>
    <w:rsid w:val="002B1690"/>
    <w:rsid w:val="002B2DCD"/>
    <w:rsid w:val="002B3849"/>
    <w:rsid w:val="002B7238"/>
    <w:rsid w:val="002C43FE"/>
    <w:rsid w:val="002E22DB"/>
    <w:rsid w:val="002F5063"/>
    <w:rsid w:val="002F6759"/>
    <w:rsid w:val="0030641A"/>
    <w:rsid w:val="00322053"/>
    <w:rsid w:val="00361B74"/>
    <w:rsid w:val="003666B2"/>
    <w:rsid w:val="0037369C"/>
    <w:rsid w:val="003A64B7"/>
    <w:rsid w:val="003C5409"/>
    <w:rsid w:val="003E6F76"/>
    <w:rsid w:val="00407372"/>
    <w:rsid w:val="00411231"/>
    <w:rsid w:val="00432803"/>
    <w:rsid w:val="00434254"/>
    <w:rsid w:val="00465830"/>
    <w:rsid w:val="00473BA7"/>
    <w:rsid w:val="00490902"/>
    <w:rsid w:val="004B3F51"/>
    <w:rsid w:val="004B413A"/>
    <w:rsid w:val="004C31FC"/>
    <w:rsid w:val="004C4C3D"/>
    <w:rsid w:val="004D2146"/>
    <w:rsid w:val="004E7814"/>
    <w:rsid w:val="0050156B"/>
    <w:rsid w:val="00502125"/>
    <w:rsid w:val="00506068"/>
    <w:rsid w:val="00517C44"/>
    <w:rsid w:val="00520BAA"/>
    <w:rsid w:val="00533648"/>
    <w:rsid w:val="005358B3"/>
    <w:rsid w:val="005464EA"/>
    <w:rsid w:val="00565CB9"/>
    <w:rsid w:val="005731F0"/>
    <w:rsid w:val="00580D19"/>
    <w:rsid w:val="005926DA"/>
    <w:rsid w:val="005A635D"/>
    <w:rsid w:val="005B74A2"/>
    <w:rsid w:val="005D3833"/>
    <w:rsid w:val="005F08DB"/>
    <w:rsid w:val="005F4F77"/>
    <w:rsid w:val="00606983"/>
    <w:rsid w:val="006071B5"/>
    <w:rsid w:val="00654FD7"/>
    <w:rsid w:val="00662DF0"/>
    <w:rsid w:val="006903F6"/>
    <w:rsid w:val="00697273"/>
    <w:rsid w:val="006A0285"/>
    <w:rsid w:val="006B0E57"/>
    <w:rsid w:val="006B27C3"/>
    <w:rsid w:val="006B3E12"/>
    <w:rsid w:val="006D1344"/>
    <w:rsid w:val="006D6471"/>
    <w:rsid w:val="006F7B15"/>
    <w:rsid w:val="00702CEC"/>
    <w:rsid w:val="00706C8E"/>
    <w:rsid w:val="00720AF8"/>
    <w:rsid w:val="00723890"/>
    <w:rsid w:val="007346F3"/>
    <w:rsid w:val="00764924"/>
    <w:rsid w:val="00773989"/>
    <w:rsid w:val="007A093D"/>
    <w:rsid w:val="007B2F8E"/>
    <w:rsid w:val="007B4A9B"/>
    <w:rsid w:val="007C5FF9"/>
    <w:rsid w:val="007C7F49"/>
    <w:rsid w:val="007D7FDC"/>
    <w:rsid w:val="00805B12"/>
    <w:rsid w:val="00816131"/>
    <w:rsid w:val="00833C1D"/>
    <w:rsid w:val="00847B59"/>
    <w:rsid w:val="00862922"/>
    <w:rsid w:val="00875F91"/>
    <w:rsid w:val="00891B8C"/>
    <w:rsid w:val="0089253A"/>
    <w:rsid w:val="008A5193"/>
    <w:rsid w:val="008C7AF3"/>
    <w:rsid w:val="008D333C"/>
    <w:rsid w:val="008F2437"/>
    <w:rsid w:val="00915E04"/>
    <w:rsid w:val="00927C38"/>
    <w:rsid w:val="009370C0"/>
    <w:rsid w:val="00953A34"/>
    <w:rsid w:val="009572B8"/>
    <w:rsid w:val="00975D81"/>
    <w:rsid w:val="009834F3"/>
    <w:rsid w:val="0099115F"/>
    <w:rsid w:val="009A2962"/>
    <w:rsid w:val="009A6C5C"/>
    <w:rsid w:val="009B1E77"/>
    <w:rsid w:val="009B1EB1"/>
    <w:rsid w:val="009B3500"/>
    <w:rsid w:val="009C0BC4"/>
    <w:rsid w:val="009C68B1"/>
    <w:rsid w:val="009F3314"/>
    <w:rsid w:val="00A049A5"/>
    <w:rsid w:val="00A07CFD"/>
    <w:rsid w:val="00A17914"/>
    <w:rsid w:val="00A26E96"/>
    <w:rsid w:val="00A436C7"/>
    <w:rsid w:val="00A53FB1"/>
    <w:rsid w:val="00A744F2"/>
    <w:rsid w:val="00A84ED9"/>
    <w:rsid w:val="00AA3B59"/>
    <w:rsid w:val="00AA78C7"/>
    <w:rsid w:val="00AE2BE7"/>
    <w:rsid w:val="00AF15E5"/>
    <w:rsid w:val="00AF45FC"/>
    <w:rsid w:val="00B24C9B"/>
    <w:rsid w:val="00B35D77"/>
    <w:rsid w:val="00B44828"/>
    <w:rsid w:val="00B5364C"/>
    <w:rsid w:val="00B55DC1"/>
    <w:rsid w:val="00B56481"/>
    <w:rsid w:val="00B83B9A"/>
    <w:rsid w:val="00BA301B"/>
    <w:rsid w:val="00BA5B59"/>
    <w:rsid w:val="00BC7FAB"/>
    <w:rsid w:val="00BE77B5"/>
    <w:rsid w:val="00C06356"/>
    <w:rsid w:val="00C0642A"/>
    <w:rsid w:val="00C12A08"/>
    <w:rsid w:val="00C170FF"/>
    <w:rsid w:val="00C406FE"/>
    <w:rsid w:val="00C5145C"/>
    <w:rsid w:val="00C5356B"/>
    <w:rsid w:val="00C93D8B"/>
    <w:rsid w:val="00CA575F"/>
    <w:rsid w:val="00CA5EE1"/>
    <w:rsid w:val="00CB2A4F"/>
    <w:rsid w:val="00CB77B4"/>
    <w:rsid w:val="00CC1D81"/>
    <w:rsid w:val="00CE0BD6"/>
    <w:rsid w:val="00CE242A"/>
    <w:rsid w:val="00CF3123"/>
    <w:rsid w:val="00D034D8"/>
    <w:rsid w:val="00D34F88"/>
    <w:rsid w:val="00D46169"/>
    <w:rsid w:val="00D478A0"/>
    <w:rsid w:val="00D766DE"/>
    <w:rsid w:val="00D81C5C"/>
    <w:rsid w:val="00DA22FF"/>
    <w:rsid w:val="00DA77B2"/>
    <w:rsid w:val="00DB164A"/>
    <w:rsid w:val="00DB205F"/>
    <w:rsid w:val="00DC290F"/>
    <w:rsid w:val="00DC4589"/>
    <w:rsid w:val="00DE615F"/>
    <w:rsid w:val="00E00901"/>
    <w:rsid w:val="00E25004"/>
    <w:rsid w:val="00E5500D"/>
    <w:rsid w:val="00E57029"/>
    <w:rsid w:val="00E77CCE"/>
    <w:rsid w:val="00E86C38"/>
    <w:rsid w:val="00E87B02"/>
    <w:rsid w:val="00E96EDE"/>
    <w:rsid w:val="00EA20FD"/>
    <w:rsid w:val="00ED0932"/>
    <w:rsid w:val="00ED5860"/>
    <w:rsid w:val="00EF407E"/>
    <w:rsid w:val="00F14729"/>
    <w:rsid w:val="00F67117"/>
    <w:rsid w:val="00F74B74"/>
    <w:rsid w:val="00F95130"/>
    <w:rsid w:val="00FA5AAE"/>
    <w:rsid w:val="00FA7784"/>
    <w:rsid w:val="00FB3E8C"/>
    <w:rsid w:val="00FC3CE4"/>
    <w:rsid w:val="00FF2887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b75,#003966"/>
    </o:shapedefaults>
    <o:shapelayout v:ext="edit">
      <o:idmap v:ext="edit" data="2"/>
    </o:shapelayout>
  </w:shapeDefaults>
  <w:decimalSymbol w:val="."/>
  <w:listSeparator w:val=","/>
  <w14:docId w14:val="002B7FA4"/>
  <w15:docId w15:val="{87845FCC-C309-4B65-8B98-ECD64FC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link w:val="Heading1Char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4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4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2B8"/>
    <w:pPr>
      <w:spacing w:after="200" w:line="276" w:lineRule="auto"/>
      <w:ind w:left="720"/>
      <w:contextualSpacing/>
    </w:pPr>
    <w:rPr>
      <w:rFonts w:ascii="Calibri" w:eastAsiaTheme="minorHAnsi" w:hAnsi="Calibri"/>
      <w:color w:val="auto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06356"/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table" w:styleId="TableGrid">
    <w:name w:val="Table Grid"/>
    <w:basedOn w:val="TableNormal"/>
    <w:uiPriority w:val="59"/>
    <w:rsid w:val="009C6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2B"/>
    <w:rPr>
      <w:rFonts w:ascii="Segoe UI" w:hAnsi="Segoe UI" w:cs="Segoe UI"/>
      <w:color w:val="000000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0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E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E2B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2B"/>
    <w:rPr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AA3B59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2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223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31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783">
          <w:marLeft w:val="17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s.ercot.com/secure/data-products/group-reports/pdcwg?id=NP12-262-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liance@erco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o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2C17BBED2EF4E802F4F21A1D28B33" ma:contentTypeVersion="0" ma:contentTypeDescription="Create a new document." ma:contentTypeScope="" ma:versionID="936f69d55887432f79aa97b01e37f6cf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CA444-BFAC-4140-8200-5F31DC80D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5347E-3A02-4A08-AF1A-F976ED0962C0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0D7517EF-1A59-41E3-8EF9-84E7D5C03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Frosch, Colleen</dc:creator>
  <cp:lastModifiedBy>Frosch, Colleen</cp:lastModifiedBy>
  <cp:revision>7</cp:revision>
  <dcterms:created xsi:type="dcterms:W3CDTF">2023-10-11T14:55:00Z</dcterms:created>
  <dcterms:modified xsi:type="dcterms:W3CDTF">2023-10-11T18:19:00Z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0x0101001D22C17BBED2EF4E802F4F21A1D28B33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2023-08-05T23:26:12Z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2bcf0c83-1119-445b-8606-4071d25352e3</vt:lpwstr>
  </property>
  <property fmtid="{D5CDD505-2E9C-101B-9397-08002B2CF9AE}" pid="10" name="MSIP_Label_7084cbda-52b8-46fb-a7b7-cb5bd465ed85_ContentBits">
    <vt:lpwstr>0</vt:lpwstr>
  </property>
</Properties>
</file>