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AC4BB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AC4BB4">
                <w:rPr>
                  <w:rStyle w:val="Hyperlink"/>
                </w:rPr>
                <w:t>1030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1613C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613C7">
              <w:rPr>
                <w:szCs w:val="23"/>
              </w:rPr>
              <w:t>Modify Allocator for CRR Auction Revenue Distribution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C4BB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1613C7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613C7">
              <w:rPr>
                <w:rFonts w:ascii="Arial" w:hAnsi="Arial" w:cs="Arial"/>
              </w:rPr>
              <w:t>Between $20k and $40k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1613C7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613C7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1613C7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613C7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1613C7" w:rsidP="001613C7">
            <w:pPr>
              <w:pStyle w:val="NormalArial"/>
              <w:numPr>
                <w:ilvl w:val="0"/>
                <w:numId w:val="7"/>
              </w:numPr>
            </w:pPr>
            <w:r w:rsidRPr="001613C7">
              <w:t>Market Settlements (S&amp;B)</w:t>
            </w:r>
            <w:r>
              <w:t xml:space="preserve">   100%</w:t>
            </w:r>
          </w:p>
          <w:p w:rsidR="001613C7" w:rsidRPr="001613C7" w:rsidRDefault="001613C7" w:rsidP="001613C7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AC4BB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1030NPRR-02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070120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080C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89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EAF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ED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8B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66E8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C04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85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69E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00326"/>
    <w:multiLevelType w:val="multilevel"/>
    <w:tmpl w:val="CA186E8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075807"/>
    <w:multiLevelType w:val="hybridMultilevel"/>
    <w:tmpl w:val="8E74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5C14CA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8EBE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AD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46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8CAE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A1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240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882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EE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13C7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4BB4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1100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2019-09-09T19:40:00Z</dcterms:created>
  <dcterms:modified xsi:type="dcterms:W3CDTF">2020-07-01T14:05:00Z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