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D86F3" w14:textId="77777777" w:rsidR="001D6F8D" w:rsidRPr="008A691B"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36D585E8" w14:textId="416D4820" w:rsidR="00B33795" w:rsidRDefault="00546903" w:rsidP="00B33795">
      <w:pPr>
        <w:pStyle w:val="PRRHeader"/>
        <w:widowControl w:val="0"/>
        <w:spacing w:after="100" w:afterAutospacing="1"/>
        <w:ind w:left="720" w:firstLine="0"/>
        <w:rPr>
          <w:lang w:val="en-US"/>
        </w:rPr>
      </w:pPr>
      <w:r>
        <w:rPr>
          <w:lang w:val="en-US"/>
        </w:rPr>
        <w:t>NPRR930</w:t>
      </w:r>
      <w:r w:rsidR="00B33795" w:rsidRPr="008A691B">
        <w:rPr>
          <w:lang w:val="en-US"/>
        </w:rPr>
        <w:t xml:space="preserve"> – </w:t>
      </w:r>
      <w:r w:rsidRPr="00546903">
        <w:rPr>
          <w:lang w:val="en-US"/>
        </w:rPr>
        <w:t>Process, Pricing, and Cost Recovery for Delayed Resource Outages</w:t>
      </w:r>
    </w:p>
    <w:p w14:paraId="06021027" w14:textId="37F719B4" w:rsidR="00B33795" w:rsidRDefault="00B33795" w:rsidP="00B3379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546903" w:rsidRPr="00546903">
        <w:rPr>
          <w:b w:val="0"/>
          <w:lang w:val="en-US"/>
        </w:rPr>
        <w:t>requires ERCOT to use an Outage Adjustment Evaluation (OAE) process to delay accepted or approved Outages after issuing an Advance Action Notice (AAN) to describe the need and providing time for Qualified Scheduling Entities (QSEs) to adjust their Outage plans.  A Resource that receives an Outage Schedule Adjustment (OSA) as a result of an OAE will be made whole to its actual costs incurred due to delaying or canceling and rescheduling the Outage and committing the Resource, as appropriate.  In addition, it sets an offer floor for the Resource at $4,500/MWh.  Together, these changes will encourage Resources to self-commit to avoid the opportunity cost of offering at a very high price, while making them whole if they do follow ERCOT’s instructions.  A QSE with a Resource that is unable to return to service due to reliability reasons may update its Outage to a Forced Outage so that it may continue its Outage plans to support the Resource’s longevity and availability during critical Load periods.</w:t>
      </w:r>
    </w:p>
    <w:p w14:paraId="235F730E" w14:textId="4BCB3379" w:rsidR="00B33795" w:rsidRDefault="00B33795" w:rsidP="00B33795">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rsidR="00546903">
        <w:t>2.1 [unboxed due to system implementation]</w:t>
      </w:r>
    </w:p>
    <w:p w14:paraId="2466C7DE" w14:textId="37C077D5" w:rsidR="00AF4207" w:rsidRPr="00AF4207" w:rsidRDefault="00AF4207" w:rsidP="00AF4207">
      <w:pPr>
        <w:pStyle w:val="PRRHeader"/>
        <w:widowControl w:val="0"/>
        <w:spacing w:after="100" w:afterAutospacing="1"/>
        <w:ind w:left="720" w:firstLine="0"/>
        <w:rPr>
          <w:lang w:val="en-US"/>
        </w:rPr>
      </w:pPr>
      <w:r>
        <w:rPr>
          <w:lang w:val="en-US"/>
        </w:rPr>
        <w:t>NPRR989</w:t>
      </w:r>
      <w:r w:rsidRPr="00AF4207">
        <w:rPr>
          <w:lang w:val="en-US"/>
        </w:rPr>
        <w:t xml:space="preserve"> – </w:t>
      </w:r>
      <w:r w:rsidRPr="00AF4207">
        <w:t>BESTF-1 Energy Storage Resource Technical Requirements</w:t>
      </w:r>
    </w:p>
    <w:p w14:paraId="160E51F6" w14:textId="1C5A270B" w:rsidR="00AF4207" w:rsidRDefault="00AF4207" w:rsidP="00AF4207">
      <w:pPr>
        <w:pStyle w:val="PRRHeader"/>
        <w:widowControl w:val="0"/>
        <w:spacing w:after="100" w:afterAutospacing="1"/>
        <w:ind w:left="1152" w:firstLine="0"/>
        <w:rPr>
          <w:b w:val="0"/>
          <w:lang w:val="en-US"/>
        </w:rPr>
      </w:pPr>
      <w:r w:rsidRPr="008A691B">
        <w:rPr>
          <w:b w:val="0"/>
          <w:lang w:val="en-US"/>
        </w:rPr>
        <w:t>This Nodal Protocol Revision Request (NPRR)</w:t>
      </w:r>
      <w:r w:rsidRPr="00AF4207">
        <w:t xml:space="preserve"> </w:t>
      </w:r>
      <w:r w:rsidRPr="00AF4207">
        <w:rPr>
          <w:b w:val="0"/>
          <w:lang w:val="en-US"/>
        </w:rPr>
        <w:t>establishes technical requirements for Energy Storage Resources (ESRs) for Voltage Support Service (VSS) (including Reactive Power capability), and Primary Frequency Response.</w:t>
      </w:r>
    </w:p>
    <w:p w14:paraId="661DE854" w14:textId="1888DEE8" w:rsidR="00AF4207" w:rsidRPr="00AF4207" w:rsidRDefault="00AF4207" w:rsidP="00AF4207">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sz w:val="23"/>
          <w:szCs w:val="23"/>
          <w:lang w:val="en-US"/>
        </w:rPr>
        <w:t>2.1</w:t>
      </w:r>
      <w:r>
        <w:rPr>
          <w:lang w:val="en-US"/>
        </w:rPr>
        <w:t xml:space="preserve"> [effective upon system implementation]</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6794E7ED" w14:textId="39DC0429" w:rsidR="00482425" w:rsidRDefault="00482425" w:rsidP="00482425">
      <w:pPr>
        <w:pStyle w:val="PRRHeader"/>
        <w:widowControl w:val="0"/>
        <w:spacing w:after="100" w:afterAutospacing="1"/>
        <w:ind w:left="720" w:firstLine="0"/>
        <w:rPr>
          <w:lang w:val="en-US"/>
        </w:rPr>
      </w:pPr>
      <w:r>
        <w:rPr>
          <w:lang w:val="en-US"/>
        </w:rPr>
        <w:t>NPRR837</w:t>
      </w:r>
      <w:r w:rsidRPr="008A691B">
        <w:rPr>
          <w:lang w:val="en-US"/>
        </w:rPr>
        <w:t xml:space="preserve"> – </w:t>
      </w:r>
      <w:r w:rsidRPr="00482425">
        <w:rPr>
          <w:lang w:val="en-US"/>
        </w:rPr>
        <w:t>Regional Planning Group (RPG) Process Reform</w:t>
      </w:r>
    </w:p>
    <w:p w14:paraId="569261F6" w14:textId="45A4B532" w:rsidR="00482425" w:rsidRDefault="00482425" w:rsidP="0048242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82425">
        <w:rPr>
          <w:b w:val="0"/>
          <w:lang w:val="en-US"/>
        </w:rPr>
        <w:t>changes the Regional Planning Group (RPG) process by updating the Tier classification rules and also includes other RPG-related enhancements and clarifications.</w:t>
      </w:r>
    </w:p>
    <w:p w14:paraId="497728CB" w14:textId="5AC80F7C" w:rsidR="00482425" w:rsidRDefault="00482425" w:rsidP="00482425">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Pr="00546903">
        <w:t>3.</w:t>
      </w:r>
      <w:r>
        <w:rPr>
          <w:lang w:val="en-US"/>
        </w:rPr>
        <w:t xml:space="preserve">11.4.3 [unboxed due to system implementation] </w:t>
      </w:r>
    </w:p>
    <w:p w14:paraId="59C38D73" w14:textId="7B64CC02" w:rsidR="00546903" w:rsidRDefault="00546903" w:rsidP="00482425">
      <w:pPr>
        <w:pStyle w:val="PRRHeader"/>
        <w:widowControl w:val="0"/>
        <w:spacing w:after="100" w:afterAutospacing="1"/>
        <w:ind w:left="720" w:firstLine="0"/>
        <w:rPr>
          <w:lang w:val="en-US"/>
        </w:rPr>
      </w:pPr>
      <w:r>
        <w:rPr>
          <w:lang w:val="en-US"/>
        </w:rPr>
        <w:t>NPRR930</w:t>
      </w:r>
      <w:r w:rsidRPr="008A691B">
        <w:rPr>
          <w:lang w:val="en-US"/>
        </w:rPr>
        <w:t xml:space="preserve"> – </w:t>
      </w:r>
      <w:r w:rsidRPr="00546903">
        <w:rPr>
          <w:lang w:val="en-US"/>
        </w:rPr>
        <w:t>Process, Pricing, and Cost Recovery for Delayed Resource Outages</w:t>
      </w:r>
    </w:p>
    <w:p w14:paraId="15A5ABB0" w14:textId="7B651774" w:rsidR="00546903" w:rsidRPr="008A691B" w:rsidRDefault="00546903" w:rsidP="0054690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FB83B1C" w14:textId="3F68B116" w:rsidR="00546903" w:rsidRDefault="00546903" w:rsidP="00546903">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t xml:space="preserve"> </w:t>
      </w:r>
      <w:r w:rsidRPr="0089431B">
        <w:rPr>
          <w:rFonts w:cs="Arial"/>
        </w:rPr>
        <w:t xml:space="preserve"> </w:t>
      </w:r>
      <w:r>
        <w:rPr>
          <w:sz w:val="23"/>
          <w:szCs w:val="23"/>
        </w:rPr>
        <w:t>3.1.4.6 and 3.1.6.9</w:t>
      </w:r>
      <w:r>
        <w:rPr>
          <w:sz w:val="23"/>
          <w:szCs w:val="23"/>
          <w:lang w:val="en-US"/>
        </w:rPr>
        <w:t xml:space="preserve"> </w:t>
      </w:r>
      <w:r>
        <w:t>[</w:t>
      </w:r>
      <w:r w:rsidR="003A7183">
        <w:rPr>
          <w:lang w:val="en-US"/>
        </w:rPr>
        <w:t xml:space="preserve">partially </w:t>
      </w:r>
      <w:r>
        <w:t>unboxed due to system implementation]</w:t>
      </w:r>
    </w:p>
    <w:p w14:paraId="3D2E829C" w14:textId="4C37686F" w:rsidR="00546903" w:rsidRDefault="00546903" w:rsidP="00546903">
      <w:pPr>
        <w:pStyle w:val="PRRHeader"/>
        <w:widowControl w:val="0"/>
        <w:spacing w:after="100" w:afterAutospacing="1"/>
        <w:ind w:left="720" w:firstLine="0"/>
        <w:rPr>
          <w:lang w:val="en-US"/>
        </w:rPr>
      </w:pPr>
      <w:r>
        <w:rPr>
          <w:lang w:val="en-US"/>
        </w:rPr>
        <w:t>NPRR933</w:t>
      </w:r>
      <w:r w:rsidRPr="008A691B">
        <w:rPr>
          <w:lang w:val="en-US"/>
        </w:rPr>
        <w:t xml:space="preserve"> – </w:t>
      </w:r>
      <w:r w:rsidRPr="00546903">
        <w:rPr>
          <w:lang w:val="en-US"/>
        </w:rPr>
        <w:t>Reporting of Demand Response by Retail Electric Providers and Non-Opt-In Entities</w:t>
      </w:r>
    </w:p>
    <w:p w14:paraId="3C556B72" w14:textId="5BFC53EE" w:rsidR="00546903" w:rsidRDefault="00546903" w:rsidP="00546903">
      <w:pPr>
        <w:pStyle w:val="PRRHeader"/>
        <w:widowControl w:val="0"/>
        <w:spacing w:after="100" w:afterAutospacing="1"/>
        <w:ind w:left="1152" w:firstLine="0"/>
        <w:rPr>
          <w:b w:val="0"/>
          <w:lang w:val="en-US"/>
        </w:rPr>
      </w:pPr>
      <w:r w:rsidRPr="008A691B">
        <w:rPr>
          <w:b w:val="0"/>
          <w:lang w:val="en-US"/>
        </w:rPr>
        <w:lastRenderedPageBreak/>
        <w:t xml:space="preserve">This Nodal Protocol Revision Request (NPRR) </w:t>
      </w:r>
      <w:r w:rsidRPr="00546903">
        <w:rPr>
          <w:b w:val="0"/>
          <w:lang w:val="en-US"/>
        </w:rPr>
        <w:t>adds specific timing requirements for Retail Electric Providers (REPs) and Non-Opt-In Entities (NOIEs) to provide information to ERCOT regarding categories of Demand response and price response programs offered to their Customers, the level of participation in those programs, and information on deployment events associated with those programs.</w:t>
      </w:r>
    </w:p>
    <w:p w14:paraId="5993FB18" w14:textId="5A3B2C66" w:rsidR="00546903" w:rsidRPr="00D82D93" w:rsidRDefault="00546903" w:rsidP="00546903">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546903">
        <w:t>3.10.7.2.1 and 3.10.7.2.2 (new)</w:t>
      </w:r>
      <w:r w:rsidR="00D82D93">
        <w:rPr>
          <w:lang w:val="en-US"/>
        </w:rPr>
        <w:t xml:space="preserve"> [effective August 1, 2020]</w:t>
      </w:r>
    </w:p>
    <w:p w14:paraId="70263D50" w14:textId="77777777" w:rsidR="00C36A0D" w:rsidRPr="00AF4207" w:rsidRDefault="00C36A0D" w:rsidP="00C36A0D">
      <w:pPr>
        <w:pStyle w:val="PRRHeader"/>
        <w:widowControl w:val="0"/>
        <w:spacing w:after="100" w:afterAutospacing="1"/>
        <w:ind w:left="720" w:firstLine="0"/>
        <w:rPr>
          <w:lang w:val="en-US"/>
        </w:rPr>
      </w:pPr>
      <w:r w:rsidRPr="00AF4207">
        <w:rPr>
          <w:lang w:val="en-US"/>
        </w:rPr>
        <w:t xml:space="preserve">NPRR975 – </w:t>
      </w:r>
      <w:r w:rsidRPr="00AF4207">
        <w:t>Load Forecast Model Transparency</w:t>
      </w:r>
      <w:r w:rsidRPr="00AF4207">
        <w:rPr>
          <w:lang w:val="en-US"/>
        </w:rPr>
        <w:t xml:space="preserve"> </w:t>
      </w:r>
    </w:p>
    <w:p w14:paraId="060B248C" w14:textId="77777777" w:rsidR="00C36A0D" w:rsidRDefault="00C36A0D" w:rsidP="00C36A0D">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F4207">
        <w:rPr>
          <w:b w:val="0"/>
          <w:lang w:val="en-US"/>
        </w:rPr>
        <w:t>clarifies that Load forecast models will be used to select the Seven-Day Load Forecast based on expected weather, and requires ERCOT Operations to explain why they selected a certain model to improve transparency for Market Participants.</w:t>
      </w:r>
    </w:p>
    <w:p w14:paraId="7485B359" w14:textId="0743ED14" w:rsidR="00C36A0D" w:rsidRDefault="00C36A0D" w:rsidP="00C36A0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3.12.1</w:t>
      </w:r>
      <w:r w:rsidR="00D82D93">
        <w:rPr>
          <w:lang w:val="en-US"/>
        </w:rPr>
        <w:t xml:space="preserve"> [effective upon system implementation]</w:t>
      </w:r>
    </w:p>
    <w:p w14:paraId="65036D62" w14:textId="70FF00DB" w:rsidR="00AF4207" w:rsidRDefault="00AF4207" w:rsidP="00AF4207">
      <w:pPr>
        <w:pStyle w:val="PRRHeader"/>
        <w:widowControl w:val="0"/>
        <w:spacing w:after="100" w:afterAutospacing="1"/>
        <w:ind w:left="720" w:firstLine="0"/>
        <w:rPr>
          <w:lang w:val="en-US"/>
        </w:rPr>
      </w:pPr>
      <w:r>
        <w:rPr>
          <w:lang w:val="en-US"/>
        </w:rPr>
        <w:t>NPRR989</w:t>
      </w:r>
      <w:r w:rsidRPr="008A691B">
        <w:rPr>
          <w:lang w:val="en-US"/>
        </w:rPr>
        <w:t xml:space="preserve"> – </w:t>
      </w:r>
      <w:r w:rsidRPr="00AF4207">
        <w:rPr>
          <w:lang w:val="en-US"/>
        </w:rPr>
        <w:t>BESTF-1 Energy Storage Resource Technical Requirements</w:t>
      </w:r>
    </w:p>
    <w:p w14:paraId="4F883C11" w14:textId="77777777" w:rsidR="00AF4207" w:rsidRPr="008A691B" w:rsidRDefault="00AF4207" w:rsidP="00AF420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768A80A" w14:textId="15D4172C" w:rsidR="00AF4207" w:rsidRPr="00AF4207" w:rsidRDefault="00AF4207" w:rsidP="00AF4207">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t xml:space="preserve"> </w:t>
      </w:r>
      <w:r>
        <w:rPr>
          <w:lang w:val="en-US"/>
        </w:rPr>
        <w:t xml:space="preserve"> </w:t>
      </w:r>
      <w:r w:rsidRPr="00AF4207">
        <w:rPr>
          <w:rFonts w:cs="Arial"/>
        </w:rPr>
        <w:t xml:space="preserve">3.15, 3.15.1, and 3.15.3 </w:t>
      </w:r>
      <w:r>
        <w:rPr>
          <w:lang w:val="en-US"/>
        </w:rPr>
        <w:t>[effective upon system implementation]</w:t>
      </w:r>
    </w:p>
    <w:p w14:paraId="28939B71" w14:textId="14B2EC52" w:rsidR="00546903" w:rsidRPr="008A691B" w:rsidRDefault="00546903" w:rsidP="0054690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8A691B">
        <w:rPr>
          <w:rFonts w:ascii="Times New Roman" w:hAnsi="Times New Roman"/>
          <w:b/>
          <w:u w:val="single"/>
        </w:rPr>
        <w:t>:</w:t>
      </w:r>
    </w:p>
    <w:p w14:paraId="41BF03E2" w14:textId="77777777" w:rsidR="00546903" w:rsidRDefault="00546903" w:rsidP="00546903">
      <w:pPr>
        <w:pStyle w:val="PRRHeader"/>
        <w:widowControl w:val="0"/>
        <w:spacing w:after="100" w:afterAutospacing="1"/>
        <w:ind w:left="720" w:firstLine="0"/>
        <w:rPr>
          <w:lang w:val="en-US"/>
        </w:rPr>
      </w:pPr>
      <w:r>
        <w:rPr>
          <w:lang w:val="en-US"/>
        </w:rPr>
        <w:t>NPRR930</w:t>
      </w:r>
      <w:r w:rsidRPr="008A691B">
        <w:rPr>
          <w:lang w:val="en-US"/>
        </w:rPr>
        <w:t xml:space="preserve"> – </w:t>
      </w:r>
      <w:r w:rsidRPr="00546903">
        <w:rPr>
          <w:lang w:val="en-US"/>
        </w:rPr>
        <w:t>Process, Pricing, and Cost Recovery for Delayed Resource Outages</w:t>
      </w:r>
    </w:p>
    <w:p w14:paraId="5804DA07" w14:textId="77777777" w:rsidR="00546903" w:rsidRPr="008A691B" w:rsidRDefault="00546903" w:rsidP="0054690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D2D3215" w14:textId="5EEF4C2F" w:rsidR="00546903" w:rsidRPr="00546903" w:rsidRDefault="00546903" w:rsidP="00546903">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t xml:space="preserve"> </w:t>
      </w:r>
      <w:r w:rsidRPr="0089431B">
        <w:rPr>
          <w:rFonts w:cs="Arial"/>
        </w:rPr>
        <w:t xml:space="preserve"> </w:t>
      </w:r>
      <w:r w:rsidRPr="00546903">
        <w:rPr>
          <w:sz w:val="23"/>
          <w:szCs w:val="23"/>
        </w:rPr>
        <w:t xml:space="preserve">5.1, 5.5.2, 5.6.5 (new), 5.6.5.1 (new), 5.6.5.2 (new), 5.6.5.3 (new), and 5.8 </w:t>
      </w:r>
      <w:r>
        <w:t>[unboxed due to system implementation]</w:t>
      </w:r>
    </w:p>
    <w:p w14:paraId="3B38D95D" w14:textId="1FAC09B2" w:rsidR="004E050E" w:rsidRPr="008A691B" w:rsidRDefault="004E050E" w:rsidP="004E050E">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638BE072" w14:textId="77777777" w:rsidR="00546903" w:rsidRDefault="00546903" w:rsidP="00546903">
      <w:pPr>
        <w:pStyle w:val="PRRHeader"/>
        <w:widowControl w:val="0"/>
        <w:spacing w:after="100" w:afterAutospacing="1"/>
        <w:ind w:left="720" w:firstLine="0"/>
        <w:rPr>
          <w:lang w:val="en-US"/>
        </w:rPr>
      </w:pPr>
      <w:r>
        <w:rPr>
          <w:lang w:val="en-US"/>
        </w:rPr>
        <w:t>NPRR930</w:t>
      </w:r>
      <w:r w:rsidRPr="008A691B">
        <w:rPr>
          <w:lang w:val="en-US"/>
        </w:rPr>
        <w:t xml:space="preserve"> – </w:t>
      </w:r>
      <w:r w:rsidRPr="00546903">
        <w:rPr>
          <w:lang w:val="en-US"/>
        </w:rPr>
        <w:t>Process, Pricing, and Cost Recovery for Delayed Resource Outages</w:t>
      </w:r>
    </w:p>
    <w:p w14:paraId="082E69EE" w14:textId="77777777" w:rsidR="00546903" w:rsidRPr="008A691B" w:rsidRDefault="00546903" w:rsidP="0054690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7A2943E" w14:textId="3382D2BB" w:rsidR="00546903" w:rsidRDefault="00546903" w:rsidP="00546903">
      <w:pPr>
        <w:pStyle w:val="PRRHeader"/>
        <w:widowControl w:val="0"/>
        <w:spacing w:after="100" w:afterAutospacing="1"/>
        <w:ind w:left="720" w:firstLine="0"/>
      </w:pPr>
      <w:r w:rsidRPr="00B33795">
        <w:t>Revised</w:t>
      </w:r>
      <w:r w:rsidRPr="008A691B">
        <w:t xml:space="preserve"> </w:t>
      </w:r>
      <w:r w:rsidRPr="00B4530D">
        <w:t>Subsection</w:t>
      </w:r>
      <w:r w:rsidRPr="008A691B">
        <w:t>:</w:t>
      </w:r>
      <w:r>
        <w:t xml:space="preserve"> </w:t>
      </w:r>
      <w:r w:rsidRPr="0089431B">
        <w:rPr>
          <w:rFonts w:cs="Arial"/>
        </w:rPr>
        <w:t xml:space="preserve"> </w:t>
      </w:r>
      <w:r>
        <w:rPr>
          <w:sz w:val="23"/>
          <w:szCs w:val="23"/>
        </w:rPr>
        <w:t>6.5.9.3.1.1 (new)</w:t>
      </w:r>
      <w:r>
        <w:t xml:space="preserve"> [unboxed due to system implementation]</w:t>
      </w:r>
    </w:p>
    <w:p w14:paraId="0CC7E8A2" w14:textId="7C0D8408" w:rsidR="00AF4207" w:rsidRPr="00AF4207" w:rsidRDefault="00AF4207" w:rsidP="00AF4207">
      <w:pPr>
        <w:pStyle w:val="PRRHeader"/>
        <w:widowControl w:val="0"/>
        <w:spacing w:after="100" w:afterAutospacing="1"/>
        <w:ind w:left="720" w:firstLine="0"/>
        <w:rPr>
          <w:lang w:val="en-US"/>
        </w:rPr>
      </w:pPr>
      <w:r>
        <w:rPr>
          <w:lang w:val="en-US"/>
        </w:rPr>
        <w:t>NPRR9</w:t>
      </w:r>
      <w:r w:rsidRPr="00AF4207">
        <w:rPr>
          <w:lang w:val="en-US"/>
        </w:rPr>
        <w:t xml:space="preserve">87 – </w:t>
      </w:r>
      <w:r w:rsidRPr="00AF4207">
        <w:t xml:space="preserve">BESTF-3 Energy Storage Resource Contribution to Physical Responsive Capability and Real-Time On-Line Reserve Capacity Calculations </w:t>
      </w:r>
    </w:p>
    <w:p w14:paraId="6C3458F4" w14:textId="1B9C3DAC" w:rsidR="00AF4207" w:rsidRDefault="00AF4207" w:rsidP="00AF420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F4207">
        <w:rPr>
          <w:b w:val="0"/>
          <w:lang w:val="en-US"/>
        </w:rPr>
        <w:t xml:space="preserve">implements the inclusion of the contribution of Energy Storage Resources (ESRs) to Physical Responsive Capability (PRC) and the Real-Time On-Line Reserve Capacity (RTOLCAP) in the Ancillary </w:t>
      </w:r>
      <w:r w:rsidRPr="00AF4207">
        <w:rPr>
          <w:b w:val="0"/>
          <w:lang w:val="en-US"/>
        </w:rPr>
        <w:lastRenderedPageBreak/>
        <w:t>Service Imbalance Calculation.</w:t>
      </w:r>
    </w:p>
    <w:p w14:paraId="45A958FE" w14:textId="0B300751" w:rsidR="00AF4207" w:rsidRDefault="00AF4207" w:rsidP="00AF4207">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5C4B0E">
        <w:rPr>
          <w:sz w:val="23"/>
          <w:szCs w:val="23"/>
        </w:rPr>
        <w:t>6.5.7.5 and 6.7.5</w:t>
      </w:r>
      <w:r>
        <w:rPr>
          <w:lang w:val="en-US"/>
        </w:rPr>
        <w:t xml:space="preserve"> [effective upon system implementation]</w:t>
      </w:r>
    </w:p>
    <w:p w14:paraId="322060E2" w14:textId="77777777" w:rsidR="00AF4207" w:rsidRDefault="00AF4207" w:rsidP="00AF4207">
      <w:pPr>
        <w:pStyle w:val="PRRHeader"/>
        <w:widowControl w:val="0"/>
        <w:spacing w:after="100" w:afterAutospacing="1"/>
        <w:ind w:left="720" w:firstLine="0"/>
        <w:rPr>
          <w:lang w:val="en-US"/>
        </w:rPr>
      </w:pPr>
      <w:r>
        <w:rPr>
          <w:lang w:val="en-US"/>
        </w:rPr>
        <w:t>NPRR989</w:t>
      </w:r>
      <w:r w:rsidRPr="008A691B">
        <w:rPr>
          <w:lang w:val="en-US"/>
        </w:rPr>
        <w:t xml:space="preserve"> – </w:t>
      </w:r>
      <w:r w:rsidRPr="00AF4207">
        <w:rPr>
          <w:lang w:val="en-US"/>
        </w:rPr>
        <w:t>BESTF-1 Energy Storage Resource Technical Requirements</w:t>
      </w:r>
    </w:p>
    <w:p w14:paraId="1F318A28" w14:textId="77777777" w:rsidR="00AF4207" w:rsidRPr="008A691B" w:rsidRDefault="00AF4207" w:rsidP="00AF420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5A62683" w14:textId="549C1CDD" w:rsidR="00AF4207" w:rsidRPr="00AF4207" w:rsidRDefault="00AF4207" w:rsidP="00AF4207">
      <w:pPr>
        <w:pStyle w:val="PRRHeader"/>
        <w:widowControl w:val="0"/>
        <w:spacing w:after="100" w:afterAutospacing="1"/>
        <w:ind w:left="720" w:firstLine="0"/>
      </w:pPr>
      <w:r w:rsidRPr="00B33795">
        <w:t>Revised</w:t>
      </w:r>
      <w:r w:rsidRPr="008A691B">
        <w:t xml:space="preserve"> </w:t>
      </w:r>
      <w:r w:rsidRPr="00B4530D">
        <w:t>Subsection</w:t>
      </w:r>
      <w:r w:rsidRPr="008A691B">
        <w:t>:</w:t>
      </w:r>
      <w:r>
        <w:t xml:space="preserve"> </w:t>
      </w:r>
      <w:r>
        <w:rPr>
          <w:lang w:val="en-US"/>
        </w:rPr>
        <w:t xml:space="preserve"> </w:t>
      </w:r>
      <w:r w:rsidRPr="00AF4207">
        <w:rPr>
          <w:rFonts w:cs="Arial"/>
        </w:rPr>
        <w:t xml:space="preserve">6.5.7.7 </w:t>
      </w:r>
      <w:r>
        <w:rPr>
          <w:lang w:val="en-US"/>
        </w:rPr>
        <w:t>[effective upon system implementation]</w:t>
      </w:r>
    </w:p>
    <w:p w14:paraId="2185F346" w14:textId="672C5281" w:rsidR="00546903" w:rsidRDefault="00546903" w:rsidP="0054690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519EEBE5" w14:textId="77777777" w:rsidR="00C165B1" w:rsidRDefault="00C165B1" w:rsidP="00C165B1">
      <w:pPr>
        <w:pStyle w:val="PRRHeader"/>
        <w:widowControl w:val="0"/>
        <w:spacing w:after="100" w:afterAutospacing="1"/>
        <w:ind w:left="720" w:firstLine="0"/>
        <w:rPr>
          <w:lang w:val="en-US"/>
        </w:rPr>
      </w:pPr>
      <w:r>
        <w:rPr>
          <w:lang w:val="en-US"/>
        </w:rPr>
        <w:t>NPRR989</w:t>
      </w:r>
      <w:r w:rsidRPr="008A691B">
        <w:rPr>
          <w:lang w:val="en-US"/>
        </w:rPr>
        <w:t xml:space="preserve"> – </w:t>
      </w:r>
      <w:r w:rsidRPr="00AF4207">
        <w:rPr>
          <w:lang w:val="en-US"/>
        </w:rPr>
        <w:t>BESTF-1 Energy Storage Resource Technical Requirements</w:t>
      </w:r>
    </w:p>
    <w:p w14:paraId="58CC89A8" w14:textId="77777777" w:rsidR="00C165B1" w:rsidRPr="008A691B" w:rsidRDefault="00C165B1" w:rsidP="00C165B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9126B01" w14:textId="3A527815" w:rsidR="00C165B1" w:rsidRPr="00C165B1" w:rsidRDefault="00C165B1" w:rsidP="00C165B1">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t xml:space="preserve"> </w:t>
      </w:r>
      <w:r>
        <w:rPr>
          <w:lang w:val="en-US"/>
        </w:rPr>
        <w:t xml:space="preserve"> </w:t>
      </w:r>
      <w:r w:rsidRPr="00C165B1">
        <w:rPr>
          <w:lang w:val="en-US"/>
        </w:rPr>
        <w:t>8.1.1.2.1.4, 8.5.1.1, 8.5.1.2, 8.5.2, and 8.5.2.1</w:t>
      </w:r>
      <w:r w:rsidRPr="00AF4207">
        <w:rPr>
          <w:rFonts w:cs="Arial"/>
        </w:rPr>
        <w:t xml:space="preserve"> </w:t>
      </w:r>
      <w:r>
        <w:rPr>
          <w:lang w:val="en-US"/>
        </w:rPr>
        <w:t>[effective upon system implementation</w:t>
      </w:r>
    </w:p>
    <w:p w14:paraId="2FD8853D" w14:textId="5D43EE1A" w:rsidR="007C4023" w:rsidRPr="008A691B" w:rsidRDefault="007C4023" w:rsidP="007C402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1F6C15A0" w14:textId="77777777" w:rsidR="00546903" w:rsidRDefault="00546903" w:rsidP="00546903">
      <w:pPr>
        <w:pStyle w:val="PRRHeader"/>
        <w:widowControl w:val="0"/>
        <w:spacing w:after="100" w:afterAutospacing="1"/>
        <w:ind w:left="720" w:firstLine="0"/>
        <w:rPr>
          <w:lang w:val="en-US"/>
        </w:rPr>
      </w:pPr>
      <w:r>
        <w:rPr>
          <w:lang w:val="en-US"/>
        </w:rPr>
        <w:t>NPRR930</w:t>
      </w:r>
      <w:r w:rsidRPr="008A691B">
        <w:rPr>
          <w:lang w:val="en-US"/>
        </w:rPr>
        <w:t xml:space="preserve"> – </w:t>
      </w:r>
      <w:r w:rsidRPr="00546903">
        <w:rPr>
          <w:lang w:val="en-US"/>
        </w:rPr>
        <w:t>Process, Pricing, and Cost Recovery for Delayed Resource Outages</w:t>
      </w:r>
    </w:p>
    <w:p w14:paraId="1086544C" w14:textId="77777777" w:rsidR="00546903" w:rsidRPr="008A691B" w:rsidRDefault="00546903" w:rsidP="0054690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C5CB1CB" w14:textId="5073AE77" w:rsidR="00546903" w:rsidRPr="00546903" w:rsidRDefault="00546903" w:rsidP="00546903">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t xml:space="preserve"> </w:t>
      </w:r>
      <w:r w:rsidRPr="0089431B">
        <w:rPr>
          <w:rFonts w:cs="Arial"/>
        </w:rPr>
        <w:t xml:space="preserve"> </w:t>
      </w:r>
      <w:r>
        <w:rPr>
          <w:sz w:val="23"/>
          <w:szCs w:val="23"/>
          <w:lang w:val="en-US"/>
        </w:rPr>
        <w:t>9.5.6</w:t>
      </w:r>
      <w:r>
        <w:t xml:space="preserve"> [unboxed due to system implementation]</w:t>
      </w:r>
    </w:p>
    <w:p w14:paraId="1CBF0B41" w14:textId="3121F30F" w:rsidR="00546903" w:rsidRPr="008A691B" w:rsidRDefault="00546903" w:rsidP="0054690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681F84EB" w14:textId="717C84CA" w:rsidR="00546903" w:rsidRDefault="00546903" w:rsidP="00546903">
      <w:pPr>
        <w:pStyle w:val="PRRHeader"/>
        <w:widowControl w:val="0"/>
        <w:spacing w:after="100" w:afterAutospacing="1"/>
        <w:ind w:left="720" w:firstLine="0"/>
        <w:rPr>
          <w:lang w:val="en-US"/>
        </w:rPr>
      </w:pPr>
      <w:r>
        <w:rPr>
          <w:lang w:val="en-US"/>
        </w:rPr>
        <w:t>NPRR1</w:t>
      </w:r>
      <w:r w:rsidR="00C165B1">
        <w:rPr>
          <w:lang w:val="en-US"/>
        </w:rPr>
        <w:t>018</w:t>
      </w:r>
      <w:r w:rsidRPr="007C4023">
        <w:rPr>
          <w:lang w:val="en-US"/>
        </w:rPr>
        <w:t xml:space="preserve"> –</w:t>
      </w:r>
      <w:r w:rsidRPr="007C4023">
        <w:t xml:space="preserve"> </w:t>
      </w:r>
      <w:r w:rsidR="00C165B1" w:rsidRPr="00C165B1">
        <w:t>Clarifications Regarding ERCOT Suspension or Termination of a QSE and Participation by a Virtual or Emergency QSE</w:t>
      </w:r>
    </w:p>
    <w:p w14:paraId="1C3B1014" w14:textId="7E72A6D0" w:rsidR="00546903" w:rsidRDefault="00546903" w:rsidP="00546903">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C165B1" w:rsidRPr="00C165B1">
        <w:rPr>
          <w:b w:val="0"/>
          <w:lang w:val="en-US"/>
        </w:rPr>
        <w:t xml:space="preserve">clarifies several provisions regarding termination and suspension of a </w:t>
      </w:r>
      <w:r w:rsidR="0091468C">
        <w:rPr>
          <w:b w:val="0"/>
          <w:lang w:val="en-US"/>
        </w:rPr>
        <w:t>Qualified Scheduling Entity (</w:t>
      </w:r>
      <w:r w:rsidR="00C165B1" w:rsidRPr="00C165B1">
        <w:rPr>
          <w:b w:val="0"/>
          <w:lang w:val="en-US"/>
        </w:rPr>
        <w:t>QSE</w:t>
      </w:r>
      <w:r w:rsidR="0091468C">
        <w:rPr>
          <w:b w:val="0"/>
          <w:lang w:val="en-US"/>
        </w:rPr>
        <w:t>)</w:t>
      </w:r>
      <w:r w:rsidR="00C165B1" w:rsidRPr="00C165B1">
        <w:rPr>
          <w:b w:val="0"/>
          <w:lang w:val="en-US"/>
        </w:rPr>
        <w:t xml:space="preserve"> and the ability of a Load Serving Entity (LSE) or Resource Entity to act as a “Virtual QSE” or “Emergency QSE”.</w:t>
      </w:r>
    </w:p>
    <w:p w14:paraId="20E4878A" w14:textId="2A1670AD" w:rsidR="00546903" w:rsidRPr="001E4BC0" w:rsidRDefault="00546903" w:rsidP="00546903">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00C165B1" w:rsidRPr="00C165B1">
        <w:t>16.2.5, 16.2.6.1, and 16.2.6.2</w:t>
      </w:r>
    </w:p>
    <w:p w14:paraId="5B468E3D" w14:textId="77777777" w:rsidR="00C56C96" w:rsidRPr="00C56C96" w:rsidRDefault="00C56C96" w:rsidP="00C1526A">
      <w:pPr>
        <w:widowControl w:val="0"/>
        <w:spacing w:after="100" w:afterAutospacing="1"/>
        <w:outlineLvl w:val="0"/>
        <w:rPr>
          <w:b/>
          <w:u w:val="single"/>
        </w:rPr>
      </w:pPr>
      <w:r w:rsidRPr="00C56C96">
        <w:rPr>
          <w:b/>
          <w:u w:val="single"/>
        </w:rPr>
        <w:t>Administrative Changes:</w:t>
      </w:r>
    </w:p>
    <w:p w14:paraId="3CCB9E31" w14:textId="77777777" w:rsidR="00C56C96" w:rsidRPr="00C56C96" w:rsidRDefault="00C56C96" w:rsidP="00C56C96">
      <w:pPr>
        <w:widowControl w:val="0"/>
        <w:spacing w:after="100" w:afterAutospacing="1"/>
        <w:ind w:left="720"/>
        <w:outlineLvl w:val="0"/>
        <w:rPr>
          <w:b/>
          <w:u w:val="single"/>
        </w:rPr>
      </w:pPr>
      <w:r w:rsidRPr="00C56C96">
        <w:t>Non-substantive administrative changes were made such as spelling corrections, formatting, and correcting Section numbering and references.</w:t>
      </w:r>
    </w:p>
    <w:p w14:paraId="43487296" w14:textId="6B2E0223" w:rsidR="00C56C96" w:rsidRPr="00C56C96" w:rsidRDefault="00C43370" w:rsidP="009A6F7B">
      <w:pPr>
        <w:pStyle w:val="Description"/>
        <w:ind w:left="720"/>
        <w:rPr>
          <w:lang w:eastAsia="x-none"/>
        </w:rPr>
      </w:pPr>
      <w:r>
        <w:rPr>
          <w:rFonts w:eastAsiaTheme="minorHAnsi"/>
          <w:b/>
        </w:rPr>
        <w:t>Revised Subsection</w:t>
      </w:r>
      <w:r w:rsidR="002A5AAE">
        <w:rPr>
          <w:rFonts w:eastAsiaTheme="minorHAnsi"/>
          <w:b/>
        </w:rPr>
        <w:t>s</w:t>
      </w:r>
      <w:r w:rsidR="00C56C96" w:rsidRPr="00C56C96">
        <w:rPr>
          <w:rFonts w:eastAsiaTheme="minorHAnsi"/>
          <w:b/>
        </w:rPr>
        <w:t>:</w:t>
      </w:r>
      <w:r>
        <w:rPr>
          <w:rFonts w:eastAsiaTheme="minorHAnsi"/>
          <w:b/>
        </w:rPr>
        <w:t xml:space="preserve">  8.1.1.4.1</w:t>
      </w:r>
      <w:r w:rsidR="002A5AAE">
        <w:rPr>
          <w:rFonts w:eastAsiaTheme="minorHAnsi"/>
          <w:b/>
        </w:rPr>
        <w:t xml:space="preserve"> and</w:t>
      </w:r>
      <w:bookmarkStart w:id="0" w:name="_GoBack"/>
      <w:bookmarkEnd w:id="0"/>
      <w:r w:rsidR="00247BD6">
        <w:rPr>
          <w:rFonts w:eastAsiaTheme="minorHAnsi"/>
          <w:b/>
        </w:rPr>
        <w:t xml:space="preserve"> 16.11.6.1.6</w:t>
      </w:r>
    </w:p>
    <w:sectPr w:rsidR="00C56C96" w:rsidRPr="00C56C96">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3951" w14:textId="77777777" w:rsidR="00037647" w:rsidRDefault="00037647">
      <w:r>
        <w:separator/>
      </w:r>
    </w:p>
  </w:endnote>
  <w:endnote w:type="continuationSeparator" w:id="0">
    <w:p w14:paraId="58FFBDDA" w14:textId="77777777" w:rsidR="00037647" w:rsidRDefault="0003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2A5AAE">
      <w:rPr>
        <w:noProof/>
        <w:sz w:val="20"/>
        <w:szCs w:val="20"/>
      </w:rPr>
      <w:t>3</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2A5AAE">
      <w:rPr>
        <w:noProof/>
        <w:sz w:val="20"/>
        <w:szCs w:val="20"/>
      </w:rPr>
      <w:t>3</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6940" w14:textId="77777777" w:rsidR="00037647" w:rsidRDefault="00037647">
      <w:r>
        <w:separator/>
      </w:r>
    </w:p>
  </w:footnote>
  <w:footnote w:type="continuationSeparator" w:id="0">
    <w:p w14:paraId="0DF73307" w14:textId="77777777" w:rsidR="00037647" w:rsidRDefault="0003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E60B074" w:rsidR="002A07EB" w:rsidRPr="00243D69" w:rsidRDefault="002A07EB" w:rsidP="00426A25">
    <w:pPr>
      <w:pStyle w:val="SummaryTitle"/>
      <w:rPr>
        <w:rFonts w:ascii="Times New Roman Bold" w:hAnsi="Times New Roman Bold"/>
        <w:b w:val="0"/>
      </w:rPr>
    </w:pPr>
    <w:r>
      <w:rPr>
        <w:rFonts w:ascii="Times New Roman Bold" w:hAnsi="Times New Roman Bold"/>
        <w:b w:val="0"/>
      </w:rPr>
      <w:t>Effective:</w:t>
    </w:r>
    <w:r w:rsidR="00426A25">
      <w:rPr>
        <w:rFonts w:ascii="Times New Roman Bold" w:hAnsi="Times New Roman Bold"/>
        <w:b w:val="0"/>
      </w:rPr>
      <w:t xml:space="preserve">  </w:t>
    </w:r>
    <w:r w:rsidR="007C4023">
      <w:rPr>
        <w:rFonts w:ascii="Times New Roman Bold" w:hAnsi="Times New Roman Bold"/>
        <w:b w:val="0"/>
      </w:rPr>
      <w:t>Ju</w:t>
    </w:r>
    <w:r w:rsidR="00546903">
      <w:rPr>
        <w:rFonts w:ascii="Times New Roman Bold" w:hAnsi="Times New Roman Bold"/>
        <w:b w:val="0"/>
      </w:rPr>
      <w:t>ly 1</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D01"/>
    <w:rsid w:val="00002284"/>
    <w:rsid w:val="00002F9F"/>
    <w:rsid w:val="000070F8"/>
    <w:rsid w:val="00007595"/>
    <w:rsid w:val="000103DE"/>
    <w:rsid w:val="00011267"/>
    <w:rsid w:val="00011C80"/>
    <w:rsid w:val="00011FFD"/>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58C"/>
    <w:rsid w:val="000268FD"/>
    <w:rsid w:val="00030E9C"/>
    <w:rsid w:val="000313F4"/>
    <w:rsid w:val="00031699"/>
    <w:rsid w:val="0003186C"/>
    <w:rsid w:val="00031BEC"/>
    <w:rsid w:val="000333B2"/>
    <w:rsid w:val="00034F5F"/>
    <w:rsid w:val="00035467"/>
    <w:rsid w:val="00035537"/>
    <w:rsid w:val="00036B30"/>
    <w:rsid w:val="00037647"/>
    <w:rsid w:val="00037AC7"/>
    <w:rsid w:val="000400B1"/>
    <w:rsid w:val="00041AA3"/>
    <w:rsid w:val="00043424"/>
    <w:rsid w:val="00043449"/>
    <w:rsid w:val="0004375B"/>
    <w:rsid w:val="00043A4C"/>
    <w:rsid w:val="00043B90"/>
    <w:rsid w:val="0004472D"/>
    <w:rsid w:val="00044F1F"/>
    <w:rsid w:val="000451EA"/>
    <w:rsid w:val="000471AC"/>
    <w:rsid w:val="00050A84"/>
    <w:rsid w:val="00050E5A"/>
    <w:rsid w:val="00051A89"/>
    <w:rsid w:val="00052414"/>
    <w:rsid w:val="0005323F"/>
    <w:rsid w:val="0005532F"/>
    <w:rsid w:val="00056000"/>
    <w:rsid w:val="00056D63"/>
    <w:rsid w:val="00057869"/>
    <w:rsid w:val="00057FB3"/>
    <w:rsid w:val="00062472"/>
    <w:rsid w:val="0006253B"/>
    <w:rsid w:val="0006562C"/>
    <w:rsid w:val="00067066"/>
    <w:rsid w:val="00067247"/>
    <w:rsid w:val="00067EE5"/>
    <w:rsid w:val="00073DB3"/>
    <w:rsid w:val="000751C1"/>
    <w:rsid w:val="0007536B"/>
    <w:rsid w:val="00075F6B"/>
    <w:rsid w:val="0007618B"/>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BE"/>
    <w:rsid w:val="000B72E5"/>
    <w:rsid w:val="000B7482"/>
    <w:rsid w:val="000C03BF"/>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54EF"/>
    <w:rsid w:val="000E5905"/>
    <w:rsid w:val="000E59FC"/>
    <w:rsid w:val="000E7568"/>
    <w:rsid w:val="000F315E"/>
    <w:rsid w:val="000F3192"/>
    <w:rsid w:val="000F37ED"/>
    <w:rsid w:val="000F513D"/>
    <w:rsid w:val="000F63C7"/>
    <w:rsid w:val="000F7868"/>
    <w:rsid w:val="00102F30"/>
    <w:rsid w:val="00104B56"/>
    <w:rsid w:val="001069A4"/>
    <w:rsid w:val="001071D5"/>
    <w:rsid w:val="00110B5F"/>
    <w:rsid w:val="00111EA9"/>
    <w:rsid w:val="001143C8"/>
    <w:rsid w:val="00115810"/>
    <w:rsid w:val="00116415"/>
    <w:rsid w:val="0011703E"/>
    <w:rsid w:val="00117083"/>
    <w:rsid w:val="0012096F"/>
    <w:rsid w:val="00122FE8"/>
    <w:rsid w:val="001234A4"/>
    <w:rsid w:val="00123C95"/>
    <w:rsid w:val="001246AD"/>
    <w:rsid w:val="00125512"/>
    <w:rsid w:val="00125A84"/>
    <w:rsid w:val="0013055E"/>
    <w:rsid w:val="00130668"/>
    <w:rsid w:val="00130CC6"/>
    <w:rsid w:val="001316BC"/>
    <w:rsid w:val="001319B8"/>
    <w:rsid w:val="00133E44"/>
    <w:rsid w:val="00134040"/>
    <w:rsid w:val="00135A65"/>
    <w:rsid w:val="00135A6B"/>
    <w:rsid w:val="0013639D"/>
    <w:rsid w:val="001379BD"/>
    <w:rsid w:val="00141468"/>
    <w:rsid w:val="00142E7D"/>
    <w:rsid w:val="00143A1C"/>
    <w:rsid w:val="00144CBA"/>
    <w:rsid w:val="00147741"/>
    <w:rsid w:val="0014776A"/>
    <w:rsid w:val="00147AEF"/>
    <w:rsid w:val="0015155D"/>
    <w:rsid w:val="001526E3"/>
    <w:rsid w:val="001576DB"/>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923"/>
    <w:rsid w:val="001A1F10"/>
    <w:rsid w:val="001A209E"/>
    <w:rsid w:val="001A2241"/>
    <w:rsid w:val="001A2534"/>
    <w:rsid w:val="001A2A4D"/>
    <w:rsid w:val="001A3418"/>
    <w:rsid w:val="001A564A"/>
    <w:rsid w:val="001B309B"/>
    <w:rsid w:val="001B352A"/>
    <w:rsid w:val="001B38CF"/>
    <w:rsid w:val="001B3B69"/>
    <w:rsid w:val="001B426F"/>
    <w:rsid w:val="001B4BF1"/>
    <w:rsid w:val="001B5514"/>
    <w:rsid w:val="001B5B48"/>
    <w:rsid w:val="001B5DFD"/>
    <w:rsid w:val="001C0C7C"/>
    <w:rsid w:val="001C0F0D"/>
    <w:rsid w:val="001C2CF9"/>
    <w:rsid w:val="001C2CFA"/>
    <w:rsid w:val="001C2F6E"/>
    <w:rsid w:val="001C3DDC"/>
    <w:rsid w:val="001C4141"/>
    <w:rsid w:val="001C6957"/>
    <w:rsid w:val="001C772D"/>
    <w:rsid w:val="001D17AB"/>
    <w:rsid w:val="001D3566"/>
    <w:rsid w:val="001D5282"/>
    <w:rsid w:val="001D6F8D"/>
    <w:rsid w:val="001E07FF"/>
    <w:rsid w:val="001E113C"/>
    <w:rsid w:val="001E27B2"/>
    <w:rsid w:val="001E359E"/>
    <w:rsid w:val="001E35F5"/>
    <w:rsid w:val="001E3CEF"/>
    <w:rsid w:val="001E4BC0"/>
    <w:rsid w:val="001E5E30"/>
    <w:rsid w:val="001E5F88"/>
    <w:rsid w:val="001E6DA7"/>
    <w:rsid w:val="001E7122"/>
    <w:rsid w:val="001F0D9B"/>
    <w:rsid w:val="001F2090"/>
    <w:rsid w:val="001F26D3"/>
    <w:rsid w:val="001F2D3A"/>
    <w:rsid w:val="001F32B0"/>
    <w:rsid w:val="001F33B4"/>
    <w:rsid w:val="001F50E1"/>
    <w:rsid w:val="001F5596"/>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1769"/>
    <w:rsid w:val="002329DD"/>
    <w:rsid w:val="00232F62"/>
    <w:rsid w:val="00233509"/>
    <w:rsid w:val="00234F8A"/>
    <w:rsid w:val="002358E3"/>
    <w:rsid w:val="0023687D"/>
    <w:rsid w:val="00236912"/>
    <w:rsid w:val="0023704C"/>
    <w:rsid w:val="0024099D"/>
    <w:rsid w:val="00241FEB"/>
    <w:rsid w:val="00242705"/>
    <w:rsid w:val="002432DD"/>
    <w:rsid w:val="00243E58"/>
    <w:rsid w:val="00244F48"/>
    <w:rsid w:val="00245F5D"/>
    <w:rsid w:val="00247254"/>
    <w:rsid w:val="00247BD6"/>
    <w:rsid w:val="002529AD"/>
    <w:rsid w:val="00252D62"/>
    <w:rsid w:val="002536D8"/>
    <w:rsid w:val="0025404A"/>
    <w:rsid w:val="00254C98"/>
    <w:rsid w:val="00255005"/>
    <w:rsid w:val="0025611C"/>
    <w:rsid w:val="00256C71"/>
    <w:rsid w:val="00257207"/>
    <w:rsid w:val="0025738F"/>
    <w:rsid w:val="00257F78"/>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402"/>
    <w:rsid w:val="002A292E"/>
    <w:rsid w:val="002A4623"/>
    <w:rsid w:val="002A5229"/>
    <w:rsid w:val="002A5554"/>
    <w:rsid w:val="002A5AAE"/>
    <w:rsid w:val="002A7E7E"/>
    <w:rsid w:val="002B0C5F"/>
    <w:rsid w:val="002B1EE1"/>
    <w:rsid w:val="002B2DB7"/>
    <w:rsid w:val="002B2F20"/>
    <w:rsid w:val="002B3210"/>
    <w:rsid w:val="002B335E"/>
    <w:rsid w:val="002B483E"/>
    <w:rsid w:val="002B49F6"/>
    <w:rsid w:val="002B59D8"/>
    <w:rsid w:val="002B67A7"/>
    <w:rsid w:val="002C0AAA"/>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6B2B"/>
    <w:rsid w:val="00341648"/>
    <w:rsid w:val="003417E5"/>
    <w:rsid w:val="00343358"/>
    <w:rsid w:val="0034411F"/>
    <w:rsid w:val="00344C82"/>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204C"/>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425"/>
    <w:rsid w:val="003A38C0"/>
    <w:rsid w:val="003A3E2A"/>
    <w:rsid w:val="003A3F41"/>
    <w:rsid w:val="003A3FC1"/>
    <w:rsid w:val="003A4DBF"/>
    <w:rsid w:val="003A62EA"/>
    <w:rsid w:val="003A6975"/>
    <w:rsid w:val="003A7183"/>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9F9"/>
    <w:rsid w:val="003D3BCF"/>
    <w:rsid w:val="003D4713"/>
    <w:rsid w:val="003D4CAA"/>
    <w:rsid w:val="003D5BCB"/>
    <w:rsid w:val="003D62AF"/>
    <w:rsid w:val="003D6450"/>
    <w:rsid w:val="003D745A"/>
    <w:rsid w:val="003E018B"/>
    <w:rsid w:val="003E2248"/>
    <w:rsid w:val="003E5C37"/>
    <w:rsid w:val="003E5F30"/>
    <w:rsid w:val="003E6B54"/>
    <w:rsid w:val="003E75B8"/>
    <w:rsid w:val="003F03C1"/>
    <w:rsid w:val="003F1F40"/>
    <w:rsid w:val="003F242F"/>
    <w:rsid w:val="003F277E"/>
    <w:rsid w:val="003F4B92"/>
    <w:rsid w:val="003F5078"/>
    <w:rsid w:val="003F59AA"/>
    <w:rsid w:val="003F62AA"/>
    <w:rsid w:val="003F6392"/>
    <w:rsid w:val="003F63F9"/>
    <w:rsid w:val="003F66F8"/>
    <w:rsid w:val="003F7E14"/>
    <w:rsid w:val="00401126"/>
    <w:rsid w:val="00402A49"/>
    <w:rsid w:val="00403E2D"/>
    <w:rsid w:val="00403FA6"/>
    <w:rsid w:val="004058BD"/>
    <w:rsid w:val="004059C9"/>
    <w:rsid w:val="00405CD6"/>
    <w:rsid w:val="00406919"/>
    <w:rsid w:val="00407563"/>
    <w:rsid w:val="00407EBB"/>
    <w:rsid w:val="00413E89"/>
    <w:rsid w:val="004155F9"/>
    <w:rsid w:val="0041750A"/>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33DB"/>
    <w:rsid w:val="004645D0"/>
    <w:rsid w:val="004647D1"/>
    <w:rsid w:val="004654F7"/>
    <w:rsid w:val="00467B28"/>
    <w:rsid w:val="00471C18"/>
    <w:rsid w:val="00472731"/>
    <w:rsid w:val="00472EBE"/>
    <w:rsid w:val="00473DD1"/>
    <w:rsid w:val="004743F8"/>
    <w:rsid w:val="0047668D"/>
    <w:rsid w:val="00477181"/>
    <w:rsid w:val="00477C6C"/>
    <w:rsid w:val="0048008B"/>
    <w:rsid w:val="00480D5F"/>
    <w:rsid w:val="00482425"/>
    <w:rsid w:val="00483893"/>
    <w:rsid w:val="00483F6C"/>
    <w:rsid w:val="00484643"/>
    <w:rsid w:val="00484E5D"/>
    <w:rsid w:val="0048674A"/>
    <w:rsid w:val="00487552"/>
    <w:rsid w:val="00487661"/>
    <w:rsid w:val="004902B9"/>
    <w:rsid w:val="00490B76"/>
    <w:rsid w:val="00491B50"/>
    <w:rsid w:val="004929C0"/>
    <w:rsid w:val="00495009"/>
    <w:rsid w:val="004975DB"/>
    <w:rsid w:val="004A249F"/>
    <w:rsid w:val="004A25E9"/>
    <w:rsid w:val="004A2867"/>
    <w:rsid w:val="004A29D3"/>
    <w:rsid w:val="004A4CD9"/>
    <w:rsid w:val="004B1288"/>
    <w:rsid w:val="004B5879"/>
    <w:rsid w:val="004B5C7A"/>
    <w:rsid w:val="004B5DE7"/>
    <w:rsid w:val="004B7462"/>
    <w:rsid w:val="004C01A9"/>
    <w:rsid w:val="004C0219"/>
    <w:rsid w:val="004C0291"/>
    <w:rsid w:val="004C100D"/>
    <w:rsid w:val="004C385E"/>
    <w:rsid w:val="004C3ECC"/>
    <w:rsid w:val="004C464B"/>
    <w:rsid w:val="004C70B2"/>
    <w:rsid w:val="004D01DD"/>
    <w:rsid w:val="004D0416"/>
    <w:rsid w:val="004D10F4"/>
    <w:rsid w:val="004D11EC"/>
    <w:rsid w:val="004D143E"/>
    <w:rsid w:val="004D1711"/>
    <w:rsid w:val="004D1C97"/>
    <w:rsid w:val="004D1D44"/>
    <w:rsid w:val="004D3369"/>
    <w:rsid w:val="004D64D5"/>
    <w:rsid w:val="004E0308"/>
    <w:rsid w:val="004E050E"/>
    <w:rsid w:val="004E3235"/>
    <w:rsid w:val="004E44D0"/>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FCB"/>
    <w:rsid w:val="00523B42"/>
    <w:rsid w:val="0052448A"/>
    <w:rsid w:val="005244E6"/>
    <w:rsid w:val="0052555D"/>
    <w:rsid w:val="00527336"/>
    <w:rsid w:val="00527656"/>
    <w:rsid w:val="00530C63"/>
    <w:rsid w:val="00531AA3"/>
    <w:rsid w:val="00531AF6"/>
    <w:rsid w:val="005344AE"/>
    <w:rsid w:val="00534D1F"/>
    <w:rsid w:val="0053686C"/>
    <w:rsid w:val="00536ADD"/>
    <w:rsid w:val="00537774"/>
    <w:rsid w:val="00540202"/>
    <w:rsid w:val="00541721"/>
    <w:rsid w:val="00541846"/>
    <w:rsid w:val="00542AC2"/>
    <w:rsid w:val="005446DE"/>
    <w:rsid w:val="0054492A"/>
    <w:rsid w:val="00545388"/>
    <w:rsid w:val="00546120"/>
    <w:rsid w:val="00546542"/>
    <w:rsid w:val="00546903"/>
    <w:rsid w:val="005470DF"/>
    <w:rsid w:val="00547169"/>
    <w:rsid w:val="00550C61"/>
    <w:rsid w:val="0055215D"/>
    <w:rsid w:val="00553288"/>
    <w:rsid w:val="00553971"/>
    <w:rsid w:val="005543BD"/>
    <w:rsid w:val="005550D2"/>
    <w:rsid w:val="00555C40"/>
    <w:rsid w:val="0055634C"/>
    <w:rsid w:val="0055656F"/>
    <w:rsid w:val="00557F7B"/>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97C53"/>
    <w:rsid w:val="005A2537"/>
    <w:rsid w:val="005A2866"/>
    <w:rsid w:val="005A2CD1"/>
    <w:rsid w:val="005A3032"/>
    <w:rsid w:val="005A3FBD"/>
    <w:rsid w:val="005A5340"/>
    <w:rsid w:val="005A765F"/>
    <w:rsid w:val="005A7F79"/>
    <w:rsid w:val="005B0BDD"/>
    <w:rsid w:val="005B1516"/>
    <w:rsid w:val="005B244A"/>
    <w:rsid w:val="005B3B6D"/>
    <w:rsid w:val="005B4494"/>
    <w:rsid w:val="005B5536"/>
    <w:rsid w:val="005B62C3"/>
    <w:rsid w:val="005B7FEA"/>
    <w:rsid w:val="005C1D71"/>
    <w:rsid w:val="005C2E06"/>
    <w:rsid w:val="005C388B"/>
    <w:rsid w:val="005C3896"/>
    <w:rsid w:val="005C5107"/>
    <w:rsid w:val="005C5A9C"/>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3BE2"/>
    <w:rsid w:val="006143EE"/>
    <w:rsid w:val="00614D62"/>
    <w:rsid w:val="0061545B"/>
    <w:rsid w:val="006200BC"/>
    <w:rsid w:val="00620BE5"/>
    <w:rsid w:val="00620C66"/>
    <w:rsid w:val="006217BE"/>
    <w:rsid w:val="00622048"/>
    <w:rsid w:val="00624437"/>
    <w:rsid w:val="006248A1"/>
    <w:rsid w:val="00626416"/>
    <w:rsid w:val="00626F49"/>
    <w:rsid w:val="006277AB"/>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A02A1"/>
    <w:rsid w:val="006A0A31"/>
    <w:rsid w:val="006A1A58"/>
    <w:rsid w:val="006A1B61"/>
    <w:rsid w:val="006A308C"/>
    <w:rsid w:val="006A3586"/>
    <w:rsid w:val="006A434E"/>
    <w:rsid w:val="006A488B"/>
    <w:rsid w:val="006A6110"/>
    <w:rsid w:val="006A6139"/>
    <w:rsid w:val="006A6A98"/>
    <w:rsid w:val="006B056F"/>
    <w:rsid w:val="006B05C1"/>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3B10"/>
    <w:rsid w:val="006D3C1F"/>
    <w:rsid w:val="006D493E"/>
    <w:rsid w:val="006D4B34"/>
    <w:rsid w:val="006D5999"/>
    <w:rsid w:val="006E17F2"/>
    <w:rsid w:val="006E1E85"/>
    <w:rsid w:val="006E3BE1"/>
    <w:rsid w:val="006E403C"/>
    <w:rsid w:val="006E55CF"/>
    <w:rsid w:val="006E5DC8"/>
    <w:rsid w:val="006E62CB"/>
    <w:rsid w:val="006E7383"/>
    <w:rsid w:val="006F2431"/>
    <w:rsid w:val="006F2D4B"/>
    <w:rsid w:val="006F3D50"/>
    <w:rsid w:val="006F4B9A"/>
    <w:rsid w:val="006F7244"/>
    <w:rsid w:val="007000FF"/>
    <w:rsid w:val="007019F2"/>
    <w:rsid w:val="007022F5"/>
    <w:rsid w:val="00705C17"/>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4C89"/>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A7E25"/>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4023"/>
    <w:rsid w:val="007C42C4"/>
    <w:rsid w:val="007C5B8D"/>
    <w:rsid w:val="007D0A2D"/>
    <w:rsid w:val="007D3AE6"/>
    <w:rsid w:val="007D3DEF"/>
    <w:rsid w:val="007D4420"/>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B20"/>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60CBD"/>
    <w:rsid w:val="0086109A"/>
    <w:rsid w:val="008610CC"/>
    <w:rsid w:val="008620D4"/>
    <w:rsid w:val="00863318"/>
    <w:rsid w:val="00863365"/>
    <w:rsid w:val="00863B95"/>
    <w:rsid w:val="008659EC"/>
    <w:rsid w:val="0086725C"/>
    <w:rsid w:val="008673CA"/>
    <w:rsid w:val="0086744F"/>
    <w:rsid w:val="00870739"/>
    <w:rsid w:val="00872C55"/>
    <w:rsid w:val="00873204"/>
    <w:rsid w:val="008756D2"/>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468C"/>
    <w:rsid w:val="009158F7"/>
    <w:rsid w:val="00917546"/>
    <w:rsid w:val="00917F38"/>
    <w:rsid w:val="0092013F"/>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78A1"/>
    <w:rsid w:val="00981E39"/>
    <w:rsid w:val="00982B94"/>
    <w:rsid w:val="009830CF"/>
    <w:rsid w:val="00985A73"/>
    <w:rsid w:val="00987F2A"/>
    <w:rsid w:val="00990175"/>
    <w:rsid w:val="00990250"/>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6F7B"/>
    <w:rsid w:val="009A7794"/>
    <w:rsid w:val="009B0C75"/>
    <w:rsid w:val="009B0CEB"/>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618E"/>
    <w:rsid w:val="009E620B"/>
    <w:rsid w:val="009E64F4"/>
    <w:rsid w:val="009E6DA3"/>
    <w:rsid w:val="009E79BB"/>
    <w:rsid w:val="009F017A"/>
    <w:rsid w:val="009F491A"/>
    <w:rsid w:val="009F4A62"/>
    <w:rsid w:val="009F5B37"/>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50695"/>
    <w:rsid w:val="00A50E17"/>
    <w:rsid w:val="00A51798"/>
    <w:rsid w:val="00A51FDD"/>
    <w:rsid w:val="00A52CED"/>
    <w:rsid w:val="00A55D46"/>
    <w:rsid w:val="00A56FF3"/>
    <w:rsid w:val="00A57126"/>
    <w:rsid w:val="00A57128"/>
    <w:rsid w:val="00A57828"/>
    <w:rsid w:val="00A60482"/>
    <w:rsid w:val="00A60F1E"/>
    <w:rsid w:val="00A61012"/>
    <w:rsid w:val="00A61EC5"/>
    <w:rsid w:val="00A61F0B"/>
    <w:rsid w:val="00A62DB6"/>
    <w:rsid w:val="00A643C2"/>
    <w:rsid w:val="00A64F90"/>
    <w:rsid w:val="00A6680A"/>
    <w:rsid w:val="00A67D5C"/>
    <w:rsid w:val="00A71DC3"/>
    <w:rsid w:val="00A729CD"/>
    <w:rsid w:val="00A73972"/>
    <w:rsid w:val="00A74A5C"/>
    <w:rsid w:val="00A74AE1"/>
    <w:rsid w:val="00A74EB0"/>
    <w:rsid w:val="00A75EE8"/>
    <w:rsid w:val="00A7667B"/>
    <w:rsid w:val="00A82400"/>
    <w:rsid w:val="00A842D8"/>
    <w:rsid w:val="00A86090"/>
    <w:rsid w:val="00A8663D"/>
    <w:rsid w:val="00A87920"/>
    <w:rsid w:val="00A87A2A"/>
    <w:rsid w:val="00A911DA"/>
    <w:rsid w:val="00A91BC3"/>
    <w:rsid w:val="00A91F43"/>
    <w:rsid w:val="00A93BB4"/>
    <w:rsid w:val="00A94AEB"/>
    <w:rsid w:val="00A964BB"/>
    <w:rsid w:val="00A976EF"/>
    <w:rsid w:val="00AA1966"/>
    <w:rsid w:val="00AA4F64"/>
    <w:rsid w:val="00AA661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CEB"/>
    <w:rsid w:val="00AE4DBB"/>
    <w:rsid w:val="00AE5F1E"/>
    <w:rsid w:val="00AE7EB3"/>
    <w:rsid w:val="00AF06B5"/>
    <w:rsid w:val="00AF0A33"/>
    <w:rsid w:val="00AF0B1F"/>
    <w:rsid w:val="00AF1314"/>
    <w:rsid w:val="00AF1CBF"/>
    <w:rsid w:val="00AF303E"/>
    <w:rsid w:val="00AF313E"/>
    <w:rsid w:val="00AF3621"/>
    <w:rsid w:val="00AF4207"/>
    <w:rsid w:val="00AF4C4A"/>
    <w:rsid w:val="00AF4FE4"/>
    <w:rsid w:val="00AF51CC"/>
    <w:rsid w:val="00AF5256"/>
    <w:rsid w:val="00AF5330"/>
    <w:rsid w:val="00AF68DD"/>
    <w:rsid w:val="00B00106"/>
    <w:rsid w:val="00B01368"/>
    <w:rsid w:val="00B02788"/>
    <w:rsid w:val="00B02975"/>
    <w:rsid w:val="00B02BB0"/>
    <w:rsid w:val="00B02F35"/>
    <w:rsid w:val="00B030E2"/>
    <w:rsid w:val="00B0534B"/>
    <w:rsid w:val="00B06552"/>
    <w:rsid w:val="00B06871"/>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C84"/>
    <w:rsid w:val="00B30C7A"/>
    <w:rsid w:val="00B33795"/>
    <w:rsid w:val="00B33E0E"/>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4654"/>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459D"/>
    <w:rsid w:val="00B7505A"/>
    <w:rsid w:val="00B832A7"/>
    <w:rsid w:val="00B833F2"/>
    <w:rsid w:val="00B848FF"/>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F6D"/>
    <w:rsid w:val="00BA586D"/>
    <w:rsid w:val="00BA5911"/>
    <w:rsid w:val="00BA7B86"/>
    <w:rsid w:val="00BB05CE"/>
    <w:rsid w:val="00BB0DBE"/>
    <w:rsid w:val="00BB1731"/>
    <w:rsid w:val="00BB3948"/>
    <w:rsid w:val="00BB47AB"/>
    <w:rsid w:val="00BB47C9"/>
    <w:rsid w:val="00BB5954"/>
    <w:rsid w:val="00BB6920"/>
    <w:rsid w:val="00BB6A14"/>
    <w:rsid w:val="00BB6E95"/>
    <w:rsid w:val="00BB755D"/>
    <w:rsid w:val="00BC13AB"/>
    <w:rsid w:val="00BC35ED"/>
    <w:rsid w:val="00BC43BC"/>
    <w:rsid w:val="00BC481A"/>
    <w:rsid w:val="00BC7F76"/>
    <w:rsid w:val="00BD0CE1"/>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65EE"/>
    <w:rsid w:val="00C113F0"/>
    <w:rsid w:val="00C12632"/>
    <w:rsid w:val="00C13C14"/>
    <w:rsid w:val="00C147E0"/>
    <w:rsid w:val="00C148FE"/>
    <w:rsid w:val="00C1526A"/>
    <w:rsid w:val="00C15343"/>
    <w:rsid w:val="00C15C39"/>
    <w:rsid w:val="00C165B1"/>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A0D"/>
    <w:rsid w:val="00C36BB2"/>
    <w:rsid w:val="00C36E80"/>
    <w:rsid w:val="00C40839"/>
    <w:rsid w:val="00C41861"/>
    <w:rsid w:val="00C41BB4"/>
    <w:rsid w:val="00C4290F"/>
    <w:rsid w:val="00C431FC"/>
    <w:rsid w:val="00C43370"/>
    <w:rsid w:val="00C4401D"/>
    <w:rsid w:val="00C442B5"/>
    <w:rsid w:val="00C44DE8"/>
    <w:rsid w:val="00C44F5F"/>
    <w:rsid w:val="00C45732"/>
    <w:rsid w:val="00C473BE"/>
    <w:rsid w:val="00C47450"/>
    <w:rsid w:val="00C5182E"/>
    <w:rsid w:val="00C51836"/>
    <w:rsid w:val="00C528B4"/>
    <w:rsid w:val="00C52BEA"/>
    <w:rsid w:val="00C537B3"/>
    <w:rsid w:val="00C54110"/>
    <w:rsid w:val="00C54C62"/>
    <w:rsid w:val="00C54CC9"/>
    <w:rsid w:val="00C56C96"/>
    <w:rsid w:val="00C56CCA"/>
    <w:rsid w:val="00C57702"/>
    <w:rsid w:val="00C57B37"/>
    <w:rsid w:val="00C61756"/>
    <w:rsid w:val="00C61B95"/>
    <w:rsid w:val="00C61D44"/>
    <w:rsid w:val="00C6372A"/>
    <w:rsid w:val="00C63995"/>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A43"/>
    <w:rsid w:val="00C97345"/>
    <w:rsid w:val="00C97CA8"/>
    <w:rsid w:val="00CA127D"/>
    <w:rsid w:val="00CA2DE7"/>
    <w:rsid w:val="00CA357B"/>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79F3"/>
    <w:rsid w:val="00CC7B20"/>
    <w:rsid w:val="00CD0618"/>
    <w:rsid w:val="00CD16F8"/>
    <w:rsid w:val="00CD34FF"/>
    <w:rsid w:val="00CD4C85"/>
    <w:rsid w:val="00CD57D1"/>
    <w:rsid w:val="00CD5B0B"/>
    <w:rsid w:val="00CD6668"/>
    <w:rsid w:val="00CD76F2"/>
    <w:rsid w:val="00CD77B7"/>
    <w:rsid w:val="00CE2BC4"/>
    <w:rsid w:val="00CE35B4"/>
    <w:rsid w:val="00CE39D5"/>
    <w:rsid w:val="00CE3A97"/>
    <w:rsid w:val="00CE45FA"/>
    <w:rsid w:val="00CE7880"/>
    <w:rsid w:val="00CE7C61"/>
    <w:rsid w:val="00CF0E34"/>
    <w:rsid w:val="00CF3766"/>
    <w:rsid w:val="00CF4AC9"/>
    <w:rsid w:val="00CF4DDB"/>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4EC"/>
    <w:rsid w:val="00D30521"/>
    <w:rsid w:val="00D30E97"/>
    <w:rsid w:val="00D3254A"/>
    <w:rsid w:val="00D32C54"/>
    <w:rsid w:val="00D33A7D"/>
    <w:rsid w:val="00D367BE"/>
    <w:rsid w:val="00D36847"/>
    <w:rsid w:val="00D3742B"/>
    <w:rsid w:val="00D37F20"/>
    <w:rsid w:val="00D402A3"/>
    <w:rsid w:val="00D40839"/>
    <w:rsid w:val="00D41B33"/>
    <w:rsid w:val="00D4352E"/>
    <w:rsid w:val="00D445D6"/>
    <w:rsid w:val="00D46879"/>
    <w:rsid w:val="00D46C7A"/>
    <w:rsid w:val="00D4734F"/>
    <w:rsid w:val="00D50091"/>
    <w:rsid w:val="00D51A47"/>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2D93"/>
    <w:rsid w:val="00D830F0"/>
    <w:rsid w:val="00D84CF9"/>
    <w:rsid w:val="00D868B7"/>
    <w:rsid w:val="00D87CB0"/>
    <w:rsid w:val="00D87D6E"/>
    <w:rsid w:val="00D91B61"/>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4F9C"/>
    <w:rsid w:val="00DF5D6F"/>
    <w:rsid w:val="00DF5E4D"/>
    <w:rsid w:val="00DF73BC"/>
    <w:rsid w:val="00DF7B5C"/>
    <w:rsid w:val="00DF7FDF"/>
    <w:rsid w:val="00E00ED5"/>
    <w:rsid w:val="00E01BD8"/>
    <w:rsid w:val="00E02799"/>
    <w:rsid w:val="00E03B54"/>
    <w:rsid w:val="00E05037"/>
    <w:rsid w:val="00E066AF"/>
    <w:rsid w:val="00E06B8B"/>
    <w:rsid w:val="00E06CA3"/>
    <w:rsid w:val="00E1242A"/>
    <w:rsid w:val="00E139F5"/>
    <w:rsid w:val="00E1607F"/>
    <w:rsid w:val="00E163D8"/>
    <w:rsid w:val="00E1647D"/>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2DB"/>
    <w:rsid w:val="00E6045B"/>
    <w:rsid w:val="00E60758"/>
    <w:rsid w:val="00E608B0"/>
    <w:rsid w:val="00E61C6D"/>
    <w:rsid w:val="00E63DA9"/>
    <w:rsid w:val="00E64638"/>
    <w:rsid w:val="00E65BBB"/>
    <w:rsid w:val="00E65BCD"/>
    <w:rsid w:val="00E6764C"/>
    <w:rsid w:val="00E677FF"/>
    <w:rsid w:val="00E67FF6"/>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1F90"/>
    <w:rsid w:val="00EA3DBD"/>
    <w:rsid w:val="00EA3F38"/>
    <w:rsid w:val="00EA3FCD"/>
    <w:rsid w:val="00EA51F0"/>
    <w:rsid w:val="00EA5C8D"/>
    <w:rsid w:val="00EA6A67"/>
    <w:rsid w:val="00EA7760"/>
    <w:rsid w:val="00EA7B05"/>
    <w:rsid w:val="00EA7E60"/>
    <w:rsid w:val="00EB0AE1"/>
    <w:rsid w:val="00EB6D61"/>
    <w:rsid w:val="00EB70B2"/>
    <w:rsid w:val="00EC0CAF"/>
    <w:rsid w:val="00EC1121"/>
    <w:rsid w:val="00EC115C"/>
    <w:rsid w:val="00EC1BCF"/>
    <w:rsid w:val="00EC2EFD"/>
    <w:rsid w:val="00EC35CF"/>
    <w:rsid w:val="00EC3D58"/>
    <w:rsid w:val="00EC4740"/>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F267A"/>
    <w:rsid w:val="00EF2DEF"/>
    <w:rsid w:val="00EF7E18"/>
    <w:rsid w:val="00F0073B"/>
    <w:rsid w:val="00F00989"/>
    <w:rsid w:val="00F03CC4"/>
    <w:rsid w:val="00F040D6"/>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2913"/>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FE1"/>
    <w:rsid w:val="00FE15BC"/>
    <w:rsid w:val="00FE53CC"/>
    <w:rsid w:val="00FE56F6"/>
    <w:rsid w:val="00FE5C81"/>
    <w:rsid w:val="00FE6898"/>
    <w:rsid w:val="00FE757A"/>
    <w:rsid w:val="00FF02A6"/>
    <w:rsid w:val="00FF09BB"/>
    <w:rsid w:val="00FF286E"/>
    <w:rsid w:val="00FF2D80"/>
    <w:rsid w:val="00FF335D"/>
    <w:rsid w:val="00FF4C33"/>
    <w:rsid w:val="00FF55CF"/>
    <w:rsid w:val="00FF5A31"/>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F147E3"/>
  <w15:chartTrackingRefBased/>
  <w15:docId w15:val="{A4236C5B-06F5-430C-904C-FB801A3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0">
    <w:name w:val="Char3"/>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0">
    <w:name w:val="Char"/>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2ABC-FA98-45F2-8E0C-EAA274FC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2020-06-25T15:46:00Z</dcterms:created>
  <dcterms:modified xsi:type="dcterms:W3CDTF">2020-06-25T15:46:00Z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