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442" w:type="pct"/>
        <w:tblCellMar>
          <w:left w:w="0" w:type="dxa"/>
          <w:right w:w="0" w:type="dxa"/>
        </w:tblCellMar>
        <w:tblLook w:val="04A0" w:firstRow="1" w:lastRow="0" w:firstColumn="1" w:lastColumn="0" w:noHBand="0" w:noVBand="1"/>
      </w:tblPr>
      <w:tblGrid>
        <w:gridCol w:w="1145"/>
        <w:gridCol w:w="5072"/>
        <w:gridCol w:w="916"/>
        <w:gridCol w:w="2444"/>
      </w:tblGrid>
      <w:tr w:rsidR="00013103" w:rsidTr="00013103">
        <w:tc>
          <w:tcPr>
            <w:tcW w:w="598" w:type="pct"/>
            <w:tcBorders>
              <w:top w:val="single" w:sz="8" w:space="0" w:color="auto"/>
              <w:left w:val="single" w:sz="8" w:space="0" w:color="auto"/>
              <w:bottom w:val="single" w:sz="4" w:space="0" w:color="auto"/>
              <w:right w:val="single" w:sz="8" w:space="0" w:color="auto"/>
            </w:tcBorders>
            <w:shd w:val="clear" w:color="auto" w:fill="366092"/>
            <w:tcMar>
              <w:top w:w="0" w:type="dxa"/>
              <w:left w:w="108" w:type="dxa"/>
              <w:bottom w:w="0" w:type="dxa"/>
              <w:right w:w="108" w:type="dxa"/>
            </w:tcMar>
            <w:hideMark/>
          </w:tcPr>
          <w:p w:rsidR="00013103" w:rsidRDefault="00013103">
            <w:pPr>
              <w:rPr>
                <w:b/>
                <w:bCs/>
                <w:color w:val="FFFFFF"/>
                <w:sz w:val="20"/>
                <w:szCs w:val="20"/>
              </w:rPr>
            </w:pPr>
            <w:r>
              <w:rPr>
                <w:b/>
                <w:bCs/>
                <w:color w:val="FFFFFF"/>
                <w:sz w:val="20"/>
                <w:szCs w:val="20"/>
              </w:rPr>
              <w:t>REV REQ NO.</w:t>
            </w:r>
          </w:p>
        </w:tc>
        <w:tc>
          <w:tcPr>
            <w:tcW w:w="2648"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013103" w:rsidRDefault="00013103">
            <w:pPr>
              <w:rPr>
                <w:b/>
                <w:bCs/>
                <w:color w:val="FFFFFF"/>
                <w:sz w:val="20"/>
                <w:szCs w:val="20"/>
              </w:rPr>
            </w:pPr>
            <w:r>
              <w:rPr>
                <w:b/>
                <w:bCs/>
                <w:color w:val="FFFFFF"/>
                <w:sz w:val="20"/>
                <w:szCs w:val="20"/>
              </w:rPr>
              <w:t>DESCRIPTION</w:t>
            </w:r>
          </w:p>
        </w:tc>
        <w:tc>
          <w:tcPr>
            <w:tcW w:w="478"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013103" w:rsidRDefault="00013103">
            <w:pPr>
              <w:jc w:val="center"/>
              <w:rPr>
                <w:b/>
                <w:bCs/>
                <w:color w:val="FFFFFF"/>
                <w:sz w:val="20"/>
                <w:szCs w:val="20"/>
              </w:rPr>
            </w:pPr>
            <w:r>
              <w:rPr>
                <w:b/>
                <w:bCs/>
                <w:color w:val="FFFFFF"/>
                <w:sz w:val="20"/>
                <w:szCs w:val="20"/>
              </w:rPr>
              <w:t>URGENT</w:t>
            </w:r>
          </w:p>
        </w:tc>
        <w:tc>
          <w:tcPr>
            <w:tcW w:w="1276" w:type="pct"/>
            <w:tcBorders>
              <w:top w:val="single" w:sz="8" w:space="0" w:color="auto"/>
              <w:left w:val="nil"/>
              <w:bottom w:val="single" w:sz="4" w:space="0" w:color="auto"/>
              <w:right w:val="single" w:sz="8" w:space="0" w:color="auto"/>
            </w:tcBorders>
            <w:shd w:val="clear" w:color="auto" w:fill="366092"/>
            <w:tcMar>
              <w:top w:w="0" w:type="dxa"/>
              <w:left w:w="108" w:type="dxa"/>
              <w:bottom w:w="0" w:type="dxa"/>
              <w:right w:w="108" w:type="dxa"/>
            </w:tcMar>
            <w:hideMark/>
          </w:tcPr>
          <w:p w:rsidR="00013103" w:rsidRDefault="00013103">
            <w:pPr>
              <w:rPr>
                <w:b/>
                <w:bCs/>
                <w:color w:val="FFFFFF"/>
                <w:sz w:val="20"/>
                <w:szCs w:val="20"/>
              </w:rPr>
            </w:pPr>
            <w:r>
              <w:rPr>
                <w:b/>
                <w:bCs/>
                <w:color w:val="FFFFFF"/>
                <w:sz w:val="20"/>
                <w:szCs w:val="20"/>
              </w:rPr>
              <w:t>ERCOT Opinion</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903NPRR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sidRPr="00013103">
              <w:rPr>
                <w:b/>
                <w:bCs/>
                <w:color w:val="000000"/>
                <w:sz w:val="20"/>
                <w:szCs w:val="20"/>
              </w:rPr>
              <w:t xml:space="preserve">Day-Ahead Market Timing Deviations.  </w:t>
            </w:r>
            <w:r w:rsidRPr="00013103">
              <w:rPr>
                <w:bCs/>
                <w:color w:val="000000"/>
                <w:sz w:val="20"/>
                <w:szCs w:val="20"/>
              </w:rPr>
              <w:t>This Nodal Protocol Revision Request (NPRR) clarifies the deviations that may occur due to Day-Ahead Market (DAM) delays, and adds language requiring ERCOT to issue a Market Notice for any act or omission that it takes to ensure that the DAM process completes by 1900.  If the 1000 DAM submission deadline or the 1330 DAM publishing deadline is delayed, ERCOT will enter an Advisory as soon as possible.  However, if additional actions and/or omissions are taken to ensure that DAM publishes for that Operating Day, ERCOT will issue a Market Notice no later than 1700 Central Prevailing Time (CPT) on the next Business Day.  ERCOT intends to take any reasonable action necessary to avoid aborting DAM.  Further, this NPRR memorializes 1900 as the latest point in time that DAM can publish.  In the event that DAM must be aborted, this particular time was chosen to accommodate the time necessary to execute a Supplemental Ancillary Services Market (SASM) and/or Reliability Unit Commitment (RUC) prior to the start of the Operating Day.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w:t>
            </w:r>
            <w:r>
              <w:rPr>
                <w:sz w:val="20"/>
                <w:szCs w:val="20"/>
              </w:rPr>
              <w:t>COT supports approval of NPRR903</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973NPRR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sidRPr="00013103">
              <w:rPr>
                <w:b/>
                <w:bCs/>
                <w:color w:val="000000"/>
                <w:sz w:val="20"/>
                <w:szCs w:val="20"/>
              </w:rPr>
              <w:t xml:space="preserve">Add Definitions for Generator Step-Up and Main Power Transformer.  </w:t>
            </w:r>
            <w:r w:rsidRPr="00013103">
              <w:rPr>
                <w:bCs/>
                <w:color w:val="000000"/>
                <w:sz w:val="20"/>
                <w:szCs w:val="20"/>
              </w:rPr>
              <w:t>This Nodal Protocol Revision Request (NPRR) adds definitions for Generator Step-Up (GSU) and Main Power Transformer (MPT) to the Nodal Protocols and clarifies their uses.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w:t>
            </w:r>
            <w:r>
              <w:rPr>
                <w:sz w:val="20"/>
                <w:szCs w:val="20"/>
              </w:rPr>
              <w:t>COT supports approval of NPRR973</w:t>
            </w:r>
          </w:p>
        </w:tc>
      </w:tr>
      <w:tr w:rsidR="00013103" w:rsidTr="00013103">
        <w:trPr>
          <w:trHeight w:val="1547"/>
        </w:trPr>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983NPRR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 xml:space="preserve">Delete Remaining Grey-Boxed Language Associated with NPRR257, Synchronization with Nodal Operating Guide Section 9, Monitoring Programs and Changes to Posting Requirements of Documents Considered CEII.  </w:t>
            </w:r>
            <w:r>
              <w:rPr>
                <w:color w:val="000000"/>
                <w:sz w:val="20"/>
                <w:szCs w:val="20"/>
              </w:rPr>
              <w:t>This Nodal Protocol Revision Request (NPRR) deletes all remaining grey-boxed language associated with NPRR257.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103" w:rsidRDefault="00013103" w:rsidP="004E4A88">
            <w:pPr>
              <w:rPr>
                <w:sz w:val="20"/>
                <w:szCs w:val="20"/>
              </w:rPr>
            </w:pPr>
            <w:r>
              <w:rPr>
                <w:sz w:val="20"/>
                <w:szCs w:val="20"/>
              </w:rPr>
              <w:t>ERCOT supports approval of NPRR983</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990NPRR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sidRPr="00013103">
              <w:rPr>
                <w:b/>
                <w:bCs/>
                <w:color w:val="000000"/>
                <w:sz w:val="20"/>
                <w:szCs w:val="20"/>
              </w:rPr>
              <w:t xml:space="preserve">Relocation of Combined Cycle Train to Resource Attribute.  </w:t>
            </w:r>
            <w:r w:rsidRPr="00013103">
              <w:rPr>
                <w:bCs/>
                <w:color w:val="000000"/>
                <w:sz w:val="20"/>
                <w:szCs w:val="20"/>
              </w:rPr>
              <w:t>This Nodal Protocol Revision Request (NPRR) deletes the remaining grey-box for NPRR889, RTF-1 Replace Non-Modeled Generator with Settlement Only Generator, and relocates the defined term Combined Cycle Train from underneath Resource to Resource Attribute.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w:t>
            </w:r>
            <w:r>
              <w:rPr>
                <w:sz w:val="20"/>
                <w:szCs w:val="20"/>
              </w:rPr>
              <w:t>COT supports approval of NPRR990</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992NPRR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color w:val="000000"/>
                <w:sz w:val="20"/>
                <w:szCs w:val="20"/>
              </w:rPr>
            </w:pPr>
            <w:r>
              <w:rPr>
                <w:b/>
                <w:bCs/>
                <w:color w:val="000000"/>
                <w:sz w:val="20"/>
                <w:szCs w:val="20"/>
              </w:rPr>
              <w:t>Updated Day-Ahead Liability for NPRR863, Creation of ERCOT Contingency Reserve Service and Revisions to Responsive Reserve.</w:t>
            </w:r>
            <w:r>
              <w:rPr>
                <w:color w:val="000000"/>
                <w:sz w:val="20"/>
                <w:szCs w:val="20"/>
              </w:rPr>
              <w:t>  This Nodal Protocol Revision Request (NPRR) updates language in Section 16.11.4.3.1, Day-Ahead Liability Estimate, to reflect changes implemented in NPRR863, Creation of ERCOT Contingency Reserve Service and Revisions to Responsive Reserve.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ERCOT supports approval of NPRR992</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993NPRR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color w:val="000000"/>
                <w:sz w:val="20"/>
                <w:szCs w:val="20"/>
              </w:rPr>
            </w:pPr>
            <w:r>
              <w:rPr>
                <w:b/>
                <w:bCs/>
                <w:color w:val="000000"/>
                <w:sz w:val="20"/>
                <w:szCs w:val="20"/>
              </w:rPr>
              <w:t>Grey Box Resolution re NPRR902 and NPRR928.</w:t>
            </w:r>
            <w:r>
              <w:rPr>
                <w:color w:val="000000"/>
                <w:sz w:val="20"/>
                <w:szCs w:val="20"/>
              </w:rPr>
              <w:t>  This Nodal Protocol Revision Request (NPRR) addresses an anticipated redundancy and use of a defined term, both of which were irresolvable during the concurrent approval processes for NPRR902, ERCOT Critical Energy Infrastructure Information, and NPRR928, Cybersecurity Incident Notification.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013103" w:rsidRDefault="00013103" w:rsidP="004E4A88">
            <w:pPr>
              <w:rPr>
                <w:sz w:val="20"/>
                <w:szCs w:val="20"/>
              </w:rPr>
            </w:pPr>
            <w:r>
              <w:rPr>
                <w:sz w:val="20"/>
                <w:szCs w:val="20"/>
              </w:rPr>
              <w:t>ERCOT supports approval of NPRR993</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196NOGRR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color w:val="000000"/>
                <w:sz w:val="20"/>
                <w:szCs w:val="20"/>
              </w:rPr>
            </w:pPr>
            <w:r>
              <w:rPr>
                <w:rFonts w:cs="Calibri"/>
                <w:b/>
                <w:bCs/>
                <w:color w:val="000000"/>
                <w:sz w:val="20"/>
                <w:szCs w:val="20"/>
              </w:rPr>
              <w:t xml:space="preserve">Related to NPRR973, Add Definitions for Generator Step-Up and Main Power Transformer.  </w:t>
            </w:r>
            <w:r>
              <w:rPr>
                <w:rFonts w:cs="Calibri"/>
                <w:color w:val="000000"/>
                <w:sz w:val="20"/>
                <w:szCs w:val="20"/>
              </w:rPr>
              <w:t xml:space="preserve">This Nodal Operating Guide Revision Request (NOGRR) clarifies language by use </w:t>
            </w:r>
            <w:r>
              <w:rPr>
                <w:rFonts w:cs="Calibri"/>
                <w:color w:val="000000"/>
                <w:sz w:val="20"/>
                <w:szCs w:val="20"/>
              </w:rPr>
              <w:lastRenderedPageBreak/>
              <w:t>of defined terms Generation Step-Up (GSU) and Main Power Transformer (MPT).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jc w:val="center"/>
              <w:rPr>
                <w:rFonts w:cs="Calibri"/>
                <w:color w:val="000000"/>
                <w:sz w:val="20"/>
                <w:szCs w:val="20"/>
              </w:rPr>
            </w:pPr>
            <w:r>
              <w:rPr>
                <w:rFonts w:cs="Calibri"/>
                <w:color w:val="000000"/>
                <w:sz w:val="20"/>
                <w:szCs w:val="20"/>
              </w:rPr>
              <w:lastRenderedPageBreak/>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sz w:val="20"/>
                <w:szCs w:val="20"/>
              </w:rPr>
            </w:pPr>
            <w:r>
              <w:rPr>
                <w:sz w:val="20"/>
                <w:szCs w:val="20"/>
              </w:rPr>
              <w:t>ERCOT supports approval of NOGRR196</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200NOGRR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color w:val="000000"/>
                <w:sz w:val="20"/>
                <w:szCs w:val="20"/>
              </w:rPr>
            </w:pPr>
            <w:r>
              <w:rPr>
                <w:rFonts w:cs="Calibri"/>
                <w:b/>
                <w:bCs/>
                <w:color w:val="000000"/>
                <w:sz w:val="20"/>
                <w:szCs w:val="20"/>
              </w:rPr>
              <w:t>Delete Remaining Grey-Boxed Language Associated with NOGRR025, Monitoring Programs for QSEs, TSPs, and ERCOT.</w:t>
            </w:r>
            <w:r>
              <w:rPr>
                <w:rFonts w:cs="Calibri"/>
                <w:color w:val="000000"/>
                <w:sz w:val="20"/>
                <w:szCs w:val="20"/>
              </w:rPr>
              <w:t xml:space="preserve">  This Nodal Operating Guide Revision Request (NOGRR) deletes all remaining grey-boxed language associated with NOGRR025.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sz w:val="20"/>
                <w:szCs w:val="20"/>
              </w:rPr>
            </w:pPr>
            <w:r>
              <w:rPr>
                <w:sz w:val="20"/>
                <w:szCs w:val="20"/>
              </w:rPr>
              <w:t>ERCOT supports approval of NOGRR200</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202NOGRR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sidRPr="00013103">
              <w:rPr>
                <w:b/>
                <w:bCs/>
                <w:color w:val="000000"/>
                <w:sz w:val="20"/>
                <w:szCs w:val="20"/>
              </w:rPr>
              <w:t xml:space="preserve">BESTF-7 Self-Limiting Facilities and Self-Limiting Resources.  </w:t>
            </w:r>
            <w:r w:rsidRPr="00013103">
              <w:rPr>
                <w:bCs/>
                <w:color w:val="000000"/>
                <w:sz w:val="20"/>
                <w:szCs w:val="20"/>
              </w:rPr>
              <w:t xml:space="preserve">This Nodal Protocol Revision Request (NPRR) establishes rules for and enables the integration of Self-Limiting Facilities and Self-Limiting Resources into the ERCOT markets and core systems, as described in Key Topic and Concept #13 which achieved consensus support at the Battery Energy Storage Task Force (BESTF) and was approved by the </w:t>
            </w:r>
            <w:proofErr w:type="spellStart"/>
            <w:r w:rsidRPr="00013103">
              <w:rPr>
                <w:bCs/>
                <w:color w:val="000000"/>
                <w:sz w:val="20"/>
                <w:szCs w:val="20"/>
              </w:rPr>
              <w:t>Techical</w:t>
            </w:r>
            <w:proofErr w:type="spellEnd"/>
            <w:r w:rsidRPr="00013103">
              <w:rPr>
                <w:bCs/>
                <w:color w:val="000000"/>
                <w:sz w:val="20"/>
                <w:szCs w:val="20"/>
              </w:rPr>
              <w:t xml:space="preserve"> Advisory Committee (TAC) by email vote which concluded on April 3, 2020.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ERC</w:t>
            </w:r>
            <w:r>
              <w:rPr>
                <w:sz w:val="20"/>
                <w:szCs w:val="20"/>
              </w:rPr>
              <w:t>OT supports approval of NOGRR202</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205NOGRR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sidRPr="00013103">
              <w:rPr>
                <w:b/>
                <w:bCs/>
                <w:color w:val="000000"/>
                <w:sz w:val="20"/>
                <w:szCs w:val="20"/>
              </w:rPr>
              <w:t xml:space="preserve">Clarification to Grey-boxed Language in Section 4.8.1.  </w:t>
            </w:r>
            <w:r w:rsidRPr="00013103">
              <w:rPr>
                <w:bCs/>
                <w:color w:val="000000"/>
                <w:sz w:val="20"/>
                <w:szCs w:val="20"/>
              </w:rPr>
              <w:t>This Nodal Operating Guide Revision Request (NOGRR) clarifies grey-boxed language in Section 4.8.1 in order to maintain consistency with revisions adopted via NOGRR197, Align Responsive Reserve (RRS) Manual Deployment Requirements with Current Practice, following the November 1, 2019 incorporation of NOGRR191, Related to NPRR939, Modification to Load Resources Providing RRS to Maintain Minimum PRC on Generators During Scarcity Conditions, into the Nodal Operating Guide.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ERC</w:t>
            </w:r>
            <w:r>
              <w:rPr>
                <w:sz w:val="20"/>
                <w:szCs w:val="20"/>
              </w:rPr>
              <w:t>OT supports approval of NOGRR205</w:t>
            </w:r>
            <w:bookmarkStart w:id="0" w:name="_GoBack"/>
            <w:bookmarkEnd w:id="0"/>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074PGRR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color w:val="000000"/>
                <w:sz w:val="20"/>
                <w:szCs w:val="20"/>
              </w:rPr>
            </w:pPr>
            <w:r>
              <w:rPr>
                <w:rFonts w:cs="Calibri"/>
                <w:b/>
                <w:bCs/>
                <w:color w:val="000000"/>
                <w:sz w:val="20"/>
                <w:szCs w:val="20"/>
              </w:rPr>
              <w:t xml:space="preserve">Related to NPRR973, Add Definitions for Generator Step-Up and Main Power Transformer.  </w:t>
            </w:r>
            <w:r>
              <w:rPr>
                <w:rFonts w:cs="Calibri"/>
                <w:color w:val="000000"/>
                <w:sz w:val="20"/>
                <w:szCs w:val="20"/>
              </w:rPr>
              <w:t>This Planning Guide Revision Request (PGGRR) clarifies language by use of defined terms Generation Step-Up (GSU) and Main Power Transformer (MPT).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sz w:val="20"/>
                <w:szCs w:val="20"/>
              </w:rPr>
            </w:pPr>
            <w:r>
              <w:rPr>
                <w:sz w:val="20"/>
                <w:szCs w:val="20"/>
              </w:rPr>
              <w:t>ERCOT supports approval of PGRR074</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078PGRR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 xml:space="preserve">Market Data Transparency Update for Planning Postings.  </w:t>
            </w:r>
            <w:r>
              <w:rPr>
                <w:rFonts w:cs="Calibri"/>
                <w:color w:val="000000"/>
                <w:sz w:val="20"/>
                <w:szCs w:val="20"/>
              </w:rPr>
              <w:t>This Planning Guide Revision Request (PGRR) specifies that data related to the Regional Transmission Plan and Special Planning Studies that are considered Protected Information per Nodal Protocol Section 1.3.1.1, Items Considered Protected Information, may be posted to the Market Information System (MIS) Certified Area for Transmission Service Providers (TSPs). An update for Resource Asset Registration Form (RARF) Generator Data postings to MIS is also included.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sz w:val="20"/>
                <w:szCs w:val="20"/>
              </w:rPr>
            </w:pPr>
            <w:r>
              <w:rPr>
                <w:sz w:val="20"/>
                <w:szCs w:val="20"/>
              </w:rPr>
              <w:t>ERCOT supports approval of PGRR078</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080PGRR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color w:val="000000"/>
                <w:sz w:val="20"/>
                <w:szCs w:val="20"/>
              </w:rPr>
            </w:pPr>
            <w:r>
              <w:rPr>
                <w:rFonts w:cs="Calibri"/>
                <w:b/>
                <w:bCs/>
                <w:color w:val="000000"/>
                <w:sz w:val="20"/>
                <w:szCs w:val="20"/>
              </w:rPr>
              <w:t>Updated Responsibilities for Performing GMD Vulnerability Assessments</w:t>
            </w:r>
            <w:r>
              <w:rPr>
                <w:rFonts w:cs="Calibri"/>
                <w:color w:val="000000"/>
                <w:sz w:val="20"/>
                <w:szCs w:val="20"/>
              </w:rPr>
              <w:t>.  This Planning Guide Revision Request (PGRR) aligns the Planning Guide with North American Electric Reliability Corporation (NERC) Reliability Standard TPL-007-4, Transmission System Planned Performance for Geomagnetic Disturbance Events, by identifying responsibilities for performing studies needed to complete benchmark and supplemental Geomagnetic Disturbance (GMD) vulnerability assessments.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sz w:val="20"/>
                <w:szCs w:val="20"/>
              </w:rPr>
            </w:pPr>
            <w:r>
              <w:rPr>
                <w:sz w:val="20"/>
                <w:szCs w:val="20"/>
              </w:rPr>
              <w:t>ERCOT supports approval of PGRR080</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022RRGRR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color w:val="000000"/>
                <w:sz w:val="20"/>
                <w:szCs w:val="20"/>
              </w:rPr>
            </w:pPr>
            <w:r>
              <w:rPr>
                <w:rFonts w:cs="Calibri"/>
                <w:b/>
                <w:bCs/>
                <w:color w:val="000000"/>
                <w:sz w:val="20"/>
                <w:szCs w:val="20"/>
              </w:rPr>
              <w:t xml:space="preserve">Related to NPRR973, Add Definitions for Generator Step-Up and Main Power Transformer.  </w:t>
            </w:r>
            <w:r>
              <w:rPr>
                <w:rFonts w:cs="Calibri"/>
                <w:color w:val="000000"/>
                <w:sz w:val="20"/>
                <w:szCs w:val="20"/>
              </w:rPr>
              <w:t>This Resource Registration Glossary Revision Request (RRGGRR) clarifies language by use of defined terms Generation Step-Up (GSU) and Main Power Transformer (MPT).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sz w:val="20"/>
                <w:szCs w:val="20"/>
              </w:rPr>
            </w:pPr>
            <w:r>
              <w:rPr>
                <w:sz w:val="20"/>
                <w:szCs w:val="20"/>
              </w:rPr>
              <w:t>ERCOT supports approval of RRGRR022</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lastRenderedPageBreak/>
              <w:t>810SCR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b/>
                <w:bCs/>
                <w:color w:val="000000"/>
                <w:sz w:val="20"/>
                <w:szCs w:val="20"/>
              </w:rPr>
            </w:pPr>
            <w:r>
              <w:rPr>
                <w:b/>
                <w:bCs/>
                <w:color w:val="000000"/>
                <w:sz w:val="20"/>
                <w:szCs w:val="20"/>
              </w:rPr>
              <w:t xml:space="preserve">EMS System Change to Count DC Ties towards the 2% Constraint Activation Criterion.  </w:t>
            </w:r>
            <w:r>
              <w:rPr>
                <w:color w:val="000000"/>
                <w:sz w:val="20"/>
                <w:szCs w:val="20"/>
              </w:rPr>
              <w:t>This System Change Request (SCR) adds logic to ERCOT’s Energy Management System (EMS) system to remove the flag that indicates to the ERCOT Operator that a unit representing a Direct Current Tie (DC Tie) does not count towards the 2% criterion for activating transmission constraints.  [REMC]</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color w:val="000000"/>
                <w:sz w:val="20"/>
                <w:szCs w:val="20"/>
              </w:rPr>
            </w:pPr>
            <w:r>
              <w:rPr>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ERCOT supports approval of SCR810</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027VCMRR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 xml:space="preserve">Related to NPRR986, BESTF-2 Energy Storage Resource Energy Offer Curves, Pricing, Dispatch, and Mitigation.  </w:t>
            </w:r>
            <w:r>
              <w:rPr>
                <w:rFonts w:cs="Calibri"/>
                <w:color w:val="000000"/>
                <w:sz w:val="20"/>
                <w:szCs w:val="20"/>
              </w:rPr>
              <w:t>This Verifiable Cost Manual Revision Request (VCMRR) removes Section 2.2 and Appendix 10 from the Verifiable Cost Manual.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sz w:val="20"/>
                <w:szCs w:val="20"/>
              </w:rPr>
            </w:pPr>
            <w:r>
              <w:rPr>
                <w:sz w:val="20"/>
                <w:szCs w:val="20"/>
              </w:rPr>
              <w:t>ERCOT supports approval of VCMRR027</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b/>
                <w:bCs/>
                <w:color w:val="000000"/>
                <w:sz w:val="20"/>
                <w:szCs w:val="20"/>
              </w:rPr>
            </w:pPr>
            <w:r>
              <w:rPr>
                <w:rFonts w:cs="Calibri"/>
                <w:b/>
                <w:bCs/>
                <w:color w:val="000000"/>
                <w:sz w:val="20"/>
                <w:szCs w:val="20"/>
              </w:rPr>
              <w:t>018OBDRR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rFonts w:cs="Calibri"/>
                <w:color w:val="000000"/>
                <w:sz w:val="20"/>
                <w:szCs w:val="20"/>
              </w:rPr>
            </w:pPr>
            <w:r>
              <w:rPr>
                <w:rFonts w:cs="Calibri"/>
                <w:b/>
                <w:bCs/>
                <w:color w:val="000000"/>
                <w:sz w:val="20"/>
                <w:szCs w:val="20"/>
              </w:rPr>
              <w:t xml:space="preserve">Related to NPRR1003, Elimination of References to Resource Asset Registration Form – Procedure for Identifying Resource Nodes. </w:t>
            </w:r>
            <w:r>
              <w:rPr>
                <w:rFonts w:cs="Calibri"/>
                <w:color w:val="000000"/>
                <w:sz w:val="20"/>
                <w:szCs w:val="20"/>
              </w:rPr>
              <w:t xml:space="preserve"> This Other Binding Document Revision Request (OBDRR) aligns the Procedure for Identifying Resource Nodes with changes proposed in NPRR1003, by replacing all remaining references to the Resource Asset Registration Form (“RARF”) with more general language in anticipation of the elimination of the RARF.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C70A07">
            <w:pPr>
              <w:rPr>
                <w:sz w:val="20"/>
                <w:szCs w:val="20"/>
              </w:rPr>
            </w:pPr>
            <w:r>
              <w:rPr>
                <w:sz w:val="20"/>
                <w:szCs w:val="20"/>
              </w:rPr>
              <w:t>ERCOT supports approval of OBDRR018</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rFonts w:cs="Calibri"/>
                <w:b/>
                <w:bCs/>
                <w:color w:val="000000"/>
                <w:sz w:val="20"/>
                <w:szCs w:val="20"/>
              </w:rPr>
            </w:pPr>
            <w:r>
              <w:rPr>
                <w:rFonts w:cs="Calibri"/>
                <w:b/>
                <w:bCs/>
                <w:color w:val="000000"/>
                <w:sz w:val="20"/>
                <w:szCs w:val="20"/>
              </w:rPr>
              <w:t>019OBDRR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rFonts w:cs="Calibri"/>
                <w:color w:val="000000"/>
                <w:sz w:val="20"/>
                <w:szCs w:val="20"/>
              </w:rPr>
            </w:pPr>
            <w:r>
              <w:rPr>
                <w:rFonts w:cs="Calibri"/>
                <w:b/>
                <w:bCs/>
                <w:color w:val="000000"/>
                <w:sz w:val="20"/>
                <w:szCs w:val="20"/>
              </w:rPr>
              <w:t xml:space="preserve">Related to NPRR1003, Elimination of References to Resource Asset Registration Form – Requirements for Aggregate Load Resource Participation in the ERCOT Markets.  </w:t>
            </w:r>
            <w:r>
              <w:rPr>
                <w:rFonts w:cs="Calibri"/>
                <w:color w:val="000000"/>
                <w:sz w:val="20"/>
                <w:szCs w:val="20"/>
              </w:rPr>
              <w:t>This Other Binding Document Revision Request (OBDRR) aligns the Requirements for Aggregate Load Resource Participation in the ERCOT Markets with changes proposed in NPRR1003, by replacing all remaining references to the Resource Asset Registration Form (“RARF”) with more general language in anticipation of the elimination of the RARF. This OBDRR also updates this document’s change control process for consistency with similar Other Binding Documents.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ERCOT supports approval of OBDRR019</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rFonts w:cs="Calibri"/>
                <w:b/>
                <w:bCs/>
                <w:color w:val="000000"/>
                <w:sz w:val="20"/>
                <w:szCs w:val="20"/>
              </w:rPr>
            </w:pPr>
            <w:r>
              <w:rPr>
                <w:rFonts w:cs="Calibri"/>
                <w:b/>
                <w:bCs/>
                <w:color w:val="000000"/>
                <w:sz w:val="20"/>
                <w:szCs w:val="20"/>
              </w:rPr>
              <w:t>020OBDRR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rFonts w:cs="Calibri"/>
                <w:b/>
                <w:bCs/>
                <w:color w:val="000000"/>
                <w:sz w:val="20"/>
                <w:szCs w:val="20"/>
              </w:rPr>
            </w:pPr>
            <w:r>
              <w:rPr>
                <w:rFonts w:cs="Calibri"/>
                <w:b/>
                <w:bCs/>
                <w:color w:val="000000"/>
                <w:sz w:val="20"/>
                <w:szCs w:val="20"/>
              </w:rPr>
              <w:t xml:space="preserve">RTC – Methodology for Setting Maximum Shadow Prices for Network and Power Balance Constraints.  </w:t>
            </w:r>
            <w:r>
              <w:rPr>
                <w:rFonts w:cs="Calibri"/>
                <w:color w:val="000000"/>
                <w:sz w:val="20"/>
                <w:szCs w:val="20"/>
              </w:rPr>
              <w:t>This Other Binding Document Revision Request (OBDRR) updates Methodology for Setting Maximum Shadow Prices for Network and Power Balance Constraints to address changes associated with the implementation of Real-Time Co-optimization (RTC) of energy and Ancillary Services.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ERCOT supports approval of OBDRR020</w:t>
            </w:r>
          </w:p>
        </w:tc>
      </w:tr>
      <w:tr w:rsidR="00013103" w:rsidTr="00013103">
        <w:tc>
          <w:tcPr>
            <w:tcW w:w="59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rFonts w:cs="Calibri"/>
                <w:b/>
                <w:bCs/>
                <w:color w:val="000000"/>
                <w:sz w:val="20"/>
                <w:szCs w:val="20"/>
              </w:rPr>
            </w:pPr>
            <w:r>
              <w:rPr>
                <w:rFonts w:cs="Calibri"/>
                <w:b/>
                <w:bCs/>
                <w:color w:val="000000"/>
                <w:sz w:val="20"/>
                <w:szCs w:val="20"/>
              </w:rPr>
              <w:t>029VCMRR</w:t>
            </w:r>
          </w:p>
        </w:tc>
        <w:tc>
          <w:tcPr>
            <w:tcW w:w="264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rFonts w:cs="Calibri"/>
                <w:color w:val="000000"/>
                <w:sz w:val="20"/>
                <w:szCs w:val="20"/>
              </w:rPr>
            </w:pPr>
            <w:r>
              <w:rPr>
                <w:rFonts w:cs="Calibri"/>
                <w:b/>
                <w:bCs/>
                <w:color w:val="000000"/>
                <w:sz w:val="20"/>
                <w:szCs w:val="20"/>
              </w:rPr>
              <w:t>Related to NPRR1003, Elimination of References to Resource Asset Registration Form.</w:t>
            </w:r>
            <w:r>
              <w:rPr>
                <w:rFonts w:cs="Calibri"/>
                <w:color w:val="000000"/>
                <w:sz w:val="20"/>
                <w:szCs w:val="20"/>
              </w:rPr>
              <w:t xml:space="preserve">  This Verifiable Cost Manual Revision Request (VCMRR) aligns the Verifiable Cost Manual with changes proposed in NPRR1003, by replacing all remaining references to the Resource Asset Registration Form (RARF) with more general language in anticipation of the elimination of the RARF.  [ERCOT]</w:t>
            </w:r>
          </w:p>
        </w:tc>
        <w:tc>
          <w:tcPr>
            <w:tcW w:w="478"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jc w:val="center"/>
              <w:rPr>
                <w:rFonts w:cs="Calibri"/>
                <w:color w:val="000000"/>
                <w:sz w:val="20"/>
                <w:szCs w:val="20"/>
              </w:rPr>
            </w:pPr>
            <w:r>
              <w:rPr>
                <w:rFonts w:cs="Calibri"/>
                <w:color w:val="000000"/>
                <w:sz w:val="20"/>
                <w:szCs w:val="20"/>
              </w:rPr>
              <w:t>N</w:t>
            </w:r>
          </w:p>
        </w:tc>
        <w:tc>
          <w:tcPr>
            <w:tcW w:w="1276"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13103" w:rsidRDefault="00013103" w:rsidP="004E4A88">
            <w:pPr>
              <w:rPr>
                <w:sz w:val="20"/>
                <w:szCs w:val="20"/>
              </w:rPr>
            </w:pPr>
            <w:r>
              <w:rPr>
                <w:sz w:val="20"/>
                <w:szCs w:val="20"/>
              </w:rPr>
              <w:t>ERCOT supports approval of VCMRR029</w:t>
            </w:r>
          </w:p>
        </w:tc>
      </w:tr>
    </w:tbl>
    <w:p w:rsidR="00E60BF8" w:rsidRPr="00C174FF" w:rsidRDefault="00E60BF8" w:rsidP="00C174FF">
      <w:pPr>
        <w:tabs>
          <w:tab w:val="left" w:pos="6900"/>
        </w:tabs>
      </w:pPr>
    </w:p>
    <w:sectPr w:rsidR="00E60BF8" w:rsidRPr="00C174FF" w:rsidSect="00985FF4">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5926" w:rsidRDefault="00B05926" w:rsidP="00985FF4">
      <w:r>
        <w:separator/>
      </w:r>
    </w:p>
  </w:endnote>
  <w:endnote w:type="continuationSeparator" w:id="0">
    <w:p w:rsidR="00B05926" w:rsidRDefault="00B05926" w:rsidP="0098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5926" w:rsidRDefault="00B05926" w:rsidP="00985FF4">
      <w:r>
        <w:separator/>
      </w:r>
    </w:p>
  </w:footnote>
  <w:footnote w:type="continuationSeparator" w:id="0">
    <w:p w:rsidR="00B05926" w:rsidRDefault="00B05926" w:rsidP="00985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FF4" w:rsidRDefault="00985FF4" w:rsidP="00985FF4">
    <w:pPr>
      <w:pStyle w:val="Header"/>
      <w:jc w:val="center"/>
    </w:pPr>
    <w:r>
      <w:t xml:space="preserve">ERCOT Opinions for the </w:t>
    </w:r>
    <w:r w:rsidR="004E4A88">
      <w:t>06/24</w:t>
    </w:r>
    <w:r w:rsidR="00124255">
      <w:t>/20</w:t>
    </w:r>
    <w:r w:rsidR="00566AFF">
      <w:t xml:space="preserve"> TAC </w:t>
    </w:r>
    <w:r w:rsidR="004E4A88">
      <w:t>Meeting</w:t>
    </w:r>
  </w:p>
  <w:p w:rsidR="00013103" w:rsidRDefault="00013103" w:rsidP="00985FF4">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F4"/>
    <w:rsid w:val="00013103"/>
    <w:rsid w:val="00101E68"/>
    <w:rsid w:val="00124255"/>
    <w:rsid w:val="00131AD8"/>
    <w:rsid w:val="001A11D5"/>
    <w:rsid w:val="001F4319"/>
    <w:rsid w:val="00231C14"/>
    <w:rsid w:val="002378E5"/>
    <w:rsid w:val="00320D47"/>
    <w:rsid w:val="003504F7"/>
    <w:rsid w:val="003F25EE"/>
    <w:rsid w:val="0044443B"/>
    <w:rsid w:val="004447B8"/>
    <w:rsid w:val="004E1095"/>
    <w:rsid w:val="004E4A88"/>
    <w:rsid w:val="00502C7D"/>
    <w:rsid w:val="00566AFF"/>
    <w:rsid w:val="005A278D"/>
    <w:rsid w:val="005E147E"/>
    <w:rsid w:val="006256A5"/>
    <w:rsid w:val="00672B98"/>
    <w:rsid w:val="006F1E45"/>
    <w:rsid w:val="00715A89"/>
    <w:rsid w:val="00805A86"/>
    <w:rsid w:val="00825E43"/>
    <w:rsid w:val="008874B6"/>
    <w:rsid w:val="008F1FF2"/>
    <w:rsid w:val="0096024F"/>
    <w:rsid w:val="00981A1E"/>
    <w:rsid w:val="00985FF4"/>
    <w:rsid w:val="00993006"/>
    <w:rsid w:val="009B27B4"/>
    <w:rsid w:val="009B474D"/>
    <w:rsid w:val="009C5427"/>
    <w:rsid w:val="009E6F30"/>
    <w:rsid w:val="00A94986"/>
    <w:rsid w:val="00AC0725"/>
    <w:rsid w:val="00AD50EB"/>
    <w:rsid w:val="00B05926"/>
    <w:rsid w:val="00B87C79"/>
    <w:rsid w:val="00BD6400"/>
    <w:rsid w:val="00BE7782"/>
    <w:rsid w:val="00C174FF"/>
    <w:rsid w:val="00C86C93"/>
    <w:rsid w:val="00C94AFF"/>
    <w:rsid w:val="00CC25B3"/>
    <w:rsid w:val="00D807DF"/>
    <w:rsid w:val="00E60BF8"/>
    <w:rsid w:val="00E666FF"/>
    <w:rsid w:val="00E950DB"/>
    <w:rsid w:val="00F73D35"/>
  </w:rsids>
  <m:mathPr>
    <m:mathFont m:val="Cambria Math"/>
    <m:brkBin m:val="before"/>
    <m:brkBinSub m:val="--"/>
    <m:smallFrac m:val="0"/>
    <m:dispDef/>
    <m:lMargin m:val="0"/>
    <m:rMargin m:val="0"/>
    <m:defJc m:val="centerGroup"/>
    <m:wrapIndent m:val="1440"/>
    <m:intLim m:val="undOvr"/>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B0B30-7FFB-4CFB-914C-C7F40986B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FF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5FF4"/>
    <w:pPr>
      <w:tabs>
        <w:tab w:val="center" w:pos="4680"/>
        <w:tab w:val="right" w:pos="9360"/>
      </w:tabs>
    </w:pPr>
  </w:style>
  <w:style w:type="character" w:customStyle="1" w:styleId="HeaderChar">
    <w:name w:val="Header Char"/>
    <w:basedOn w:val="DefaultParagraphFont"/>
    <w:link w:val="Header"/>
    <w:uiPriority w:val="99"/>
    <w:rsid w:val="00985FF4"/>
    <w:rPr>
      <w:rFonts w:ascii="Calibri" w:hAnsi="Calibri" w:cs="Times New Roman"/>
    </w:rPr>
  </w:style>
  <w:style w:type="paragraph" w:styleId="Footer">
    <w:name w:val="footer"/>
    <w:basedOn w:val="Normal"/>
    <w:link w:val="FooterChar"/>
    <w:uiPriority w:val="99"/>
    <w:unhideWhenUsed/>
    <w:rsid w:val="00985FF4"/>
    <w:pPr>
      <w:tabs>
        <w:tab w:val="center" w:pos="4680"/>
        <w:tab w:val="right" w:pos="9360"/>
      </w:tabs>
    </w:pPr>
  </w:style>
  <w:style w:type="character" w:customStyle="1" w:styleId="FooterChar">
    <w:name w:val="Footer Char"/>
    <w:basedOn w:val="DefaultParagraphFont"/>
    <w:link w:val="Footer"/>
    <w:uiPriority w:val="99"/>
    <w:rsid w:val="00985FF4"/>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72275">
      <w:bodyDiv w:val="1"/>
      <w:marLeft w:val="0"/>
      <w:marRight w:val="0"/>
      <w:marTop w:val="0"/>
      <w:marBottom w:val="0"/>
      <w:divBdr>
        <w:top w:val="none" w:sz="0" w:space="0" w:color="auto"/>
        <w:left w:val="none" w:sz="0" w:space="0" w:color="auto"/>
        <w:bottom w:val="none" w:sz="0" w:space="0" w:color="auto"/>
        <w:right w:val="none" w:sz="0" w:space="0" w:color="auto"/>
      </w:divBdr>
    </w:div>
    <w:div w:id="82455255">
      <w:bodyDiv w:val="1"/>
      <w:marLeft w:val="0"/>
      <w:marRight w:val="0"/>
      <w:marTop w:val="0"/>
      <w:marBottom w:val="0"/>
      <w:divBdr>
        <w:top w:val="none" w:sz="0" w:space="0" w:color="auto"/>
        <w:left w:val="none" w:sz="0" w:space="0" w:color="auto"/>
        <w:bottom w:val="none" w:sz="0" w:space="0" w:color="auto"/>
        <w:right w:val="none" w:sz="0" w:space="0" w:color="auto"/>
      </w:divBdr>
    </w:div>
    <w:div w:id="252594840">
      <w:bodyDiv w:val="1"/>
      <w:marLeft w:val="0"/>
      <w:marRight w:val="0"/>
      <w:marTop w:val="0"/>
      <w:marBottom w:val="0"/>
      <w:divBdr>
        <w:top w:val="none" w:sz="0" w:space="0" w:color="auto"/>
        <w:left w:val="none" w:sz="0" w:space="0" w:color="auto"/>
        <w:bottom w:val="none" w:sz="0" w:space="0" w:color="auto"/>
        <w:right w:val="none" w:sz="0" w:space="0" w:color="auto"/>
      </w:divBdr>
    </w:div>
    <w:div w:id="277222086">
      <w:bodyDiv w:val="1"/>
      <w:marLeft w:val="0"/>
      <w:marRight w:val="0"/>
      <w:marTop w:val="0"/>
      <w:marBottom w:val="0"/>
      <w:divBdr>
        <w:top w:val="none" w:sz="0" w:space="0" w:color="auto"/>
        <w:left w:val="none" w:sz="0" w:space="0" w:color="auto"/>
        <w:bottom w:val="none" w:sz="0" w:space="0" w:color="auto"/>
        <w:right w:val="none" w:sz="0" w:space="0" w:color="auto"/>
      </w:divBdr>
    </w:div>
    <w:div w:id="320355680">
      <w:bodyDiv w:val="1"/>
      <w:marLeft w:val="0"/>
      <w:marRight w:val="0"/>
      <w:marTop w:val="0"/>
      <w:marBottom w:val="0"/>
      <w:divBdr>
        <w:top w:val="none" w:sz="0" w:space="0" w:color="auto"/>
        <w:left w:val="none" w:sz="0" w:space="0" w:color="auto"/>
        <w:bottom w:val="none" w:sz="0" w:space="0" w:color="auto"/>
        <w:right w:val="none" w:sz="0" w:space="0" w:color="auto"/>
      </w:divBdr>
    </w:div>
    <w:div w:id="374476658">
      <w:bodyDiv w:val="1"/>
      <w:marLeft w:val="0"/>
      <w:marRight w:val="0"/>
      <w:marTop w:val="0"/>
      <w:marBottom w:val="0"/>
      <w:divBdr>
        <w:top w:val="none" w:sz="0" w:space="0" w:color="auto"/>
        <w:left w:val="none" w:sz="0" w:space="0" w:color="auto"/>
        <w:bottom w:val="none" w:sz="0" w:space="0" w:color="auto"/>
        <w:right w:val="none" w:sz="0" w:space="0" w:color="auto"/>
      </w:divBdr>
    </w:div>
    <w:div w:id="634944373">
      <w:bodyDiv w:val="1"/>
      <w:marLeft w:val="0"/>
      <w:marRight w:val="0"/>
      <w:marTop w:val="0"/>
      <w:marBottom w:val="0"/>
      <w:divBdr>
        <w:top w:val="none" w:sz="0" w:space="0" w:color="auto"/>
        <w:left w:val="none" w:sz="0" w:space="0" w:color="auto"/>
        <w:bottom w:val="none" w:sz="0" w:space="0" w:color="auto"/>
        <w:right w:val="none" w:sz="0" w:space="0" w:color="auto"/>
      </w:divBdr>
    </w:div>
    <w:div w:id="775951168">
      <w:bodyDiv w:val="1"/>
      <w:marLeft w:val="0"/>
      <w:marRight w:val="0"/>
      <w:marTop w:val="0"/>
      <w:marBottom w:val="0"/>
      <w:divBdr>
        <w:top w:val="none" w:sz="0" w:space="0" w:color="auto"/>
        <w:left w:val="none" w:sz="0" w:space="0" w:color="auto"/>
        <w:bottom w:val="none" w:sz="0" w:space="0" w:color="auto"/>
        <w:right w:val="none" w:sz="0" w:space="0" w:color="auto"/>
      </w:divBdr>
    </w:div>
    <w:div w:id="799686778">
      <w:bodyDiv w:val="1"/>
      <w:marLeft w:val="0"/>
      <w:marRight w:val="0"/>
      <w:marTop w:val="0"/>
      <w:marBottom w:val="0"/>
      <w:divBdr>
        <w:top w:val="none" w:sz="0" w:space="0" w:color="auto"/>
        <w:left w:val="none" w:sz="0" w:space="0" w:color="auto"/>
        <w:bottom w:val="none" w:sz="0" w:space="0" w:color="auto"/>
        <w:right w:val="none" w:sz="0" w:space="0" w:color="auto"/>
      </w:divBdr>
    </w:div>
    <w:div w:id="866137790">
      <w:bodyDiv w:val="1"/>
      <w:marLeft w:val="0"/>
      <w:marRight w:val="0"/>
      <w:marTop w:val="0"/>
      <w:marBottom w:val="0"/>
      <w:divBdr>
        <w:top w:val="none" w:sz="0" w:space="0" w:color="auto"/>
        <w:left w:val="none" w:sz="0" w:space="0" w:color="auto"/>
        <w:bottom w:val="none" w:sz="0" w:space="0" w:color="auto"/>
        <w:right w:val="none" w:sz="0" w:space="0" w:color="auto"/>
      </w:divBdr>
    </w:div>
    <w:div w:id="881475590">
      <w:bodyDiv w:val="1"/>
      <w:marLeft w:val="0"/>
      <w:marRight w:val="0"/>
      <w:marTop w:val="0"/>
      <w:marBottom w:val="0"/>
      <w:divBdr>
        <w:top w:val="none" w:sz="0" w:space="0" w:color="auto"/>
        <w:left w:val="none" w:sz="0" w:space="0" w:color="auto"/>
        <w:bottom w:val="none" w:sz="0" w:space="0" w:color="auto"/>
        <w:right w:val="none" w:sz="0" w:space="0" w:color="auto"/>
      </w:divBdr>
    </w:div>
    <w:div w:id="897403659">
      <w:bodyDiv w:val="1"/>
      <w:marLeft w:val="0"/>
      <w:marRight w:val="0"/>
      <w:marTop w:val="0"/>
      <w:marBottom w:val="0"/>
      <w:divBdr>
        <w:top w:val="none" w:sz="0" w:space="0" w:color="auto"/>
        <w:left w:val="none" w:sz="0" w:space="0" w:color="auto"/>
        <w:bottom w:val="none" w:sz="0" w:space="0" w:color="auto"/>
        <w:right w:val="none" w:sz="0" w:space="0" w:color="auto"/>
      </w:divBdr>
    </w:div>
    <w:div w:id="1044254074">
      <w:bodyDiv w:val="1"/>
      <w:marLeft w:val="0"/>
      <w:marRight w:val="0"/>
      <w:marTop w:val="0"/>
      <w:marBottom w:val="0"/>
      <w:divBdr>
        <w:top w:val="none" w:sz="0" w:space="0" w:color="auto"/>
        <w:left w:val="none" w:sz="0" w:space="0" w:color="auto"/>
        <w:bottom w:val="none" w:sz="0" w:space="0" w:color="auto"/>
        <w:right w:val="none" w:sz="0" w:space="0" w:color="auto"/>
      </w:divBdr>
    </w:div>
    <w:div w:id="1076709242">
      <w:bodyDiv w:val="1"/>
      <w:marLeft w:val="0"/>
      <w:marRight w:val="0"/>
      <w:marTop w:val="0"/>
      <w:marBottom w:val="0"/>
      <w:divBdr>
        <w:top w:val="none" w:sz="0" w:space="0" w:color="auto"/>
        <w:left w:val="none" w:sz="0" w:space="0" w:color="auto"/>
        <w:bottom w:val="none" w:sz="0" w:space="0" w:color="auto"/>
        <w:right w:val="none" w:sz="0" w:space="0" w:color="auto"/>
      </w:divBdr>
    </w:div>
    <w:div w:id="1352757416">
      <w:bodyDiv w:val="1"/>
      <w:marLeft w:val="0"/>
      <w:marRight w:val="0"/>
      <w:marTop w:val="0"/>
      <w:marBottom w:val="0"/>
      <w:divBdr>
        <w:top w:val="none" w:sz="0" w:space="0" w:color="auto"/>
        <w:left w:val="none" w:sz="0" w:space="0" w:color="auto"/>
        <w:bottom w:val="none" w:sz="0" w:space="0" w:color="auto"/>
        <w:right w:val="none" w:sz="0" w:space="0" w:color="auto"/>
      </w:divBdr>
    </w:div>
    <w:div w:id="1356153769">
      <w:bodyDiv w:val="1"/>
      <w:marLeft w:val="0"/>
      <w:marRight w:val="0"/>
      <w:marTop w:val="0"/>
      <w:marBottom w:val="0"/>
      <w:divBdr>
        <w:top w:val="none" w:sz="0" w:space="0" w:color="auto"/>
        <w:left w:val="none" w:sz="0" w:space="0" w:color="auto"/>
        <w:bottom w:val="none" w:sz="0" w:space="0" w:color="auto"/>
        <w:right w:val="none" w:sz="0" w:space="0" w:color="auto"/>
      </w:divBdr>
    </w:div>
    <w:div w:id="1400716356">
      <w:bodyDiv w:val="1"/>
      <w:marLeft w:val="0"/>
      <w:marRight w:val="0"/>
      <w:marTop w:val="0"/>
      <w:marBottom w:val="0"/>
      <w:divBdr>
        <w:top w:val="none" w:sz="0" w:space="0" w:color="auto"/>
        <w:left w:val="none" w:sz="0" w:space="0" w:color="auto"/>
        <w:bottom w:val="none" w:sz="0" w:space="0" w:color="auto"/>
        <w:right w:val="none" w:sz="0" w:space="0" w:color="auto"/>
      </w:divBdr>
    </w:div>
    <w:div w:id="1563639872">
      <w:bodyDiv w:val="1"/>
      <w:marLeft w:val="0"/>
      <w:marRight w:val="0"/>
      <w:marTop w:val="0"/>
      <w:marBottom w:val="0"/>
      <w:divBdr>
        <w:top w:val="none" w:sz="0" w:space="0" w:color="auto"/>
        <w:left w:val="none" w:sz="0" w:space="0" w:color="auto"/>
        <w:bottom w:val="none" w:sz="0" w:space="0" w:color="auto"/>
        <w:right w:val="none" w:sz="0" w:space="0" w:color="auto"/>
      </w:divBdr>
    </w:div>
    <w:div w:id="1671177245">
      <w:bodyDiv w:val="1"/>
      <w:marLeft w:val="0"/>
      <w:marRight w:val="0"/>
      <w:marTop w:val="0"/>
      <w:marBottom w:val="0"/>
      <w:divBdr>
        <w:top w:val="none" w:sz="0" w:space="0" w:color="auto"/>
        <w:left w:val="none" w:sz="0" w:space="0" w:color="auto"/>
        <w:bottom w:val="none" w:sz="0" w:space="0" w:color="auto"/>
        <w:right w:val="none" w:sz="0" w:space="0" w:color="auto"/>
      </w:divBdr>
    </w:div>
    <w:div w:id="1755206703">
      <w:bodyDiv w:val="1"/>
      <w:marLeft w:val="0"/>
      <w:marRight w:val="0"/>
      <w:marTop w:val="0"/>
      <w:marBottom w:val="0"/>
      <w:divBdr>
        <w:top w:val="none" w:sz="0" w:space="0" w:color="auto"/>
        <w:left w:val="none" w:sz="0" w:space="0" w:color="auto"/>
        <w:bottom w:val="none" w:sz="0" w:space="0" w:color="auto"/>
        <w:right w:val="none" w:sz="0" w:space="0" w:color="auto"/>
      </w:divBdr>
    </w:div>
    <w:div w:id="1766001281">
      <w:bodyDiv w:val="1"/>
      <w:marLeft w:val="0"/>
      <w:marRight w:val="0"/>
      <w:marTop w:val="0"/>
      <w:marBottom w:val="0"/>
      <w:divBdr>
        <w:top w:val="none" w:sz="0" w:space="0" w:color="auto"/>
        <w:left w:val="none" w:sz="0" w:space="0" w:color="auto"/>
        <w:bottom w:val="none" w:sz="0" w:space="0" w:color="auto"/>
        <w:right w:val="none" w:sz="0" w:space="0" w:color="auto"/>
      </w:divBdr>
    </w:div>
    <w:div w:id="1792288186">
      <w:bodyDiv w:val="1"/>
      <w:marLeft w:val="0"/>
      <w:marRight w:val="0"/>
      <w:marTop w:val="0"/>
      <w:marBottom w:val="0"/>
      <w:divBdr>
        <w:top w:val="none" w:sz="0" w:space="0" w:color="auto"/>
        <w:left w:val="none" w:sz="0" w:space="0" w:color="auto"/>
        <w:bottom w:val="none" w:sz="0" w:space="0" w:color="auto"/>
        <w:right w:val="none" w:sz="0" w:space="0" w:color="auto"/>
      </w:divBdr>
    </w:div>
    <w:div w:id="1929121916">
      <w:bodyDiv w:val="1"/>
      <w:marLeft w:val="0"/>
      <w:marRight w:val="0"/>
      <w:marTop w:val="0"/>
      <w:marBottom w:val="0"/>
      <w:divBdr>
        <w:top w:val="none" w:sz="0" w:space="0" w:color="auto"/>
        <w:left w:val="none" w:sz="0" w:space="0" w:color="auto"/>
        <w:bottom w:val="none" w:sz="0" w:space="0" w:color="auto"/>
        <w:right w:val="none" w:sz="0" w:space="0" w:color="auto"/>
      </w:divBdr>
    </w:div>
    <w:div w:id="1937984053">
      <w:bodyDiv w:val="1"/>
      <w:marLeft w:val="0"/>
      <w:marRight w:val="0"/>
      <w:marTop w:val="0"/>
      <w:marBottom w:val="0"/>
      <w:divBdr>
        <w:top w:val="none" w:sz="0" w:space="0" w:color="auto"/>
        <w:left w:val="none" w:sz="0" w:space="0" w:color="auto"/>
        <w:bottom w:val="none" w:sz="0" w:space="0" w:color="auto"/>
        <w:right w:val="none" w:sz="0" w:space="0" w:color="auto"/>
      </w:divBdr>
    </w:div>
    <w:div w:id="1987589995">
      <w:bodyDiv w:val="1"/>
      <w:marLeft w:val="0"/>
      <w:marRight w:val="0"/>
      <w:marTop w:val="0"/>
      <w:marBottom w:val="0"/>
      <w:divBdr>
        <w:top w:val="none" w:sz="0" w:space="0" w:color="auto"/>
        <w:left w:val="none" w:sz="0" w:space="0" w:color="auto"/>
        <w:bottom w:val="none" w:sz="0" w:space="0" w:color="auto"/>
        <w:right w:val="none" w:sz="0" w:space="0" w:color="auto"/>
      </w:divBdr>
    </w:div>
    <w:div w:id="2014186863">
      <w:bodyDiv w:val="1"/>
      <w:marLeft w:val="0"/>
      <w:marRight w:val="0"/>
      <w:marTop w:val="0"/>
      <w:marBottom w:val="0"/>
      <w:divBdr>
        <w:top w:val="none" w:sz="0" w:space="0" w:color="auto"/>
        <w:left w:val="none" w:sz="0" w:space="0" w:color="auto"/>
        <w:bottom w:val="none" w:sz="0" w:space="0" w:color="auto"/>
        <w:right w:val="none" w:sz="0" w:space="0" w:color="auto"/>
      </w:divBdr>
    </w:div>
    <w:div w:id="2054500067">
      <w:bodyDiv w:val="1"/>
      <w:marLeft w:val="0"/>
      <w:marRight w:val="0"/>
      <w:marTop w:val="0"/>
      <w:marBottom w:val="0"/>
      <w:divBdr>
        <w:top w:val="none" w:sz="0" w:space="0" w:color="auto"/>
        <w:left w:val="none" w:sz="0" w:space="0" w:color="auto"/>
        <w:bottom w:val="none" w:sz="0" w:space="0" w:color="auto"/>
        <w:right w:val="none" w:sz="0" w:space="0" w:color="auto"/>
      </w:divBdr>
    </w:div>
    <w:div w:id="2059626889">
      <w:bodyDiv w:val="1"/>
      <w:marLeft w:val="0"/>
      <w:marRight w:val="0"/>
      <w:marTop w:val="0"/>
      <w:marBottom w:val="0"/>
      <w:divBdr>
        <w:top w:val="none" w:sz="0" w:space="0" w:color="auto"/>
        <w:left w:val="none" w:sz="0" w:space="0" w:color="auto"/>
        <w:bottom w:val="none" w:sz="0" w:space="0" w:color="auto"/>
        <w:right w:val="none" w:sz="0" w:space="0" w:color="auto"/>
      </w:divBdr>
    </w:div>
    <w:div w:id="2071882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1366</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Luminant 01XX19</dc:creator>
  <cp:keywords/>
  <dc:description/>
  <cp:lastModifiedBy>A. Boren</cp:lastModifiedBy>
  <cp:revision>2</cp:revision>
  <dcterms:created xsi:type="dcterms:W3CDTF">2020-06-17T20:56:00Z</dcterms:created>
  <dcterms:modified xsi:type="dcterms:W3CDTF">2020-06-17T20:56:00Z</dcterms:modified>
</cp:coreProperties>
</file>