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97"/>
        <w:gridCol w:w="1283"/>
        <w:gridCol w:w="6750"/>
      </w:tblGrid>
      <w:tr w:rsidR="00067FE2" w:rsidTr="007D6F64"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B815FD" w:rsidP="00573610">
            <w:pPr>
              <w:pStyle w:val="Header"/>
            </w:pPr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067FE2" w:rsidRPr="00073E79" w:rsidRDefault="00D32C7F" w:rsidP="00D90D1A">
            <w:pPr>
              <w:pStyle w:val="Header"/>
              <w:jc w:val="center"/>
            </w:pPr>
            <w:r>
              <w:t>15-2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Pr="00073E79" w:rsidRDefault="00B815FD" w:rsidP="00F44236">
            <w:pPr>
              <w:pStyle w:val="Header"/>
            </w:pPr>
            <w:r w:rsidRPr="00073E79">
              <w:t>KTC</w:t>
            </w:r>
            <w:r w:rsidR="00067FE2" w:rsidRPr="00073E79">
              <w:t xml:space="preserve"> Title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067FE2" w:rsidRPr="00073E79" w:rsidRDefault="00A25870" w:rsidP="0009111B">
            <w:pPr>
              <w:pStyle w:val="Header"/>
            </w:pPr>
            <w:r>
              <w:t xml:space="preserve">15:2 </w:t>
            </w:r>
            <w:r w:rsidR="0009111B" w:rsidRPr="0009111B">
              <w:t>Energy Storage Resource</w:t>
            </w:r>
            <w:r w:rsidR="0009111B">
              <w:t>s</w:t>
            </w:r>
            <w:r w:rsidR="0009111B" w:rsidRPr="0009111B">
              <w:t xml:space="preserve"> </w:t>
            </w:r>
            <w:r w:rsidR="0031138C" w:rsidRPr="0009111B">
              <w:t>Market</w:t>
            </w:r>
            <w:r w:rsidR="0009111B" w:rsidRPr="0009111B">
              <w:t xml:space="preserve"> Su</w:t>
            </w:r>
            <w:bookmarkStart w:id="0" w:name="_GoBack"/>
            <w:bookmarkEnd w:id="0"/>
            <w:r w:rsidR="0009111B" w:rsidRPr="0009111B">
              <w:t xml:space="preserve">spension and </w:t>
            </w:r>
            <w:r w:rsidR="00D32C7F">
              <w:t xml:space="preserve">Market </w:t>
            </w:r>
            <w:r w:rsidR="0009111B" w:rsidRPr="0009111B">
              <w:t xml:space="preserve">Restart </w:t>
            </w:r>
            <w:r w:rsidR="00D32C7F">
              <w:t>Settlement</w:t>
            </w:r>
          </w:p>
        </w:tc>
      </w:tr>
      <w:tr w:rsidR="00067FE2" w:rsidRPr="00E01925" w:rsidTr="007D6F64">
        <w:trPr>
          <w:trHeight w:val="518"/>
        </w:trPr>
        <w:tc>
          <w:tcPr>
            <w:tcW w:w="2407" w:type="dxa"/>
            <w:gridSpan w:val="2"/>
            <w:shd w:val="clear" w:color="auto" w:fill="FFFFFF"/>
            <w:vAlign w:val="center"/>
          </w:tcPr>
          <w:p w:rsidR="00067FE2" w:rsidRPr="00073E79" w:rsidRDefault="00067FE2" w:rsidP="00F44236">
            <w:pPr>
              <w:pStyle w:val="Header"/>
              <w:rPr>
                <w:bCs w:val="0"/>
              </w:rPr>
            </w:pPr>
            <w:r w:rsidRPr="00073E79">
              <w:rPr>
                <w:bCs w:val="0"/>
              </w:rPr>
              <w:t>Date Posted</w:t>
            </w:r>
          </w:p>
        </w:tc>
        <w:tc>
          <w:tcPr>
            <w:tcW w:w="8033" w:type="dxa"/>
            <w:gridSpan w:val="2"/>
            <w:vAlign w:val="center"/>
          </w:tcPr>
          <w:p w:rsidR="00067FE2" w:rsidRPr="00073E79" w:rsidRDefault="00A25870" w:rsidP="000730E5">
            <w:pPr>
              <w:pStyle w:val="NormalArial"/>
            </w:pPr>
            <w:r>
              <w:t>June 16, 2020</w:t>
            </w:r>
          </w:p>
        </w:tc>
      </w:tr>
      <w:tr w:rsidR="00067FE2" w:rsidTr="007D6F64">
        <w:trPr>
          <w:trHeight w:val="323"/>
        </w:trPr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FE2" w:rsidRDefault="00067FE2" w:rsidP="00F44236">
            <w:pPr>
              <w:pStyle w:val="NormalArial"/>
            </w:pPr>
          </w:p>
        </w:tc>
        <w:tc>
          <w:tcPr>
            <w:tcW w:w="8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FE2" w:rsidRDefault="00067FE2" w:rsidP="00F44236">
            <w:pPr>
              <w:pStyle w:val="NormalArial"/>
            </w:pPr>
          </w:p>
        </w:tc>
      </w:tr>
      <w:tr w:rsidR="009D17F0" w:rsidTr="007D6F64">
        <w:trPr>
          <w:trHeight w:val="773"/>
        </w:trPr>
        <w:tc>
          <w:tcPr>
            <w:tcW w:w="24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033" w:type="dxa"/>
            <w:gridSpan w:val="2"/>
            <w:tcBorders>
              <w:top w:val="single" w:sz="4" w:space="0" w:color="auto"/>
            </w:tcBorders>
            <w:vAlign w:val="center"/>
          </w:tcPr>
          <w:p w:rsidR="00D90D1A" w:rsidRPr="00520C4C" w:rsidRDefault="00E00CA6" w:rsidP="00F5104F">
            <w:pPr>
              <w:pStyle w:val="NormalArial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This KTC establishes </w:t>
            </w:r>
            <w:r w:rsidR="00F5104F">
              <w:rPr>
                <w:color w:val="000000"/>
              </w:rPr>
              <w:t xml:space="preserve">the </w:t>
            </w:r>
            <w:r w:rsidR="00D32C7F">
              <w:rPr>
                <w:color w:val="000000"/>
              </w:rPr>
              <w:t>settlement</w:t>
            </w:r>
            <w:r w:rsidR="00F5104F">
              <w:rPr>
                <w:color w:val="000000"/>
              </w:rPr>
              <w:t xml:space="preserve"> of Energy Storage Resources during Market Suspension and Market Restart Events</w:t>
            </w:r>
          </w:p>
        </w:tc>
      </w:tr>
      <w:tr w:rsidR="00032100" w:rsidTr="007D6F64">
        <w:trPr>
          <w:trHeight w:val="773"/>
        </w:trPr>
        <w:tc>
          <w:tcPr>
            <w:tcW w:w="24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Recommendation Description</w:t>
            </w:r>
          </w:p>
        </w:tc>
        <w:tc>
          <w:tcPr>
            <w:tcW w:w="8033" w:type="dxa"/>
            <w:gridSpan w:val="2"/>
            <w:tcBorders>
              <w:top w:val="single" w:sz="4" w:space="0" w:color="auto"/>
            </w:tcBorders>
            <w:vAlign w:val="center"/>
          </w:tcPr>
          <w:p w:rsidR="00E00CA6" w:rsidRPr="00520C4C" w:rsidRDefault="009731C9" w:rsidP="009777EB">
            <w:pPr>
              <w:pStyle w:val="NormalArial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ESRs shall be settled </w:t>
            </w:r>
            <w:r w:rsidR="000041B2">
              <w:rPr>
                <w:color w:val="000000"/>
              </w:rPr>
              <w:t xml:space="preserve">for generation deployments </w:t>
            </w:r>
            <w:r>
              <w:rPr>
                <w:color w:val="000000"/>
              </w:rPr>
              <w:t>similar</w:t>
            </w:r>
            <w:r w:rsidR="000041B2">
              <w:rPr>
                <w:color w:val="000000"/>
              </w:rPr>
              <w:t>ly</w:t>
            </w:r>
            <w:r>
              <w:rPr>
                <w:color w:val="000000"/>
              </w:rPr>
              <w:t xml:space="preserve"> to other Resources during Market Suspension and Market Res</w:t>
            </w:r>
            <w:r w:rsidR="00766100">
              <w:rPr>
                <w:color w:val="000000"/>
              </w:rPr>
              <w:t>tart</w:t>
            </w:r>
            <w:r>
              <w:rPr>
                <w:color w:val="000000"/>
              </w:rPr>
              <w:t xml:space="preserve"> Events</w:t>
            </w:r>
            <w:r w:rsidR="000041B2">
              <w:rPr>
                <w:color w:val="000000"/>
              </w:rPr>
              <w:t>.  However, ESR</w:t>
            </w:r>
            <w:r>
              <w:rPr>
                <w:color w:val="000000"/>
              </w:rPr>
              <w:t xml:space="preserve"> </w:t>
            </w:r>
            <w:r w:rsidR="000041B2">
              <w:rPr>
                <w:color w:val="000000"/>
              </w:rPr>
              <w:t xml:space="preserve">may also qualify to receive compensation for the </w:t>
            </w:r>
            <w:r>
              <w:rPr>
                <w:rFonts w:cs="Arial"/>
              </w:rPr>
              <w:t xml:space="preserve">metered load to charge the </w:t>
            </w:r>
            <w:r w:rsidR="000041B2">
              <w:rPr>
                <w:rFonts w:cs="Arial"/>
              </w:rPr>
              <w:t xml:space="preserve">battery prior to a Market Suspension and </w:t>
            </w:r>
            <w:r w:rsidRPr="00FC6B06">
              <w:rPr>
                <w:rFonts w:cs="Arial"/>
              </w:rPr>
              <w:t>will not be a</w:t>
            </w:r>
            <w:r>
              <w:rPr>
                <w:rFonts w:cs="Arial"/>
              </w:rPr>
              <w:t>llocated Market Suspension Make-</w:t>
            </w:r>
            <w:r w:rsidRPr="00FC6B06">
              <w:rPr>
                <w:rFonts w:cs="Arial"/>
              </w:rPr>
              <w:t xml:space="preserve">Whole </w:t>
            </w:r>
            <w:r>
              <w:rPr>
                <w:rFonts w:cs="Arial"/>
              </w:rPr>
              <w:t xml:space="preserve">Payment </w:t>
            </w:r>
            <w:r w:rsidRPr="00FC6B06">
              <w:rPr>
                <w:rFonts w:cs="Arial"/>
              </w:rPr>
              <w:t>costs</w:t>
            </w:r>
            <w:r>
              <w:rPr>
                <w:rFonts w:cs="Arial"/>
              </w:rPr>
              <w:t>.</w:t>
            </w:r>
          </w:p>
        </w:tc>
      </w:tr>
      <w:tr w:rsidR="00032100" w:rsidTr="007D6F64">
        <w:trPr>
          <w:trHeight w:val="773"/>
        </w:trPr>
        <w:tc>
          <w:tcPr>
            <w:tcW w:w="24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100" w:rsidRPr="00073E79" w:rsidRDefault="00032100" w:rsidP="00032100">
            <w:pPr>
              <w:pStyle w:val="Header"/>
            </w:pPr>
            <w:r w:rsidRPr="00073E79">
              <w:t xml:space="preserve">BESTF Discussion </w:t>
            </w:r>
          </w:p>
        </w:tc>
        <w:tc>
          <w:tcPr>
            <w:tcW w:w="8033" w:type="dxa"/>
            <w:gridSpan w:val="2"/>
            <w:tcBorders>
              <w:top w:val="single" w:sz="4" w:space="0" w:color="auto"/>
            </w:tcBorders>
            <w:vAlign w:val="center"/>
          </w:tcPr>
          <w:p w:rsidR="009C0863" w:rsidRDefault="00A25870" w:rsidP="00A22659">
            <w:pPr>
              <w:pStyle w:val="NormalArial"/>
              <w:spacing w:before="120" w:after="120"/>
            </w:pPr>
            <w:r>
              <w:t>On 5/21/2020, ERCOT staff presented a presentation on the concepts of the ESR Market Suspension and Market Restart Settlement.</w:t>
            </w:r>
          </w:p>
          <w:p w:rsidR="00A25870" w:rsidRPr="00BC3662" w:rsidRDefault="00A25870" w:rsidP="00A25870">
            <w:pPr>
              <w:pStyle w:val="NormalArial"/>
              <w:spacing w:before="120" w:after="120"/>
            </w:pPr>
            <w:r>
              <w:t xml:space="preserve">On 6/12/2020, the BESTF reached consensus on KTC 15-2. </w:t>
            </w:r>
          </w:p>
        </w:tc>
      </w:tr>
      <w:tr w:rsidR="00032100" w:rsidTr="007D6F64">
        <w:trPr>
          <w:trHeight w:val="518"/>
        </w:trPr>
        <w:tc>
          <w:tcPr>
            <w:tcW w:w="24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TAC Action Requested</w:t>
            </w:r>
          </w:p>
        </w:tc>
        <w:tc>
          <w:tcPr>
            <w:tcW w:w="8033" w:type="dxa"/>
            <w:gridSpan w:val="2"/>
            <w:tcBorders>
              <w:bottom w:val="single" w:sz="4" w:space="0" w:color="auto"/>
            </w:tcBorders>
            <w:vAlign w:val="center"/>
          </w:tcPr>
          <w:p w:rsidR="00514E96" w:rsidRPr="00BC3662" w:rsidRDefault="00A25870" w:rsidP="00AA739F">
            <w:pPr>
              <w:pStyle w:val="NormalArial"/>
              <w:spacing w:before="120" w:after="120"/>
            </w:pPr>
            <w:r>
              <w:t xml:space="preserve">BESTF plans to request at the 06/24/20 TAC meeting a vote to approve KTC 15-2. </w:t>
            </w:r>
          </w:p>
        </w:tc>
      </w:tr>
      <w:tr w:rsidR="00032100" w:rsidTr="007D6F64">
        <w:trPr>
          <w:trHeight w:val="518"/>
        </w:trPr>
        <w:tc>
          <w:tcPr>
            <w:tcW w:w="24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TAC Action Summary</w:t>
            </w:r>
          </w:p>
        </w:tc>
        <w:tc>
          <w:tcPr>
            <w:tcW w:w="8033" w:type="dxa"/>
            <w:gridSpan w:val="2"/>
            <w:tcBorders>
              <w:bottom w:val="single" w:sz="4" w:space="0" w:color="auto"/>
            </w:tcBorders>
            <w:vAlign w:val="center"/>
          </w:tcPr>
          <w:p w:rsidR="00FC1CB1" w:rsidRPr="00BC3662" w:rsidRDefault="00FC1CB1" w:rsidP="007334AB">
            <w:pPr>
              <w:pStyle w:val="NormalArial"/>
              <w:spacing w:before="120" w:after="120"/>
            </w:pPr>
          </w:p>
        </w:tc>
      </w:tr>
    </w:tbl>
    <w:p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Default="009A3772" w:rsidP="00782371">
            <w:pPr>
              <w:pStyle w:val="Header"/>
              <w:jc w:val="center"/>
            </w:pPr>
            <w:r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:rsidR="00BC2D06" w:rsidRPr="00957573" w:rsidRDefault="00BC2D06" w:rsidP="00BC2D06">
      <w:pPr>
        <w:ind w:left="360"/>
        <w:rPr>
          <w:rFonts w:ascii="Arial" w:hAnsi="Arial" w:cs="Arial"/>
        </w:rPr>
      </w:pPr>
    </w:p>
    <w:p w:rsidR="004A490A" w:rsidRDefault="00B815FD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A84487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4A490A" w:rsidRPr="00073E79">
        <w:rPr>
          <w:rFonts w:ascii="Arial" w:hAnsi="Arial" w:cs="Arial"/>
          <w:i/>
          <w:sz w:val="22"/>
          <w:szCs w:val="22"/>
        </w:rPr>
        <w:t xml:space="preserve"> for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TAC </w:t>
      </w:r>
      <w:r w:rsidR="00627F3F">
        <w:rPr>
          <w:rFonts w:ascii="Arial" w:hAnsi="Arial" w:cs="Arial"/>
          <w:i/>
          <w:sz w:val="22"/>
          <w:szCs w:val="22"/>
        </w:rPr>
        <w:t>Approval</w:t>
      </w:r>
    </w:p>
    <w:p w:rsidR="00A25870" w:rsidRPr="0046660A" w:rsidRDefault="00A25870" w:rsidP="00A25870">
      <w:pPr>
        <w:spacing w:before="120" w:after="120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t>06/24</w:t>
      </w:r>
      <w:r w:rsidRPr="00D877FF">
        <w:rPr>
          <w:rFonts w:ascii="Arial" w:hAnsi="Arial" w:cs="Arial"/>
          <w:iCs/>
          <w:u w:val="single"/>
        </w:rPr>
        <w:t>/2</w:t>
      </w:r>
      <w:r>
        <w:rPr>
          <w:rFonts w:ascii="Arial" w:hAnsi="Arial" w:cs="Arial"/>
          <w:iCs/>
          <w:u w:val="single"/>
        </w:rPr>
        <w:t>0 TAC Meeting</w:t>
      </w:r>
      <w:r w:rsidR="00883B95">
        <w:rPr>
          <w:rFonts w:ascii="Arial" w:hAnsi="Arial" w:cs="Arial"/>
          <w:iCs/>
          <w:u w:val="single"/>
        </w:rPr>
        <w:t>:</w:t>
      </w:r>
      <w:r>
        <w:rPr>
          <w:rFonts w:ascii="Arial" w:hAnsi="Arial" w:cs="Arial"/>
          <w:iCs/>
          <w:u w:val="single"/>
        </w:rPr>
        <w:t xml:space="preserve"> (Consensus from 06/12</w:t>
      </w:r>
      <w:r w:rsidRPr="008B3091">
        <w:rPr>
          <w:rFonts w:ascii="Arial" w:hAnsi="Arial" w:cs="Arial"/>
          <w:iCs/>
          <w:u w:val="single"/>
        </w:rPr>
        <w:t>/20</w:t>
      </w:r>
      <w:r w:rsidRPr="00D877FF">
        <w:rPr>
          <w:rFonts w:ascii="Arial" w:hAnsi="Arial" w:cs="Arial"/>
          <w:iCs/>
          <w:u w:val="single"/>
        </w:rPr>
        <w:t xml:space="preserve"> BESTF meeting):</w:t>
      </w:r>
    </w:p>
    <w:p w:rsidR="00A25870" w:rsidRPr="00F740F8" w:rsidRDefault="00883B95" w:rsidP="00A25870">
      <w:pPr>
        <w:pStyle w:val="BodyTex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KTC15 </w:t>
      </w:r>
      <w:r w:rsidR="00A25870">
        <w:rPr>
          <w:rFonts w:ascii="Arial" w:hAnsi="Arial" w:cs="Arial"/>
          <w:iCs/>
        </w:rPr>
        <w:t>Item 2</w:t>
      </w:r>
      <w:r w:rsidR="00A25870" w:rsidRPr="00F740F8">
        <w:rPr>
          <w:rFonts w:ascii="Arial" w:hAnsi="Arial" w:cs="Arial"/>
          <w:iCs/>
        </w:rPr>
        <w:t>:</w:t>
      </w:r>
    </w:p>
    <w:p w:rsidR="00E344A2" w:rsidRDefault="00E344A2" w:rsidP="00E344A2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E</w:t>
      </w:r>
      <w:r w:rsidR="00CC5A6C">
        <w:rPr>
          <w:rFonts w:cs="Arial"/>
          <w:iCs/>
          <w:color w:val="auto"/>
        </w:rPr>
        <w:t>nergy Storage Resources (ESRs)</w:t>
      </w:r>
      <w:r>
        <w:rPr>
          <w:rFonts w:cs="Arial"/>
          <w:iCs/>
          <w:color w:val="auto"/>
        </w:rPr>
        <w:t xml:space="preserve"> will be eligible for consideratio</w:t>
      </w:r>
      <w:r w:rsidR="0040588D">
        <w:rPr>
          <w:rFonts w:cs="Arial"/>
          <w:iCs/>
          <w:color w:val="auto"/>
        </w:rPr>
        <w:t>n to recover the following costs</w:t>
      </w:r>
      <w:r>
        <w:rPr>
          <w:rFonts w:cs="Arial"/>
          <w:iCs/>
          <w:color w:val="auto"/>
        </w:rPr>
        <w:t>:</w:t>
      </w:r>
    </w:p>
    <w:p w:rsidR="00CC5A6C" w:rsidRPr="00CC5A6C" w:rsidRDefault="00E344A2" w:rsidP="00A25870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cs="Arial"/>
          <w:color w:val="auto"/>
        </w:rPr>
      </w:pPr>
      <w:r w:rsidRPr="00CC5A6C">
        <w:rPr>
          <w:rFonts w:cs="Arial"/>
          <w:iCs/>
          <w:color w:val="auto"/>
        </w:rPr>
        <w:t>Electricity charging costs that occurred before the Market Suspension</w:t>
      </w:r>
      <w:r w:rsidR="00CC5A6C" w:rsidRPr="00CC5A6C">
        <w:rPr>
          <w:rFonts w:cs="Arial"/>
          <w:iCs/>
          <w:color w:val="auto"/>
        </w:rPr>
        <w:t xml:space="preserve">. </w:t>
      </w:r>
      <w:r w:rsidR="00CC5A6C" w:rsidRPr="00CC5A6C">
        <w:rPr>
          <w:rFonts w:cs="Arial"/>
          <w:color w:val="auto"/>
        </w:rPr>
        <w:t xml:space="preserve">To be eligible to recover these costs, the ESR state-of-charge (SOC) at the end of the Market Suspension must be less than the SOC at the beginning of the Market Suspension period. </w:t>
      </w:r>
      <w:r w:rsidR="002E4FC9">
        <w:rPr>
          <w:rFonts w:cs="Arial"/>
          <w:color w:val="auto"/>
        </w:rPr>
        <w:t>In addition, t</w:t>
      </w:r>
      <w:r w:rsidR="00CC5A6C" w:rsidRPr="00CC5A6C">
        <w:rPr>
          <w:rFonts w:cs="Arial"/>
          <w:color w:val="auto"/>
        </w:rPr>
        <w:t>he QSE representing the ESR must submit the following data within 5 months of a Market Restart:</w:t>
      </w:r>
    </w:p>
    <w:p w:rsidR="00CC5A6C" w:rsidRDefault="00CC5A6C" w:rsidP="00CC5A6C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Electricity costs incurred to</w:t>
      </w:r>
      <w:r w:rsidR="002E4FC9">
        <w:rPr>
          <w:rFonts w:cs="Arial"/>
          <w:iCs/>
          <w:color w:val="auto"/>
        </w:rPr>
        <w:t xml:space="preserve"> charge the battery prior to a M</w:t>
      </w:r>
      <w:r>
        <w:rPr>
          <w:rFonts w:cs="Arial"/>
          <w:iCs/>
          <w:color w:val="auto"/>
        </w:rPr>
        <w:t>arket Suspension</w:t>
      </w:r>
      <w:r w:rsidRPr="0009111B">
        <w:rPr>
          <w:rFonts w:cs="Arial"/>
          <w:iCs/>
          <w:color w:val="auto"/>
        </w:rPr>
        <w:t>.</w:t>
      </w:r>
    </w:p>
    <w:p w:rsidR="006601C2" w:rsidRDefault="006601C2" w:rsidP="006601C2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The discharge MWh difference of the SOC described in a</w:t>
      </w:r>
      <w:r w:rsidR="002E4FC9">
        <w:rPr>
          <w:rFonts w:cs="Arial"/>
          <w:iCs/>
          <w:color w:val="auto"/>
        </w:rPr>
        <w:t>.</w:t>
      </w:r>
      <w:r>
        <w:rPr>
          <w:rFonts w:cs="Arial"/>
          <w:iCs/>
          <w:color w:val="auto"/>
        </w:rPr>
        <w:t xml:space="preserve"> above</w:t>
      </w:r>
      <w:r w:rsidRPr="0009111B">
        <w:rPr>
          <w:rFonts w:cs="Arial"/>
          <w:iCs/>
          <w:color w:val="auto"/>
        </w:rPr>
        <w:t>.</w:t>
      </w:r>
    </w:p>
    <w:p w:rsidR="00C4001B" w:rsidRPr="00C4001B" w:rsidRDefault="00C4001B" w:rsidP="00C4001B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C4001B">
        <w:rPr>
          <w:rFonts w:cs="Arial"/>
          <w:iCs/>
          <w:color w:val="auto"/>
        </w:rPr>
        <w:t>Charging related costs will be compensated on the Resource’s most recent MWh consumption prior to the Market Suspension</w:t>
      </w:r>
    </w:p>
    <w:p w:rsidR="002E4FC9" w:rsidRDefault="002E4FC9" w:rsidP="002E4FC9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cs="Arial"/>
          <w:color w:val="auto"/>
        </w:rPr>
      </w:pPr>
      <w:r>
        <w:rPr>
          <w:rFonts w:cs="Arial"/>
          <w:color w:val="auto"/>
        </w:rPr>
        <w:lastRenderedPageBreak/>
        <w:t>Variable operations and maintenance (O&amp;M) costs incurred during the Market Suspension period. The O&amp;M costs will be calculated based</w:t>
      </w:r>
      <w:r w:rsidR="00480563">
        <w:rPr>
          <w:rFonts w:cs="Arial"/>
          <w:color w:val="auto"/>
        </w:rPr>
        <w:t xml:space="preserve"> on a constant variable O&amp;M rate times the MWhs generated during the Market Suspension period, where the variable O&amp;M rate is:</w:t>
      </w:r>
    </w:p>
    <w:p w:rsidR="005A29B0" w:rsidRPr="00480563" w:rsidRDefault="00325A5A" w:rsidP="00480563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480563">
        <w:rPr>
          <w:rFonts w:cs="Arial"/>
          <w:iCs/>
          <w:color w:val="auto"/>
        </w:rPr>
        <w:t xml:space="preserve">$0.3/MWh, or </w:t>
      </w:r>
    </w:p>
    <w:p w:rsidR="002E4FC9" w:rsidRPr="00480563" w:rsidRDefault="00325A5A" w:rsidP="00480563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480563">
        <w:rPr>
          <w:rFonts w:cs="Arial"/>
          <w:iCs/>
          <w:color w:val="auto"/>
        </w:rPr>
        <w:t>Actual O&amp;M value incurred</w:t>
      </w:r>
      <w:r w:rsidR="007208A1">
        <w:rPr>
          <w:rFonts w:cs="Arial"/>
          <w:iCs/>
          <w:color w:val="auto"/>
        </w:rPr>
        <w:t>,</w:t>
      </w:r>
      <w:r w:rsidR="002E4FC9" w:rsidRPr="00480563">
        <w:rPr>
          <w:rFonts w:cs="Arial"/>
          <w:iCs/>
          <w:color w:val="auto"/>
        </w:rPr>
        <w:t xml:space="preserve"> </w:t>
      </w:r>
      <w:r w:rsidR="007208A1">
        <w:rPr>
          <w:rFonts w:cs="Arial"/>
          <w:iCs/>
          <w:color w:val="auto"/>
        </w:rPr>
        <w:t>if</w:t>
      </w:r>
      <w:r w:rsidR="00480563">
        <w:rPr>
          <w:rFonts w:cs="Arial"/>
          <w:iCs/>
          <w:color w:val="auto"/>
        </w:rPr>
        <w:t xml:space="preserve"> submitted within </w:t>
      </w:r>
      <w:r w:rsidR="00480563" w:rsidRPr="00CC5A6C">
        <w:rPr>
          <w:rFonts w:cs="Arial"/>
          <w:color w:val="auto"/>
        </w:rPr>
        <w:t>5 months of a Market Restart</w:t>
      </w:r>
    </w:p>
    <w:p w:rsidR="0040588D" w:rsidRPr="0040588D" w:rsidRDefault="0040588D" w:rsidP="0040588D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color w:val="auto"/>
        </w:rPr>
      </w:pPr>
      <w:r w:rsidRPr="0040588D">
        <w:rPr>
          <w:rFonts w:cs="Arial"/>
          <w:color w:val="auto"/>
        </w:rPr>
        <w:t>ESRs will not be paid a price for generation that occurred during the Market Suspension period.</w:t>
      </w:r>
    </w:p>
    <w:p w:rsidR="00E344A2" w:rsidRPr="0040588D" w:rsidRDefault="00E344A2" w:rsidP="0040588D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color w:val="auto"/>
        </w:rPr>
      </w:pPr>
      <w:r w:rsidRPr="0040588D">
        <w:rPr>
          <w:rFonts w:cs="Arial"/>
          <w:color w:val="auto"/>
        </w:rPr>
        <w:t>ESRs will not be charge</w:t>
      </w:r>
      <w:r w:rsidR="000556F3">
        <w:rPr>
          <w:rFonts w:cs="Arial"/>
          <w:color w:val="auto"/>
        </w:rPr>
        <w:t>d</w:t>
      </w:r>
      <w:r w:rsidRPr="0040588D">
        <w:rPr>
          <w:rFonts w:cs="Arial"/>
          <w:color w:val="auto"/>
        </w:rPr>
        <w:t xml:space="preserve"> a price for consumption that occurred during the Market Suspension period</w:t>
      </w:r>
      <w:r w:rsidR="00325A5A">
        <w:rPr>
          <w:rFonts w:cs="Arial"/>
          <w:color w:val="auto"/>
        </w:rPr>
        <w:t>.</w:t>
      </w:r>
    </w:p>
    <w:p w:rsidR="00FC6B06" w:rsidRDefault="00FC6B06" w:rsidP="00FC6B06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color w:val="auto"/>
        </w:rPr>
      </w:pPr>
      <w:r>
        <w:rPr>
          <w:rFonts w:cs="Arial"/>
          <w:color w:val="auto"/>
        </w:rPr>
        <w:t xml:space="preserve">Costs </w:t>
      </w:r>
      <w:r w:rsidRPr="00FC6B06">
        <w:rPr>
          <w:rFonts w:cs="Arial"/>
          <w:color w:val="auto"/>
        </w:rPr>
        <w:t>incurred by the ESR prior and during the Market Suspension Period (e.g., load and O&amp;M charg</w:t>
      </w:r>
      <w:r>
        <w:rPr>
          <w:rFonts w:cs="Arial"/>
          <w:color w:val="auto"/>
        </w:rPr>
        <w:t>es) shall be included in the calculation of the Generation Resource Make-Whole Payment.</w:t>
      </w:r>
    </w:p>
    <w:p w:rsidR="00FC6B06" w:rsidRDefault="00FC6B06" w:rsidP="00FC6B06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color w:val="auto"/>
        </w:rPr>
      </w:pPr>
      <w:r>
        <w:rPr>
          <w:rFonts w:cs="Arial"/>
          <w:color w:val="auto"/>
        </w:rPr>
        <w:t>Make-Whole Payment</w:t>
      </w:r>
      <w:r w:rsidR="00325A5A">
        <w:rPr>
          <w:rFonts w:cs="Arial"/>
          <w:color w:val="auto"/>
        </w:rPr>
        <w:t>s</w:t>
      </w:r>
      <w:r>
        <w:rPr>
          <w:rFonts w:cs="Arial"/>
          <w:color w:val="auto"/>
        </w:rPr>
        <w:t xml:space="preserve"> to ESRs will be allocated to the LRS </w:t>
      </w:r>
      <w:r w:rsidRPr="00FC6B06">
        <w:rPr>
          <w:rFonts w:cs="Arial"/>
          <w:color w:val="auto"/>
        </w:rPr>
        <w:t xml:space="preserve">that occurred during the </w:t>
      </w:r>
      <w:r>
        <w:rPr>
          <w:rFonts w:cs="Arial"/>
          <w:color w:val="auto"/>
        </w:rPr>
        <w:t xml:space="preserve">Market Suspension </w:t>
      </w:r>
      <w:r w:rsidRPr="00FC6B06">
        <w:rPr>
          <w:rFonts w:cs="Arial"/>
          <w:color w:val="auto"/>
        </w:rPr>
        <w:t>period</w:t>
      </w:r>
      <w:r w:rsidR="00C4001B">
        <w:rPr>
          <w:rFonts w:cs="Arial"/>
          <w:color w:val="auto"/>
        </w:rPr>
        <w:t>,</w:t>
      </w:r>
      <w:r w:rsidRPr="00FC6B06">
        <w:rPr>
          <w:rFonts w:cs="Arial"/>
          <w:color w:val="auto"/>
        </w:rPr>
        <w:t xml:space="preserve"> on a daily load ratio share basis</w:t>
      </w:r>
      <w:r>
        <w:rPr>
          <w:rFonts w:cs="Arial"/>
          <w:color w:val="auto"/>
        </w:rPr>
        <w:t>.</w:t>
      </w:r>
    </w:p>
    <w:p w:rsidR="006369B2" w:rsidRPr="00682CB6" w:rsidRDefault="00682CB6" w:rsidP="00682CB6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682CB6">
        <w:rPr>
          <w:rFonts w:cs="Arial"/>
          <w:iCs/>
          <w:color w:val="auto"/>
        </w:rPr>
        <w:t xml:space="preserve">DC-Coupled Resources that discharge during the Market Suspension period will be eligible </w:t>
      </w:r>
      <w:r>
        <w:rPr>
          <w:rFonts w:cs="Arial"/>
          <w:iCs/>
          <w:color w:val="auto"/>
        </w:rPr>
        <w:t xml:space="preserve">to recover operating costs based on the following </w:t>
      </w:r>
      <w:r w:rsidRPr="00682CB6">
        <w:rPr>
          <w:rFonts w:cs="Arial"/>
          <w:iCs/>
          <w:color w:val="auto"/>
        </w:rPr>
        <w:t>variable O&amp;M</w:t>
      </w:r>
      <w:r>
        <w:rPr>
          <w:rFonts w:cs="Arial"/>
          <w:iCs/>
          <w:color w:val="auto"/>
        </w:rPr>
        <w:t xml:space="preserve"> values</w:t>
      </w:r>
      <w:r w:rsidRPr="00682CB6">
        <w:rPr>
          <w:rFonts w:cs="Arial"/>
          <w:iCs/>
          <w:color w:val="auto"/>
        </w:rPr>
        <w:t>:</w:t>
      </w:r>
    </w:p>
    <w:p w:rsidR="006369B2" w:rsidRPr="00682CB6" w:rsidRDefault="00682CB6" w:rsidP="00682CB6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682CB6">
        <w:rPr>
          <w:rFonts w:cs="Arial"/>
          <w:iCs/>
          <w:color w:val="auto"/>
        </w:rPr>
        <w:t>Standard O&amp;M value as defined in the Protocols ($4.40/MWh</w:t>
      </w:r>
      <w:r>
        <w:rPr>
          <w:rStyle w:val="FootnoteReference"/>
          <w:rFonts w:cs="Arial"/>
          <w:iCs/>
          <w:color w:val="auto"/>
        </w:rPr>
        <w:footnoteReference w:id="1"/>
      </w:r>
      <w:r w:rsidRPr="00682CB6">
        <w:rPr>
          <w:rFonts w:cs="Arial"/>
          <w:iCs/>
          <w:color w:val="auto"/>
        </w:rPr>
        <w:t>), or</w:t>
      </w:r>
    </w:p>
    <w:p w:rsidR="007208A1" w:rsidRPr="00480563" w:rsidRDefault="00682CB6" w:rsidP="007208A1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682CB6">
        <w:rPr>
          <w:rFonts w:cs="Arial"/>
          <w:iCs/>
          <w:color w:val="auto"/>
        </w:rPr>
        <w:t>Actual O&amp;M value incurred</w:t>
      </w:r>
      <w:r w:rsidR="007208A1">
        <w:rPr>
          <w:rFonts w:cs="Arial"/>
          <w:iCs/>
          <w:color w:val="auto"/>
        </w:rPr>
        <w:t xml:space="preserve">, if submitted within </w:t>
      </w:r>
      <w:r w:rsidR="007208A1" w:rsidRPr="00CC5A6C">
        <w:rPr>
          <w:rFonts w:cs="Arial"/>
          <w:color w:val="auto"/>
        </w:rPr>
        <w:t>5 months of a Market Restart</w:t>
      </w:r>
    </w:p>
    <w:p w:rsidR="00E828CD" w:rsidRPr="00FC6B06" w:rsidRDefault="00E828CD" w:rsidP="00E828CD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color w:val="auto"/>
        </w:rPr>
      </w:pPr>
      <w:r>
        <w:rPr>
          <w:rFonts w:cs="Arial"/>
          <w:color w:val="auto"/>
        </w:rPr>
        <w:t>Metered load to charge the ESR</w:t>
      </w:r>
      <w:r w:rsidR="000556F3">
        <w:rPr>
          <w:rFonts w:cs="Arial"/>
          <w:color w:val="auto"/>
        </w:rPr>
        <w:t>,</w:t>
      </w:r>
      <w:r>
        <w:rPr>
          <w:rFonts w:cs="Arial"/>
          <w:color w:val="auto"/>
        </w:rPr>
        <w:t xml:space="preserve"> </w:t>
      </w:r>
      <w:r w:rsidRPr="00FC6B06">
        <w:rPr>
          <w:rFonts w:cs="Arial"/>
          <w:color w:val="auto"/>
        </w:rPr>
        <w:t>(MEBL + MEBR)</w:t>
      </w:r>
      <w:r>
        <w:rPr>
          <w:rStyle w:val="FootnoteReference"/>
          <w:rFonts w:cs="Arial"/>
          <w:color w:val="auto"/>
        </w:rPr>
        <w:footnoteReference w:id="2"/>
      </w:r>
      <w:r w:rsidR="000556F3">
        <w:rPr>
          <w:rFonts w:cs="Arial"/>
          <w:color w:val="auto"/>
        </w:rPr>
        <w:t>,</w:t>
      </w:r>
      <w:r w:rsidRPr="00FC6B06">
        <w:rPr>
          <w:rFonts w:cs="Arial"/>
          <w:color w:val="auto"/>
        </w:rPr>
        <w:t xml:space="preserve"> will not be a</w:t>
      </w:r>
      <w:r>
        <w:rPr>
          <w:rFonts w:cs="Arial"/>
          <w:color w:val="auto"/>
        </w:rPr>
        <w:t>llocated Market Suspension Make-</w:t>
      </w:r>
      <w:r w:rsidRPr="00FC6B06">
        <w:rPr>
          <w:rFonts w:cs="Arial"/>
          <w:color w:val="auto"/>
        </w:rPr>
        <w:t xml:space="preserve">Whole </w:t>
      </w:r>
      <w:r>
        <w:rPr>
          <w:rFonts w:cs="Arial"/>
          <w:color w:val="auto"/>
        </w:rPr>
        <w:t xml:space="preserve">Payment </w:t>
      </w:r>
      <w:r w:rsidRPr="00FC6B06">
        <w:rPr>
          <w:rFonts w:cs="Arial"/>
          <w:color w:val="auto"/>
        </w:rPr>
        <w:t>costs</w:t>
      </w:r>
      <w:r>
        <w:rPr>
          <w:rFonts w:cs="Arial"/>
          <w:color w:val="auto"/>
        </w:rPr>
        <w:t>.</w:t>
      </w:r>
    </w:p>
    <w:p w:rsidR="00AC71E0" w:rsidRDefault="00AC71E0" w:rsidP="004A0BBF">
      <w:pPr>
        <w:pStyle w:val="ListParagraph"/>
        <w:spacing w:before="120" w:after="120"/>
        <w:ind w:left="1440"/>
        <w:rPr>
          <w:rFonts w:cs="Arial"/>
          <w:iCs/>
          <w:color w:val="auto"/>
        </w:rPr>
      </w:pPr>
    </w:p>
    <w:p w:rsidR="00883B95" w:rsidRPr="00073E79" w:rsidRDefault="00883B95" w:rsidP="00883B95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</w:p>
    <w:p w:rsidR="00883B95" w:rsidRPr="00073E79" w:rsidRDefault="00883B95" w:rsidP="00883B95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recommendation Language Previously </w:t>
      </w:r>
      <w:r>
        <w:rPr>
          <w:rFonts w:ascii="Arial" w:hAnsi="Arial" w:cs="Arial"/>
          <w:i/>
          <w:sz w:val="22"/>
          <w:szCs w:val="22"/>
        </w:rPr>
        <w:t>APProved</w:t>
      </w:r>
      <w:r w:rsidRPr="00073E79">
        <w:rPr>
          <w:rFonts w:ascii="Arial" w:hAnsi="Arial" w:cs="Arial"/>
          <w:i/>
          <w:sz w:val="22"/>
          <w:szCs w:val="22"/>
        </w:rPr>
        <w:t xml:space="preserve"> by tac</w:t>
      </w:r>
    </w:p>
    <w:p w:rsidR="00883B95" w:rsidRDefault="00883B95" w:rsidP="00883B95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None.</w:t>
      </w:r>
    </w:p>
    <w:p w:rsidR="00883B95" w:rsidRPr="00073E79" w:rsidRDefault="00883B95" w:rsidP="00883B95">
      <w:pPr>
        <w:ind w:left="360" w:hanging="360"/>
        <w:rPr>
          <w:rFonts w:ascii="Arial" w:hAnsi="Arial" w:cs="Arial"/>
          <w:sz w:val="22"/>
          <w:szCs w:val="22"/>
        </w:rPr>
      </w:pPr>
    </w:p>
    <w:p w:rsidR="00883B95" w:rsidRPr="00073E79" w:rsidRDefault="00883B95" w:rsidP="00883B95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>Key Topic/Concept recommendation Language IN DISCUSSION AT BESTF</w:t>
      </w:r>
    </w:p>
    <w:p w:rsidR="00883B95" w:rsidRDefault="00883B95" w:rsidP="00883B95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None.</w:t>
      </w:r>
    </w:p>
    <w:p w:rsidR="00883B95" w:rsidRPr="00883B95" w:rsidRDefault="00883B95" w:rsidP="00883B95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</w:p>
    <w:p w:rsidR="004A490A" w:rsidRPr="00073E79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>Future Decision Points and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 w:rsidRPr="00073E79">
        <w:rPr>
          <w:rFonts w:ascii="Arial" w:hAnsi="Arial" w:cs="Arial"/>
          <w:i/>
          <w:sz w:val="22"/>
          <w:szCs w:val="22"/>
        </w:rPr>
        <w:t>Concept recommendation Language</w:t>
      </w:r>
    </w:p>
    <w:p w:rsidR="00BE67D9" w:rsidRPr="00073E79" w:rsidRDefault="00514E96" w:rsidP="00994434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None.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Default="004A490A" w:rsidP="0050618E">
            <w:pPr>
              <w:pStyle w:val="NormalArial"/>
            </w:pPr>
          </w:p>
          <w:p w:rsidR="004A490A" w:rsidRDefault="004A490A" w:rsidP="00383B4E">
            <w:pPr>
              <w:pStyle w:val="NormalArial"/>
            </w:pPr>
          </w:p>
        </w:tc>
      </w:tr>
      <w:tr w:rsidR="004A490A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:rsidR="00B15817" w:rsidRDefault="00B15817" w:rsidP="00BC2D06"/>
    <w:sectPr w:rsidR="00B15817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EF0F4A" w16cid:durableId="220CD5E6"/>
  <w16cid:commentId w16cid:paraId="78AD9937" w16cid:durableId="220CD66F"/>
  <w16cid:commentId w16cid:paraId="54F6FDDC" w16cid:durableId="220CD6CD"/>
  <w16cid:commentId w16cid:paraId="3C2AC35C" w16cid:durableId="220CDF0B"/>
  <w16cid:commentId w16cid:paraId="7139DD61" w16cid:durableId="220CD729"/>
  <w16cid:commentId w16cid:paraId="0D407174" w16cid:durableId="2210B3E3"/>
  <w16cid:commentId w16cid:paraId="5BC0E8AE" w16cid:durableId="220CD9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870" w:rsidRDefault="00A25870">
      <w:r>
        <w:separator/>
      </w:r>
    </w:p>
  </w:endnote>
  <w:endnote w:type="continuationSeparator" w:id="0">
    <w:p w:rsidR="00A25870" w:rsidRDefault="00A2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870" w:rsidRPr="00412DCA" w:rsidRDefault="00A2587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870" w:rsidRDefault="00A25870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Key Topic/Concept (KTC) 15.2 (</w:t>
    </w:r>
    <w:r w:rsidR="00883B95">
      <w:rPr>
        <w:rFonts w:ascii="Arial" w:hAnsi="Arial" w:cs="Arial"/>
        <w:sz w:val="18"/>
      </w:rPr>
      <w:t xml:space="preserve">BESTF Consensus Document from </w:t>
    </w:r>
    <w:r w:rsidR="00883B95">
      <w:rPr>
        <w:rFonts w:ascii="Arial" w:hAnsi="Arial" w:cs="Arial"/>
        <w:sz w:val="18"/>
      </w:rPr>
      <w:t>06-12-20 BESTF Meeting</w:t>
    </w:r>
    <w:r>
      <w:rPr>
        <w:rFonts w:ascii="Arial" w:hAnsi="Arial" w:cs="Arial"/>
        <w:sz w:val="18"/>
      </w:rPr>
      <w:t>)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B95C39">
      <w:rPr>
        <w:rFonts w:ascii="Arial" w:hAnsi="Arial" w:cs="Arial"/>
        <w:noProof/>
        <w:sz w:val="18"/>
      </w:rPr>
      <w:t>3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B95C39">
      <w:rPr>
        <w:rFonts w:ascii="Arial" w:hAnsi="Arial" w:cs="Arial"/>
        <w:noProof/>
        <w:sz w:val="18"/>
      </w:rPr>
      <w:t>3</w:t>
    </w:r>
    <w:r w:rsidRPr="00412DCA">
      <w:rPr>
        <w:rFonts w:ascii="Arial" w:hAnsi="Arial" w:cs="Arial"/>
        <w:sz w:val="18"/>
      </w:rPr>
      <w:fldChar w:fldCharType="end"/>
    </w:r>
  </w:p>
  <w:p w:rsidR="00A25870" w:rsidRPr="00412DCA" w:rsidRDefault="00A25870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870" w:rsidRPr="00412DCA" w:rsidRDefault="00A2587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870" w:rsidRDefault="00A25870">
      <w:r>
        <w:separator/>
      </w:r>
    </w:p>
  </w:footnote>
  <w:footnote w:type="continuationSeparator" w:id="0">
    <w:p w:rsidR="00A25870" w:rsidRDefault="00A25870">
      <w:r>
        <w:continuationSeparator/>
      </w:r>
    </w:p>
  </w:footnote>
  <w:footnote w:id="1">
    <w:p w:rsidR="00A25870" w:rsidRDefault="00A258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82CB6">
        <w:t>Variable O&amp;M costs for renewable Resources per 5.6.1 Verifiable Costs, paragraph (6), Table (c)</w:t>
      </w:r>
    </w:p>
  </w:footnote>
  <w:footnote w:id="2">
    <w:p w:rsidR="00A25870" w:rsidRPr="007208A1" w:rsidRDefault="00A25870" w:rsidP="00E828CD">
      <w:pPr>
        <w:pStyle w:val="FootnoteText"/>
      </w:pPr>
      <w:r>
        <w:rPr>
          <w:rStyle w:val="FootnoteReference"/>
        </w:rPr>
        <w:footnoteRef/>
      </w:r>
      <w:r>
        <w:t xml:space="preserve"> Measured </w:t>
      </w:r>
      <w:r w:rsidRPr="007208A1">
        <w:t>metered load as defined in NPRR986, BESTF-2 Energy Storage Resource Energy Offer Curves, Pricing, Dispatch, and Mitigation</w:t>
      </w:r>
    </w:p>
    <w:p w:rsidR="00A25870" w:rsidRDefault="00A25870" w:rsidP="00E828C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870" w:rsidRDefault="00A25870" w:rsidP="0088730E">
    <w:pPr>
      <w:pStyle w:val="Header"/>
      <w:jc w:val="center"/>
      <w:rPr>
        <w:sz w:val="32"/>
      </w:rPr>
    </w:pPr>
    <w:r>
      <w:rPr>
        <w:sz w:val="32"/>
      </w:rPr>
      <w:t>Battery Energy Storage Key Topic/Concept Recommendation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81F1F"/>
    <w:multiLevelType w:val="hybridMultilevel"/>
    <w:tmpl w:val="3BB4C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63B5F"/>
    <w:multiLevelType w:val="hybridMultilevel"/>
    <w:tmpl w:val="DA50C4F6"/>
    <w:lvl w:ilvl="0" w:tplc="A74A48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004A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AE03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638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C689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6FB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255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AA9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285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63C86"/>
    <w:multiLevelType w:val="hybridMultilevel"/>
    <w:tmpl w:val="2A20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845AD"/>
    <w:multiLevelType w:val="hybridMultilevel"/>
    <w:tmpl w:val="A6AA6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C1F60"/>
    <w:multiLevelType w:val="hybridMultilevel"/>
    <w:tmpl w:val="D3DE6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75A51"/>
    <w:multiLevelType w:val="hybridMultilevel"/>
    <w:tmpl w:val="1CDC7C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B554A2"/>
    <w:multiLevelType w:val="hybridMultilevel"/>
    <w:tmpl w:val="693A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42718"/>
    <w:multiLevelType w:val="hybridMultilevel"/>
    <w:tmpl w:val="029ECEAE"/>
    <w:lvl w:ilvl="0" w:tplc="7FA8C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A7C50">
      <w:start w:val="1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E1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4F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24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ED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8A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61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83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A0D1EB3"/>
    <w:multiLevelType w:val="hybridMultilevel"/>
    <w:tmpl w:val="F2C4C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9220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13C1"/>
    <w:rsid w:val="00002043"/>
    <w:rsid w:val="000041B2"/>
    <w:rsid w:val="000044F4"/>
    <w:rsid w:val="00006711"/>
    <w:rsid w:val="00016A32"/>
    <w:rsid w:val="000173B2"/>
    <w:rsid w:val="00017417"/>
    <w:rsid w:val="00032100"/>
    <w:rsid w:val="00042BC7"/>
    <w:rsid w:val="00050616"/>
    <w:rsid w:val="0005511D"/>
    <w:rsid w:val="000556F3"/>
    <w:rsid w:val="00060A5A"/>
    <w:rsid w:val="000629A5"/>
    <w:rsid w:val="00064B44"/>
    <w:rsid w:val="00067219"/>
    <w:rsid w:val="00067FE2"/>
    <w:rsid w:val="000730E5"/>
    <w:rsid w:val="00073E79"/>
    <w:rsid w:val="0007682E"/>
    <w:rsid w:val="0008084B"/>
    <w:rsid w:val="00083364"/>
    <w:rsid w:val="000849FF"/>
    <w:rsid w:val="0009111B"/>
    <w:rsid w:val="000B4575"/>
    <w:rsid w:val="000B586B"/>
    <w:rsid w:val="000B691A"/>
    <w:rsid w:val="000C232B"/>
    <w:rsid w:val="000D09D1"/>
    <w:rsid w:val="000D0BDF"/>
    <w:rsid w:val="000D1AEB"/>
    <w:rsid w:val="000D3E64"/>
    <w:rsid w:val="000F13C5"/>
    <w:rsid w:val="000F3BC2"/>
    <w:rsid w:val="000F464E"/>
    <w:rsid w:val="000F5AB7"/>
    <w:rsid w:val="0010122B"/>
    <w:rsid w:val="00105A36"/>
    <w:rsid w:val="00107D6A"/>
    <w:rsid w:val="001168E0"/>
    <w:rsid w:val="001313B4"/>
    <w:rsid w:val="0014546D"/>
    <w:rsid w:val="0014561B"/>
    <w:rsid w:val="001500D9"/>
    <w:rsid w:val="001507C7"/>
    <w:rsid w:val="00152A57"/>
    <w:rsid w:val="00155C47"/>
    <w:rsid w:val="00156DB7"/>
    <w:rsid w:val="00157228"/>
    <w:rsid w:val="00160C3C"/>
    <w:rsid w:val="00161490"/>
    <w:rsid w:val="0016203C"/>
    <w:rsid w:val="001724BE"/>
    <w:rsid w:val="00172A98"/>
    <w:rsid w:val="00174C84"/>
    <w:rsid w:val="0017783C"/>
    <w:rsid w:val="0019314C"/>
    <w:rsid w:val="001A7A9B"/>
    <w:rsid w:val="001B47E3"/>
    <w:rsid w:val="001B67E6"/>
    <w:rsid w:val="001B6827"/>
    <w:rsid w:val="001C1790"/>
    <w:rsid w:val="001C23AA"/>
    <w:rsid w:val="001C2B1C"/>
    <w:rsid w:val="001C4FAB"/>
    <w:rsid w:val="001C575C"/>
    <w:rsid w:val="001C6C4E"/>
    <w:rsid w:val="001E15A0"/>
    <w:rsid w:val="001E44C8"/>
    <w:rsid w:val="001E5EB4"/>
    <w:rsid w:val="001E6C1F"/>
    <w:rsid w:val="001F2A7E"/>
    <w:rsid w:val="001F38F0"/>
    <w:rsid w:val="001F3E90"/>
    <w:rsid w:val="00210802"/>
    <w:rsid w:val="00237426"/>
    <w:rsid w:val="00237430"/>
    <w:rsid w:val="00243D17"/>
    <w:rsid w:val="0025413A"/>
    <w:rsid w:val="00263AC9"/>
    <w:rsid w:val="002716F2"/>
    <w:rsid w:val="00273AE9"/>
    <w:rsid w:val="00276A99"/>
    <w:rsid w:val="00284E7E"/>
    <w:rsid w:val="00286AD9"/>
    <w:rsid w:val="00290376"/>
    <w:rsid w:val="00292AC2"/>
    <w:rsid w:val="00293403"/>
    <w:rsid w:val="002966F3"/>
    <w:rsid w:val="002A4DD6"/>
    <w:rsid w:val="002A7ACE"/>
    <w:rsid w:val="002B21FF"/>
    <w:rsid w:val="002B27E4"/>
    <w:rsid w:val="002B5DD7"/>
    <w:rsid w:val="002B62BF"/>
    <w:rsid w:val="002B69F3"/>
    <w:rsid w:val="002B763A"/>
    <w:rsid w:val="002C0AE6"/>
    <w:rsid w:val="002D382A"/>
    <w:rsid w:val="002D4395"/>
    <w:rsid w:val="002E106A"/>
    <w:rsid w:val="002E4FC9"/>
    <w:rsid w:val="002F1EDD"/>
    <w:rsid w:val="0030064A"/>
    <w:rsid w:val="003013F2"/>
    <w:rsid w:val="0030232A"/>
    <w:rsid w:val="00302C16"/>
    <w:rsid w:val="0030694A"/>
    <w:rsid w:val="003069F4"/>
    <w:rsid w:val="003103B4"/>
    <w:rsid w:val="0031138C"/>
    <w:rsid w:val="00312789"/>
    <w:rsid w:val="0031655A"/>
    <w:rsid w:val="00325A5A"/>
    <w:rsid w:val="00331E71"/>
    <w:rsid w:val="003419ED"/>
    <w:rsid w:val="0035063F"/>
    <w:rsid w:val="00353267"/>
    <w:rsid w:val="00360920"/>
    <w:rsid w:val="00363D6D"/>
    <w:rsid w:val="0036537E"/>
    <w:rsid w:val="0037360A"/>
    <w:rsid w:val="003742F5"/>
    <w:rsid w:val="00383B4E"/>
    <w:rsid w:val="00384709"/>
    <w:rsid w:val="00386C35"/>
    <w:rsid w:val="00386E28"/>
    <w:rsid w:val="0038717E"/>
    <w:rsid w:val="00397E45"/>
    <w:rsid w:val="003A3BD3"/>
    <w:rsid w:val="003A3D77"/>
    <w:rsid w:val="003A496A"/>
    <w:rsid w:val="003B4E19"/>
    <w:rsid w:val="003B578F"/>
    <w:rsid w:val="003B5AED"/>
    <w:rsid w:val="003C6B7B"/>
    <w:rsid w:val="003E54CA"/>
    <w:rsid w:val="00403E6B"/>
    <w:rsid w:val="00404698"/>
    <w:rsid w:val="0040588D"/>
    <w:rsid w:val="004135BD"/>
    <w:rsid w:val="00422077"/>
    <w:rsid w:val="00422571"/>
    <w:rsid w:val="0042743C"/>
    <w:rsid w:val="00427C6E"/>
    <w:rsid w:val="004302A4"/>
    <w:rsid w:val="00431F26"/>
    <w:rsid w:val="004463BA"/>
    <w:rsid w:val="0045031C"/>
    <w:rsid w:val="0045690E"/>
    <w:rsid w:val="00457D66"/>
    <w:rsid w:val="00467BAA"/>
    <w:rsid w:val="0047515C"/>
    <w:rsid w:val="00480563"/>
    <w:rsid w:val="004822D4"/>
    <w:rsid w:val="0049290B"/>
    <w:rsid w:val="004A0BBF"/>
    <w:rsid w:val="004A4451"/>
    <w:rsid w:val="004A490A"/>
    <w:rsid w:val="004C511A"/>
    <w:rsid w:val="004C5A57"/>
    <w:rsid w:val="004D3958"/>
    <w:rsid w:val="004F1207"/>
    <w:rsid w:val="005008DF"/>
    <w:rsid w:val="0050435C"/>
    <w:rsid w:val="005045D0"/>
    <w:rsid w:val="0050618E"/>
    <w:rsid w:val="0051245F"/>
    <w:rsid w:val="005126B0"/>
    <w:rsid w:val="00512CED"/>
    <w:rsid w:val="00514E96"/>
    <w:rsid w:val="0052049A"/>
    <w:rsid w:val="00520C4C"/>
    <w:rsid w:val="00521342"/>
    <w:rsid w:val="005224EF"/>
    <w:rsid w:val="00534C6C"/>
    <w:rsid w:val="005442F3"/>
    <w:rsid w:val="0056001D"/>
    <w:rsid w:val="005639FC"/>
    <w:rsid w:val="00573610"/>
    <w:rsid w:val="0057433C"/>
    <w:rsid w:val="005750F8"/>
    <w:rsid w:val="005841C0"/>
    <w:rsid w:val="005858B5"/>
    <w:rsid w:val="00586936"/>
    <w:rsid w:val="0059260F"/>
    <w:rsid w:val="00593B5D"/>
    <w:rsid w:val="00596109"/>
    <w:rsid w:val="00596D50"/>
    <w:rsid w:val="00596D9F"/>
    <w:rsid w:val="005A2268"/>
    <w:rsid w:val="005A29B0"/>
    <w:rsid w:val="005A5D6E"/>
    <w:rsid w:val="005B1F3A"/>
    <w:rsid w:val="005B6B3D"/>
    <w:rsid w:val="005C21BC"/>
    <w:rsid w:val="005D4AA7"/>
    <w:rsid w:val="005E11FA"/>
    <w:rsid w:val="005E5074"/>
    <w:rsid w:val="005E77AF"/>
    <w:rsid w:val="005F7D05"/>
    <w:rsid w:val="00601DD8"/>
    <w:rsid w:val="00602E52"/>
    <w:rsid w:val="00612E4F"/>
    <w:rsid w:val="00615D5E"/>
    <w:rsid w:val="00622E99"/>
    <w:rsid w:val="006236AB"/>
    <w:rsid w:val="00624F7F"/>
    <w:rsid w:val="00625E5D"/>
    <w:rsid w:val="006274DA"/>
    <w:rsid w:val="00627A4E"/>
    <w:rsid w:val="00627F3F"/>
    <w:rsid w:val="006347D8"/>
    <w:rsid w:val="006369B2"/>
    <w:rsid w:val="00637F4C"/>
    <w:rsid w:val="00641012"/>
    <w:rsid w:val="00644923"/>
    <w:rsid w:val="00645F3F"/>
    <w:rsid w:val="00650843"/>
    <w:rsid w:val="006601C2"/>
    <w:rsid w:val="0066370F"/>
    <w:rsid w:val="006740C7"/>
    <w:rsid w:val="006819E0"/>
    <w:rsid w:val="00682CB6"/>
    <w:rsid w:val="00683711"/>
    <w:rsid w:val="00685CC4"/>
    <w:rsid w:val="00697778"/>
    <w:rsid w:val="006A0784"/>
    <w:rsid w:val="006A0EC3"/>
    <w:rsid w:val="006A697B"/>
    <w:rsid w:val="006A7BA3"/>
    <w:rsid w:val="006B035E"/>
    <w:rsid w:val="006B4DDE"/>
    <w:rsid w:val="006C03AE"/>
    <w:rsid w:val="006C2B15"/>
    <w:rsid w:val="006C3F68"/>
    <w:rsid w:val="006C4EE0"/>
    <w:rsid w:val="006C55AF"/>
    <w:rsid w:val="006D282E"/>
    <w:rsid w:val="006D6028"/>
    <w:rsid w:val="006D62C2"/>
    <w:rsid w:val="006E37BE"/>
    <w:rsid w:val="006E450B"/>
    <w:rsid w:val="006F105E"/>
    <w:rsid w:val="006F4B16"/>
    <w:rsid w:val="006F7DA4"/>
    <w:rsid w:val="00700035"/>
    <w:rsid w:val="0071683C"/>
    <w:rsid w:val="007208A1"/>
    <w:rsid w:val="00724158"/>
    <w:rsid w:val="007334AB"/>
    <w:rsid w:val="007367E2"/>
    <w:rsid w:val="00743968"/>
    <w:rsid w:val="00765A16"/>
    <w:rsid w:val="00766100"/>
    <w:rsid w:val="00782371"/>
    <w:rsid w:val="007852B1"/>
    <w:rsid w:val="00785415"/>
    <w:rsid w:val="007854F5"/>
    <w:rsid w:val="0079116E"/>
    <w:rsid w:val="00791CB9"/>
    <w:rsid w:val="00793130"/>
    <w:rsid w:val="00794B59"/>
    <w:rsid w:val="007A230B"/>
    <w:rsid w:val="007A453E"/>
    <w:rsid w:val="007B3233"/>
    <w:rsid w:val="007B3F82"/>
    <w:rsid w:val="007B5A42"/>
    <w:rsid w:val="007C199B"/>
    <w:rsid w:val="007C2764"/>
    <w:rsid w:val="007D3073"/>
    <w:rsid w:val="007D4909"/>
    <w:rsid w:val="007D64B9"/>
    <w:rsid w:val="007D6F64"/>
    <w:rsid w:val="007D72D4"/>
    <w:rsid w:val="007E0452"/>
    <w:rsid w:val="007E3C76"/>
    <w:rsid w:val="007F147C"/>
    <w:rsid w:val="007F3611"/>
    <w:rsid w:val="00800D69"/>
    <w:rsid w:val="008070C0"/>
    <w:rsid w:val="00807E0E"/>
    <w:rsid w:val="008101BE"/>
    <w:rsid w:val="00811C12"/>
    <w:rsid w:val="008135B6"/>
    <w:rsid w:val="0082104D"/>
    <w:rsid w:val="00823417"/>
    <w:rsid w:val="00842BDB"/>
    <w:rsid w:val="00845778"/>
    <w:rsid w:val="008513F0"/>
    <w:rsid w:val="00855D44"/>
    <w:rsid w:val="00872DE2"/>
    <w:rsid w:val="0088226F"/>
    <w:rsid w:val="00883B95"/>
    <w:rsid w:val="00884B6C"/>
    <w:rsid w:val="00885C9D"/>
    <w:rsid w:val="0088730E"/>
    <w:rsid w:val="00887E28"/>
    <w:rsid w:val="0089171F"/>
    <w:rsid w:val="008A11D0"/>
    <w:rsid w:val="008A167A"/>
    <w:rsid w:val="008B2FAA"/>
    <w:rsid w:val="008C0A99"/>
    <w:rsid w:val="008D5C3A"/>
    <w:rsid w:val="008D701E"/>
    <w:rsid w:val="008D7B10"/>
    <w:rsid w:val="008E5AE0"/>
    <w:rsid w:val="008E6CCE"/>
    <w:rsid w:val="008E6DA2"/>
    <w:rsid w:val="008F727F"/>
    <w:rsid w:val="00905691"/>
    <w:rsid w:val="00907B1E"/>
    <w:rsid w:val="00914574"/>
    <w:rsid w:val="00917057"/>
    <w:rsid w:val="0092393A"/>
    <w:rsid w:val="009342DC"/>
    <w:rsid w:val="00943AFD"/>
    <w:rsid w:val="0094541A"/>
    <w:rsid w:val="00957573"/>
    <w:rsid w:val="00961879"/>
    <w:rsid w:val="00963A51"/>
    <w:rsid w:val="009700A1"/>
    <w:rsid w:val="009731C9"/>
    <w:rsid w:val="00974D41"/>
    <w:rsid w:val="00975F6C"/>
    <w:rsid w:val="009777EB"/>
    <w:rsid w:val="00983B6E"/>
    <w:rsid w:val="009936F8"/>
    <w:rsid w:val="00994434"/>
    <w:rsid w:val="00996BB5"/>
    <w:rsid w:val="009A3772"/>
    <w:rsid w:val="009A379E"/>
    <w:rsid w:val="009B5238"/>
    <w:rsid w:val="009B590D"/>
    <w:rsid w:val="009C0863"/>
    <w:rsid w:val="009C190C"/>
    <w:rsid w:val="009D0B1D"/>
    <w:rsid w:val="009D17F0"/>
    <w:rsid w:val="009E0E5E"/>
    <w:rsid w:val="009E3C91"/>
    <w:rsid w:val="00A05934"/>
    <w:rsid w:val="00A20E77"/>
    <w:rsid w:val="00A212BC"/>
    <w:rsid w:val="00A22659"/>
    <w:rsid w:val="00A25870"/>
    <w:rsid w:val="00A320B1"/>
    <w:rsid w:val="00A42796"/>
    <w:rsid w:val="00A5311D"/>
    <w:rsid w:val="00A53345"/>
    <w:rsid w:val="00A65FBF"/>
    <w:rsid w:val="00A70665"/>
    <w:rsid w:val="00A842FD"/>
    <w:rsid w:val="00A84487"/>
    <w:rsid w:val="00A95272"/>
    <w:rsid w:val="00AA521F"/>
    <w:rsid w:val="00AA5DC4"/>
    <w:rsid w:val="00AA739F"/>
    <w:rsid w:val="00AB6C7A"/>
    <w:rsid w:val="00AC71E0"/>
    <w:rsid w:val="00AD11DC"/>
    <w:rsid w:val="00AD2323"/>
    <w:rsid w:val="00AD3B58"/>
    <w:rsid w:val="00AE23FC"/>
    <w:rsid w:val="00AF1DCF"/>
    <w:rsid w:val="00AF56C6"/>
    <w:rsid w:val="00B021C2"/>
    <w:rsid w:val="00B032E8"/>
    <w:rsid w:val="00B15817"/>
    <w:rsid w:val="00B17B62"/>
    <w:rsid w:val="00B220DF"/>
    <w:rsid w:val="00B23D8E"/>
    <w:rsid w:val="00B26B72"/>
    <w:rsid w:val="00B3562F"/>
    <w:rsid w:val="00B356C8"/>
    <w:rsid w:val="00B379B0"/>
    <w:rsid w:val="00B51470"/>
    <w:rsid w:val="00B5476B"/>
    <w:rsid w:val="00B554E9"/>
    <w:rsid w:val="00B57F96"/>
    <w:rsid w:val="00B66B91"/>
    <w:rsid w:val="00B67892"/>
    <w:rsid w:val="00B732F2"/>
    <w:rsid w:val="00B73E40"/>
    <w:rsid w:val="00B7441D"/>
    <w:rsid w:val="00B758D7"/>
    <w:rsid w:val="00B815FD"/>
    <w:rsid w:val="00B85148"/>
    <w:rsid w:val="00B86EC4"/>
    <w:rsid w:val="00B90C7C"/>
    <w:rsid w:val="00B95C39"/>
    <w:rsid w:val="00BA4D33"/>
    <w:rsid w:val="00BC2D06"/>
    <w:rsid w:val="00BC3662"/>
    <w:rsid w:val="00BC7ACB"/>
    <w:rsid w:val="00BD42E7"/>
    <w:rsid w:val="00BD43BA"/>
    <w:rsid w:val="00BD590C"/>
    <w:rsid w:val="00BE0CA7"/>
    <w:rsid w:val="00BE67D9"/>
    <w:rsid w:val="00BF0DB2"/>
    <w:rsid w:val="00C007C2"/>
    <w:rsid w:val="00C05E0B"/>
    <w:rsid w:val="00C33F35"/>
    <w:rsid w:val="00C34F97"/>
    <w:rsid w:val="00C4001B"/>
    <w:rsid w:val="00C5561A"/>
    <w:rsid w:val="00C564DA"/>
    <w:rsid w:val="00C61D99"/>
    <w:rsid w:val="00C6523C"/>
    <w:rsid w:val="00C65A82"/>
    <w:rsid w:val="00C744EB"/>
    <w:rsid w:val="00C90702"/>
    <w:rsid w:val="00C912F6"/>
    <w:rsid w:val="00C917FF"/>
    <w:rsid w:val="00C93A7D"/>
    <w:rsid w:val="00C9766A"/>
    <w:rsid w:val="00CB7596"/>
    <w:rsid w:val="00CC2B31"/>
    <w:rsid w:val="00CC4F39"/>
    <w:rsid w:val="00CC5A6C"/>
    <w:rsid w:val="00CC6AD1"/>
    <w:rsid w:val="00CC7629"/>
    <w:rsid w:val="00CD544C"/>
    <w:rsid w:val="00CD7A74"/>
    <w:rsid w:val="00CF1450"/>
    <w:rsid w:val="00CF4256"/>
    <w:rsid w:val="00D020EF"/>
    <w:rsid w:val="00D04FE8"/>
    <w:rsid w:val="00D05BB9"/>
    <w:rsid w:val="00D1439B"/>
    <w:rsid w:val="00D176CF"/>
    <w:rsid w:val="00D271E3"/>
    <w:rsid w:val="00D2766E"/>
    <w:rsid w:val="00D31904"/>
    <w:rsid w:val="00D32C7F"/>
    <w:rsid w:val="00D34EC7"/>
    <w:rsid w:val="00D3575D"/>
    <w:rsid w:val="00D4139A"/>
    <w:rsid w:val="00D42690"/>
    <w:rsid w:val="00D47A80"/>
    <w:rsid w:val="00D50E0A"/>
    <w:rsid w:val="00D51807"/>
    <w:rsid w:val="00D63BF5"/>
    <w:rsid w:val="00D67D14"/>
    <w:rsid w:val="00D702D1"/>
    <w:rsid w:val="00D713D0"/>
    <w:rsid w:val="00D7258C"/>
    <w:rsid w:val="00D74F0B"/>
    <w:rsid w:val="00D83BEF"/>
    <w:rsid w:val="00D85807"/>
    <w:rsid w:val="00D87349"/>
    <w:rsid w:val="00D90D1A"/>
    <w:rsid w:val="00D91EE9"/>
    <w:rsid w:val="00D94355"/>
    <w:rsid w:val="00D97220"/>
    <w:rsid w:val="00DC562D"/>
    <w:rsid w:val="00DC5C90"/>
    <w:rsid w:val="00DE316A"/>
    <w:rsid w:val="00E00CA6"/>
    <w:rsid w:val="00E039F0"/>
    <w:rsid w:val="00E06390"/>
    <w:rsid w:val="00E067E8"/>
    <w:rsid w:val="00E110A3"/>
    <w:rsid w:val="00E140C4"/>
    <w:rsid w:val="00E14D47"/>
    <w:rsid w:val="00E1553D"/>
    <w:rsid w:val="00E1641C"/>
    <w:rsid w:val="00E26708"/>
    <w:rsid w:val="00E30CEB"/>
    <w:rsid w:val="00E344A2"/>
    <w:rsid w:val="00E34958"/>
    <w:rsid w:val="00E349E9"/>
    <w:rsid w:val="00E37AB0"/>
    <w:rsid w:val="00E37F0B"/>
    <w:rsid w:val="00E53846"/>
    <w:rsid w:val="00E63496"/>
    <w:rsid w:val="00E66906"/>
    <w:rsid w:val="00E6717A"/>
    <w:rsid w:val="00E71C39"/>
    <w:rsid w:val="00E828CD"/>
    <w:rsid w:val="00E86681"/>
    <w:rsid w:val="00E9379E"/>
    <w:rsid w:val="00EA049A"/>
    <w:rsid w:val="00EA0BF3"/>
    <w:rsid w:val="00EA56E6"/>
    <w:rsid w:val="00EA7703"/>
    <w:rsid w:val="00EC335F"/>
    <w:rsid w:val="00EC36A1"/>
    <w:rsid w:val="00EC48FB"/>
    <w:rsid w:val="00EE6D11"/>
    <w:rsid w:val="00EE74B0"/>
    <w:rsid w:val="00EF232A"/>
    <w:rsid w:val="00EF6934"/>
    <w:rsid w:val="00F003F7"/>
    <w:rsid w:val="00F04072"/>
    <w:rsid w:val="00F05A69"/>
    <w:rsid w:val="00F235C3"/>
    <w:rsid w:val="00F26858"/>
    <w:rsid w:val="00F27BFE"/>
    <w:rsid w:val="00F3293E"/>
    <w:rsid w:val="00F3791A"/>
    <w:rsid w:val="00F43FFD"/>
    <w:rsid w:val="00F44236"/>
    <w:rsid w:val="00F5104F"/>
    <w:rsid w:val="00F52517"/>
    <w:rsid w:val="00F52FD3"/>
    <w:rsid w:val="00F61490"/>
    <w:rsid w:val="00F625DA"/>
    <w:rsid w:val="00F6458D"/>
    <w:rsid w:val="00F7350B"/>
    <w:rsid w:val="00F75635"/>
    <w:rsid w:val="00F95822"/>
    <w:rsid w:val="00F976D0"/>
    <w:rsid w:val="00FA18DE"/>
    <w:rsid w:val="00FA2852"/>
    <w:rsid w:val="00FA3D64"/>
    <w:rsid w:val="00FA57B2"/>
    <w:rsid w:val="00FA6297"/>
    <w:rsid w:val="00FB22BE"/>
    <w:rsid w:val="00FB509B"/>
    <w:rsid w:val="00FC1CB1"/>
    <w:rsid w:val="00FC1F37"/>
    <w:rsid w:val="00FC3D4B"/>
    <w:rsid w:val="00FC560C"/>
    <w:rsid w:val="00FC5A91"/>
    <w:rsid w:val="00FC6312"/>
    <w:rsid w:val="00FC6B06"/>
    <w:rsid w:val="00FE2337"/>
    <w:rsid w:val="00FE36E3"/>
    <w:rsid w:val="00FE425D"/>
    <w:rsid w:val="00FE6B01"/>
    <w:rsid w:val="00FE7267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C4BA77D-3B61-4AA4-AB7C-1EB41AB9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2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3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D4269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D66"/>
    <w:rPr>
      <w:sz w:val="18"/>
    </w:rPr>
  </w:style>
  <w:style w:type="character" w:styleId="FootnoteReference">
    <w:name w:val="footnote reference"/>
    <w:basedOn w:val="DefaultParagraphFont"/>
    <w:uiPriority w:val="99"/>
    <w:unhideWhenUsed/>
    <w:rsid w:val="00457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31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0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050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08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1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9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37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7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52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0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0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54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51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6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1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5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Public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1AAB1-A056-4A8E-8F70-580AAE2F4806}">
  <ds:schemaRefs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84406C-9BE2-4FE2-9D68-C22DB4B5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ERCOT Staff</cp:lastModifiedBy>
  <cp:revision>3</cp:revision>
  <cp:lastPrinted>2013-11-15T22:11:00Z</cp:lastPrinted>
  <dcterms:created xsi:type="dcterms:W3CDTF">2020-06-15T22:03:00Z</dcterms:created>
  <dcterms:modified xsi:type="dcterms:W3CDTF">2020-06-15T22:05:00Z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