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9FCBE44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AF5DCD" w:rsidRPr="00AF5DCD">
        <w:rPr>
          <w:rFonts w:ascii="Arial" w:hAnsi="Arial" w:cs="Arial"/>
          <w:color w:val="5B6770" w:themeColor="text2"/>
          <w:sz w:val="22"/>
          <w:szCs w:val="22"/>
        </w:rPr>
        <w:t xml:space="preserve">1,314.67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AF5DCD" w:rsidRPr="00AF5DCD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7BD75B22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AF5DCD" w:rsidRPr="00AF5DCD">
        <w:rPr>
          <w:rFonts w:ascii="Arial" w:hAnsi="Arial" w:cs="Arial"/>
          <w:color w:val="5B6770" w:themeColor="text2"/>
          <w:sz w:val="22"/>
          <w:szCs w:val="22"/>
        </w:rPr>
        <w:t xml:space="preserve">319.10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AF5DCD" w:rsidRPr="0098726A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65D5EE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.45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Billion as of 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2CA08338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122</w:t>
      </w:r>
      <w:r w:rsidR="004C7869">
        <w:rPr>
          <w:rFonts w:cs="Arial"/>
          <w:sz w:val="22"/>
          <w:szCs w:val="22"/>
        </w:rPr>
        <w:t xml:space="preserve"> Million</w:t>
      </w:r>
      <w:r w:rsidRPr="00F81B3A">
        <w:rPr>
          <w:rFonts w:cs="Arial"/>
          <w:sz w:val="22"/>
          <w:szCs w:val="22"/>
        </w:rPr>
        <w:t xml:space="preserve"> as of </w:t>
      </w:r>
      <w:r w:rsidR="00614611">
        <w:rPr>
          <w:rFonts w:cs="Arial"/>
          <w:sz w:val="22"/>
          <w:szCs w:val="22"/>
        </w:rPr>
        <w:t>February</w:t>
      </w:r>
      <w:r w:rsidR="004C7869">
        <w:rPr>
          <w:rFonts w:cs="Arial"/>
          <w:sz w:val="22"/>
          <w:szCs w:val="22"/>
        </w:rPr>
        <w:t xml:space="preserve"> 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5C112012" w14:textId="4030FCD5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76096">
        <w:rPr>
          <w:sz w:val="22"/>
          <w:szCs w:val="22"/>
        </w:rPr>
        <w:t>Corpus North Shore Project</w:t>
      </w:r>
      <w:r>
        <w:rPr>
          <w:sz w:val="22"/>
          <w:szCs w:val="22"/>
        </w:rPr>
        <w:t>. This is a Tier 1 project that is estimated to cost $259.57 million.</w:t>
      </w:r>
      <w:r w:rsidRPr="00E336D0">
        <w:rPr>
          <w:sz w:val="22"/>
          <w:szCs w:val="22"/>
        </w:rPr>
        <w:t> </w:t>
      </w:r>
      <w:r w:rsidR="00AF5DCD" w:rsidRPr="0098726A">
        <w:rPr>
          <w:sz w:val="22"/>
          <w:szCs w:val="22"/>
        </w:rPr>
        <w:t xml:space="preserve">ERCOT has completed the independent review </w:t>
      </w:r>
      <w:r w:rsidR="00AF5DCD">
        <w:rPr>
          <w:sz w:val="22"/>
          <w:szCs w:val="22"/>
        </w:rPr>
        <w:t xml:space="preserve">on May 19, </w:t>
      </w:r>
      <w:r w:rsidR="00AF5DCD" w:rsidRPr="0098726A">
        <w:rPr>
          <w:sz w:val="22"/>
          <w:szCs w:val="22"/>
        </w:rPr>
        <w:t>and an alternate project was recommended for BOD endorsement. TAC voted unanimously to endorse the project on May 27. ERCOT will present the recommendation for BOD endorsement on June 9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2689CE1B" w14:textId="32604EE5" w:rsidR="005C30B8" w:rsidRDefault="005C30B8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7x Energy </w:t>
      </w:r>
      <w:r w:rsidRPr="00662B02">
        <w:rPr>
          <w:sz w:val="22"/>
          <w:szCs w:val="22"/>
        </w:rPr>
        <w:t>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Frio County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23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AF5DCD" w:rsidRPr="00AF5DCD">
        <w:rPr>
          <w:sz w:val="22"/>
          <w:szCs w:val="22"/>
        </w:rPr>
        <w:t>ERCOT has completed the independent review on May 21</w:t>
      </w:r>
      <w:r w:rsidR="00AF5DCD">
        <w:rPr>
          <w:sz w:val="22"/>
          <w:szCs w:val="22"/>
        </w:rPr>
        <w:t xml:space="preserve">, </w:t>
      </w:r>
      <w:r w:rsidR="00AF5DCD" w:rsidRPr="00AF5DCD">
        <w:rPr>
          <w:sz w:val="22"/>
          <w:szCs w:val="22"/>
        </w:rPr>
        <w:t>and an alternate project was recommended.  ERCOT will issue an ERCOT endorsement letter</w:t>
      </w:r>
      <w:r>
        <w:rPr>
          <w:sz w:val="22"/>
          <w:szCs w:val="22"/>
        </w:rPr>
        <w:t>.</w:t>
      </w:r>
    </w:p>
    <w:p w14:paraId="7954CEA4" w14:textId="55ABD73B" w:rsidR="00164C11" w:rsidRPr="00B273F5" w:rsidRDefault="00164C11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GP&amp;L</w:t>
      </w:r>
      <w:r w:rsidRPr="00662B02">
        <w:rPr>
          <w:sz w:val="22"/>
          <w:szCs w:val="22"/>
        </w:rPr>
        <w:t xml:space="preserve"> has submitted the </w:t>
      </w:r>
      <w:r w:rsidRPr="002B2C82">
        <w:rPr>
          <w:sz w:val="22"/>
          <w:szCs w:val="22"/>
        </w:rPr>
        <w:t>Farmersville Area Reliability Project</w:t>
      </w:r>
      <w:r w:rsidRPr="00662B02">
        <w:rPr>
          <w:sz w:val="22"/>
          <w:szCs w:val="22"/>
        </w:rPr>
        <w:t xml:space="preserve">. This 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24.37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AF5DCD" w:rsidRPr="00AF5DCD">
        <w:rPr>
          <w:sz w:val="22"/>
          <w:szCs w:val="22"/>
        </w:rPr>
        <w:t>ERCOT has completed the independent review on May 21. In accordance with Protocol Section 3.11.4.9(4), ERCOT will not endorse this project as it is needed solely to meet a TSP’s criteria</w:t>
      </w:r>
      <w:r>
        <w:rPr>
          <w:sz w:val="22"/>
          <w:szCs w:val="22"/>
        </w:rPr>
        <w:t>.</w:t>
      </w:r>
    </w:p>
    <w:p w14:paraId="7D669D30" w14:textId="13C244BA" w:rsidR="00024F2A" w:rsidRDefault="00024F2A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GP&amp;L has submitted the </w:t>
      </w:r>
      <w:r w:rsidRPr="00416C12">
        <w:rPr>
          <w:sz w:val="22"/>
          <w:szCs w:val="22"/>
        </w:rPr>
        <w:t>Lookout Substation SVC Project</w:t>
      </w:r>
      <w:r>
        <w:rPr>
          <w:sz w:val="22"/>
          <w:szCs w:val="22"/>
        </w:rPr>
        <w:t xml:space="preserve">. This is a Tier 3 project that is estimated to cost $25 million. </w:t>
      </w:r>
      <w:r w:rsidR="00AF5DCD" w:rsidRPr="00AF5DCD">
        <w:rPr>
          <w:sz w:val="22"/>
          <w:szCs w:val="22"/>
        </w:rPr>
        <w:t>This project completed the RPG review on May 11, and ERCOT h</w:t>
      </w:r>
      <w:r w:rsidR="00AF5DCD">
        <w:rPr>
          <w:sz w:val="22"/>
          <w:szCs w:val="22"/>
        </w:rPr>
        <w:t>as issued the acceptance letter</w:t>
      </w:r>
      <w:r>
        <w:rPr>
          <w:sz w:val="22"/>
          <w:szCs w:val="22"/>
        </w:rPr>
        <w:t>.</w:t>
      </w:r>
    </w:p>
    <w:p w14:paraId="4179C922" w14:textId="4EF581BC" w:rsidR="00320C40" w:rsidRDefault="00320C40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TNMP has submitted the Texas</w:t>
      </w:r>
      <w:r w:rsidRPr="00C53DCE">
        <w:rPr>
          <w:sz w:val="22"/>
          <w:szCs w:val="22"/>
        </w:rPr>
        <w:t xml:space="preserve"> City Transmission Improvement Project</w:t>
      </w:r>
      <w:r>
        <w:rPr>
          <w:sz w:val="22"/>
          <w:szCs w:val="22"/>
        </w:rPr>
        <w:t xml:space="preserve">. This is a Tier 2 project that is estimated to cost $29.3 million. This project is currently </w:t>
      </w:r>
      <w:r w:rsidR="00AF5DCD" w:rsidRPr="00AF5DCD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74C235DE" w14:textId="44DD1CBA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F5DCD">
        <w:rPr>
          <w:sz w:val="22"/>
          <w:szCs w:val="22"/>
        </w:rPr>
        <w:t xml:space="preserve">Oncor has submitted the </w:t>
      </w:r>
      <w:proofErr w:type="spellStart"/>
      <w:r w:rsidRPr="00AF5DCD">
        <w:rPr>
          <w:sz w:val="22"/>
          <w:szCs w:val="22"/>
        </w:rPr>
        <w:t>DeCordova</w:t>
      </w:r>
      <w:proofErr w:type="spellEnd"/>
      <w:r w:rsidRPr="00AF5DCD">
        <w:rPr>
          <w:sz w:val="22"/>
          <w:szCs w:val="22"/>
        </w:rPr>
        <w:t xml:space="preserve"> Switching Station Rebuild Project.  This is a Tier 3 project that is estimated to cost $37.5 million. This project completed the RPG review on May 29, and ERCOT will issue an acceptance letter.</w:t>
      </w:r>
    </w:p>
    <w:p w14:paraId="71A3D9A5" w14:textId="71A36A00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F5DCD">
        <w:rPr>
          <w:sz w:val="22"/>
          <w:szCs w:val="22"/>
        </w:rPr>
        <w:t xml:space="preserve">BEC has submitted the Moffat to </w:t>
      </w:r>
      <w:proofErr w:type="spellStart"/>
      <w:r w:rsidRPr="00AF5DCD">
        <w:rPr>
          <w:sz w:val="22"/>
          <w:szCs w:val="22"/>
        </w:rPr>
        <w:t>Hasse</w:t>
      </w:r>
      <w:proofErr w:type="spellEnd"/>
      <w:r w:rsidRPr="00AF5DCD">
        <w:rPr>
          <w:sz w:val="22"/>
          <w:szCs w:val="22"/>
        </w:rPr>
        <w:t xml:space="preserve"> Voltage Conversion Project. This is a Tier 2 project that is estimated to cost $55.2 million. This project is currently in the RPG comment period.</w:t>
      </w:r>
    </w:p>
    <w:p w14:paraId="16192783" w14:textId="204D5F90" w:rsidR="00AF5DCD" w:rsidRPr="00320C40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AF5DCD">
        <w:rPr>
          <w:sz w:val="22"/>
          <w:szCs w:val="22"/>
        </w:rPr>
        <w:t>Oncor</w:t>
      </w:r>
      <w:proofErr w:type="spellEnd"/>
      <w:r w:rsidRPr="00AF5DCD">
        <w:rPr>
          <w:sz w:val="22"/>
          <w:szCs w:val="22"/>
        </w:rPr>
        <w:t xml:space="preserve"> has submitted the Quarry Field 345-kV Switch Project. This is a Tier 3 project that is estimated to cost $29 million. This project is currently in the RPG comment period</w:t>
      </w:r>
      <w:r>
        <w:rPr>
          <w:sz w:val="22"/>
          <w:szCs w:val="22"/>
        </w:rPr>
        <w:t>.</w:t>
      </w: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09050CE1" w:rsidR="005C30B8" w:rsidRPr="00F81B3A" w:rsidRDefault="000B12E4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1A5CB3">
        <w:rPr>
          <w:rFonts w:eastAsia="SymbolMT" w:cs="Arial"/>
          <w:sz w:val="22"/>
          <w:szCs w:val="22"/>
        </w:rPr>
        <w:t>July 1, 2020</w:t>
      </w:r>
      <w:r w:rsidR="005C30B8"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6AD3FB0C" w:rsidR="005C30B8" w:rsidRPr="00F81B3A" w:rsidRDefault="005C30B8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1A5CB3">
        <w:rPr>
          <w:rFonts w:eastAsia="SymbolMT" w:cs="Arial"/>
          <w:sz w:val="22"/>
          <w:szCs w:val="22"/>
        </w:rPr>
        <w:t>July</w:t>
      </w:r>
      <w:r w:rsidRPr="00F81B3A">
        <w:rPr>
          <w:rFonts w:eastAsia="SymbolMT" w:cs="Arial"/>
          <w:sz w:val="22"/>
          <w:szCs w:val="22"/>
        </w:rPr>
        <w:t xml:space="preserve"> 20, 2020 </w:t>
      </w:r>
      <w:r w:rsidRPr="00F81B3A">
        <w:rPr>
          <w:rFonts w:eastAsia="SymbolMT" w:cs="Arial"/>
          <w:sz w:val="22"/>
          <w:szCs w:val="22"/>
        </w:rPr>
        <w:tab/>
        <w:t xml:space="preserve">Post </w:t>
      </w:r>
      <w:r w:rsidR="001A5CB3">
        <w:rPr>
          <w:rFonts w:eastAsia="SymbolMT" w:cs="Arial"/>
          <w:sz w:val="22"/>
          <w:szCs w:val="22"/>
        </w:rPr>
        <w:t>20SSWG</w:t>
      </w:r>
      <w:r w:rsidRPr="00F81B3A">
        <w:rPr>
          <w:rFonts w:eastAsia="SymbolMT" w:cs="Arial"/>
          <w:sz w:val="22"/>
          <w:szCs w:val="22"/>
        </w:rPr>
        <w:t xml:space="preserve"> Contingency definitions and Planning Data Dictionary</w:t>
      </w:r>
    </w:p>
    <w:p w14:paraId="16D268E5" w14:textId="24849D17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3B7EE502" w:rsidR="005C30B8" w:rsidRDefault="000B12E4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0B12E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F7A3FA" wp14:editId="58792F95">
            <wp:extent cx="5150441" cy="6296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2014" cy="631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95A">
        <w:t xml:space="preserve"> </w:t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6E681C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8703" cy="39137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03" cy="391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5B36752E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2941" cy="35521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41" cy="355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2D3C2BDB" w14:textId="537A70A5" w:rsidR="00B273F5" w:rsidRPr="00F4019C" w:rsidRDefault="00B273F5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F4019C">
        <w:rPr>
          <w:sz w:val="22"/>
          <w:szCs w:val="22"/>
        </w:rPr>
        <w:t>The SPWG</w:t>
      </w:r>
      <w:r w:rsidR="00472E4C" w:rsidRPr="00F4019C">
        <w:rPr>
          <w:sz w:val="22"/>
          <w:szCs w:val="22"/>
        </w:rPr>
        <w:t xml:space="preserve"> </w:t>
      </w:r>
      <w:r w:rsidR="001A5CB3" w:rsidRPr="00F4019C">
        <w:rPr>
          <w:sz w:val="22"/>
          <w:szCs w:val="22"/>
        </w:rPr>
        <w:t xml:space="preserve">completed and posted </w:t>
      </w:r>
      <w:r w:rsidR="009B41C6" w:rsidRPr="00F4019C">
        <w:rPr>
          <w:sz w:val="22"/>
          <w:szCs w:val="22"/>
        </w:rPr>
        <w:t>the 2020 CY base case</w:t>
      </w:r>
      <w:r w:rsidR="001A5CB3" w:rsidRPr="00F4019C">
        <w:rPr>
          <w:sz w:val="22"/>
          <w:szCs w:val="22"/>
        </w:rPr>
        <w:t xml:space="preserve"> on March 27, 2020</w:t>
      </w:r>
      <w:r w:rsidR="00472E4C" w:rsidRPr="00F4019C">
        <w:rPr>
          <w:sz w:val="22"/>
          <w:szCs w:val="22"/>
        </w:rPr>
        <w:t>.</w:t>
      </w:r>
    </w:p>
    <w:p w14:paraId="43C74986" w14:textId="4F5C7863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SPWG has begun building the 2020 FY cases.</w:t>
      </w:r>
    </w:p>
    <w:p w14:paraId="5F254926" w14:textId="49F7E8F2" w:rsidR="0068061B" w:rsidRDefault="0068061B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performing </w:t>
      </w:r>
      <w:r w:rsidR="00283188">
        <w:rPr>
          <w:sz w:val="22"/>
          <w:szCs w:val="22"/>
        </w:rPr>
        <w:t xml:space="preserve">stability analysis for Panhandle and West Texas exports and plans to </w:t>
      </w:r>
      <w:r w:rsidR="00651034">
        <w:rPr>
          <w:sz w:val="22"/>
          <w:szCs w:val="22"/>
        </w:rPr>
        <w:t>finalize the analysis in June</w:t>
      </w:r>
      <w:r w:rsidR="00283188">
        <w:rPr>
          <w:sz w:val="22"/>
          <w:szCs w:val="22"/>
        </w:rPr>
        <w:t>.</w:t>
      </w:r>
    </w:p>
    <w:p w14:paraId="3262AC5B" w14:textId="021F33BA" w:rsidR="00C726D1" w:rsidRDefault="00C726D1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Initial reliability cases and N-1 results for the 2020 Regional Transmission Plan (RTP) were posted to MIS Secure on May 13</w:t>
      </w:r>
      <w:r w:rsidR="00DE623D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14:paraId="5DB34CCA" w14:textId="77777777" w:rsidR="00651034" w:rsidRDefault="007940A9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the 2020 Long-Term System Assessment (LTSA) to the Regional Planning Group (RPG) in May.</w:t>
      </w:r>
      <w:r w:rsidR="00DE623D">
        <w:rPr>
          <w:sz w:val="22"/>
          <w:szCs w:val="22"/>
        </w:rPr>
        <w:t xml:space="preserve"> </w:t>
      </w:r>
    </w:p>
    <w:p w14:paraId="7C387E96" w14:textId="7989DFC8" w:rsidR="00B273F5" w:rsidRDefault="007940A9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preliminary analysis of steady-state voltage performance for the benchmark Geomagnetic Disturbance Vulnerability Assessment (GMDVA) to the RPG in May.</w:t>
      </w:r>
    </w:p>
    <w:p w14:paraId="52C5D7E3" w14:textId="0A441172" w:rsidR="007940A9" w:rsidRDefault="007940A9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information and a proposal for assumptions for including Battery Energy Storage Systems (BESS) in transmission planning studies</w:t>
      </w:r>
      <w:r w:rsidR="00651034">
        <w:rPr>
          <w:sz w:val="22"/>
          <w:szCs w:val="22"/>
        </w:rPr>
        <w:t xml:space="preserve"> to the RPG in May</w:t>
      </w:r>
      <w:r>
        <w:rPr>
          <w:sz w:val="22"/>
          <w:szCs w:val="22"/>
        </w:rPr>
        <w:t>. The assumptions included in the presentation are related to BEST KTC 10, Item 5. The presentation will be provided again at the June PLWG meeting.</w:t>
      </w:r>
    </w:p>
    <w:p w14:paraId="1093A810" w14:textId="197A3522" w:rsidR="00F4606C" w:rsidRDefault="00F4606C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DWG completed and posted the 2020 Flat Start cases on May 15, 2020.</w:t>
      </w:r>
    </w:p>
    <w:p w14:paraId="0F90DF68" w14:textId="66FF9DBB" w:rsidR="00F4606C" w:rsidRPr="00DE623D" w:rsidRDefault="00F4606C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completed and posted the 2020 </w:t>
      </w:r>
      <w:proofErr w:type="spellStart"/>
      <w:r>
        <w:rPr>
          <w:sz w:val="22"/>
          <w:szCs w:val="22"/>
        </w:rPr>
        <w:t>Subsynchronous</w:t>
      </w:r>
      <w:proofErr w:type="spellEnd"/>
      <w:r>
        <w:rPr>
          <w:sz w:val="22"/>
          <w:szCs w:val="22"/>
        </w:rPr>
        <w:t xml:space="preserve"> Resonance (SSR) Annual Report on May 27, 2020. </w:t>
      </w:r>
    </w:p>
    <w:sectPr w:rsidR="00F4606C" w:rsidRPr="00DE623D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17016" w14:textId="77777777" w:rsidR="003D4F77" w:rsidRDefault="003D4F77" w:rsidP="0098347E">
      <w:r>
        <w:separator/>
      </w:r>
    </w:p>
  </w:endnote>
  <w:endnote w:type="continuationSeparator" w:id="0">
    <w:p w14:paraId="76973D16" w14:textId="77777777" w:rsidR="003D4F77" w:rsidRDefault="003D4F77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D904358" w:rsidR="0098347E" w:rsidRPr="006D7974" w:rsidRDefault="00F6430C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May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DBBA" w14:textId="77777777" w:rsidR="003D4F77" w:rsidRDefault="003D4F77" w:rsidP="0098347E">
      <w:r>
        <w:separator/>
      </w:r>
    </w:p>
  </w:footnote>
  <w:footnote w:type="continuationSeparator" w:id="0">
    <w:p w14:paraId="450B3444" w14:textId="77777777" w:rsidR="003D4F77" w:rsidRDefault="003D4F77" w:rsidP="0098347E">
      <w:r>
        <w:continuationSeparator/>
      </w:r>
    </w:p>
  </w:footnote>
  <w:footnote w:id="1">
    <w:p w14:paraId="297918A3" w14:textId="6ECBBEE4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27600E">
        <w:rPr>
          <w:rFonts w:asciiTheme="minorHAnsi" w:hAnsiTheme="minorHAnsi" w:cstheme="minorHAnsi"/>
          <w:sz w:val="16"/>
          <w:szCs w:val="16"/>
        </w:rPr>
        <w:t>87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 of </w:t>
      </w:r>
      <w:r w:rsidR="0027600E">
        <w:rPr>
          <w:rFonts w:asciiTheme="minorHAnsi" w:hAnsiTheme="minorHAnsi" w:cstheme="minorHAnsi"/>
          <w:sz w:val="16"/>
          <w:szCs w:val="16"/>
        </w:rPr>
        <w:t>65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27600E">
        <w:rPr>
          <w:rFonts w:asciiTheme="minorHAnsi" w:hAnsiTheme="minorHAnsi" w:cstheme="minorHAnsi"/>
          <w:sz w:val="16"/>
          <w:szCs w:val="16"/>
        </w:rPr>
        <w:t>April</w:t>
      </w:r>
      <w:r w:rsidR="0027600E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to</w:t>
      </w:r>
      <w:r w:rsidR="001E08A3">
        <w:rPr>
          <w:rFonts w:asciiTheme="minorHAnsi" w:hAnsiTheme="minorHAnsi" w:cstheme="minorHAnsi"/>
          <w:sz w:val="16"/>
          <w:szCs w:val="16"/>
        </w:rPr>
        <w:t xml:space="preserve"> </w:t>
      </w:r>
      <w:r w:rsidR="0027600E">
        <w:rPr>
          <w:rFonts w:asciiTheme="minorHAnsi" w:hAnsiTheme="minorHAnsi" w:cstheme="minorHAnsi"/>
          <w:sz w:val="16"/>
          <w:szCs w:val="16"/>
        </w:rPr>
        <w:t>May</w:t>
      </w:r>
      <w:r w:rsidR="001E08A3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47A4B"/>
    <w:rsid w:val="0007244C"/>
    <w:rsid w:val="0007478B"/>
    <w:rsid w:val="000B12E4"/>
    <w:rsid w:val="000C15E1"/>
    <w:rsid w:val="000D759F"/>
    <w:rsid w:val="00107455"/>
    <w:rsid w:val="00142B7A"/>
    <w:rsid w:val="00164C11"/>
    <w:rsid w:val="00176CA4"/>
    <w:rsid w:val="001A255A"/>
    <w:rsid w:val="001A5CB3"/>
    <w:rsid w:val="001B020D"/>
    <w:rsid w:val="001E08A3"/>
    <w:rsid w:val="00202BA3"/>
    <w:rsid w:val="00245ED7"/>
    <w:rsid w:val="00247018"/>
    <w:rsid w:val="00250F28"/>
    <w:rsid w:val="0027122F"/>
    <w:rsid w:val="0027600E"/>
    <w:rsid w:val="00283188"/>
    <w:rsid w:val="00320C40"/>
    <w:rsid w:val="003458EB"/>
    <w:rsid w:val="003546B8"/>
    <w:rsid w:val="00355D1E"/>
    <w:rsid w:val="003B5CF3"/>
    <w:rsid w:val="003C5ED1"/>
    <w:rsid w:val="003D4F77"/>
    <w:rsid w:val="003E3F40"/>
    <w:rsid w:val="00400CFA"/>
    <w:rsid w:val="00425B76"/>
    <w:rsid w:val="0044096E"/>
    <w:rsid w:val="00457313"/>
    <w:rsid w:val="00472E4C"/>
    <w:rsid w:val="00482384"/>
    <w:rsid w:val="004C7869"/>
    <w:rsid w:val="00524917"/>
    <w:rsid w:val="0055122F"/>
    <w:rsid w:val="00594A91"/>
    <w:rsid w:val="005A138F"/>
    <w:rsid w:val="005B55BE"/>
    <w:rsid w:val="005C30B8"/>
    <w:rsid w:val="005C51A7"/>
    <w:rsid w:val="00614611"/>
    <w:rsid w:val="00651034"/>
    <w:rsid w:val="006563AC"/>
    <w:rsid w:val="0068061B"/>
    <w:rsid w:val="006936D9"/>
    <w:rsid w:val="006D7974"/>
    <w:rsid w:val="006E4C53"/>
    <w:rsid w:val="00700285"/>
    <w:rsid w:val="00702B73"/>
    <w:rsid w:val="007357F6"/>
    <w:rsid w:val="007940A9"/>
    <w:rsid w:val="0079637D"/>
    <w:rsid w:val="007D0EED"/>
    <w:rsid w:val="007F7756"/>
    <w:rsid w:val="0084112D"/>
    <w:rsid w:val="0088788B"/>
    <w:rsid w:val="008E7B0D"/>
    <w:rsid w:val="008F29FA"/>
    <w:rsid w:val="00917EC0"/>
    <w:rsid w:val="009304B1"/>
    <w:rsid w:val="0095508F"/>
    <w:rsid w:val="0098347E"/>
    <w:rsid w:val="00985DEF"/>
    <w:rsid w:val="00990002"/>
    <w:rsid w:val="00996158"/>
    <w:rsid w:val="009A0577"/>
    <w:rsid w:val="009B3EAA"/>
    <w:rsid w:val="009B41C6"/>
    <w:rsid w:val="009E544E"/>
    <w:rsid w:val="00A046EB"/>
    <w:rsid w:val="00A13F36"/>
    <w:rsid w:val="00A36FD4"/>
    <w:rsid w:val="00A628E9"/>
    <w:rsid w:val="00A6620C"/>
    <w:rsid w:val="00AC3368"/>
    <w:rsid w:val="00AF5DCD"/>
    <w:rsid w:val="00B02A88"/>
    <w:rsid w:val="00B0539D"/>
    <w:rsid w:val="00B07A0B"/>
    <w:rsid w:val="00B122A8"/>
    <w:rsid w:val="00B273F5"/>
    <w:rsid w:val="00B355BE"/>
    <w:rsid w:val="00B545BF"/>
    <w:rsid w:val="00B94FE8"/>
    <w:rsid w:val="00BA6A4A"/>
    <w:rsid w:val="00BF25D6"/>
    <w:rsid w:val="00C40BC3"/>
    <w:rsid w:val="00C553B3"/>
    <w:rsid w:val="00C5695A"/>
    <w:rsid w:val="00C60C53"/>
    <w:rsid w:val="00C726D1"/>
    <w:rsid w:val="00C91210"/>
    <w:rsid w:val="00C918B4"/>
    <w:rsid w:val="00C94AC6"/>
    <w:rsid w:val="00CD110F"/>
    <w:rsid w:val="00D94505"/>
    <w:rsid w:val="00DE623D"/>
    <w:rsid w:val="00E2379B"/>
    <w:rsid w:val="00E308D5"/>
    <w:rsid w:val="00E326E6"/>
    <w:rsid w:val="00E4095C"/>
    <w:rsid w:val="00E532C3"/>
    <w:rsid w:val="00E558A6"/>
    <w:rsid w:val="00E67C79"/>
    <w:rsid w:val="00E77059"/>
    <w:rsid w:val="00EB2C58"/>
    <w:rsid w:val="00EC1203"/>
    <w:rsid w:val="00ED40B7"/>
    <w:rsid w:val="00F130EF"/>
    <w:rsid w:val="00F4019C"/>
    <w:rsid w:val="00F4606C"/>
    <w:rsid w:val="00F6430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05B5C-9E34-46D4-927F-30777865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2020-06-10T17:23:00Z</dcterms:created>
  <dcterms:modified xsi:type="dcterms:W3CDTF">2020-06-12T16:41:00Z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