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6891E" w14:textId="77777777" w:rsidR="00832A4E" w:rsidRPr="00832A4E" w:rsidRDefault="00832A4E" w:rsidP="00832A4E">
      <w:pPr>
        <w:keepNext/>
        <w:widowControl w:val="0"/>
        <w:tabs>
          <w:tab w:val="left" w:pos="1260"/>
        </w:tabs>
        <w:spacing w:before="480" w:after="240" w:line="240" w:lineRule="auto"/>
        <w:ind w:left="1260" w:hanging="1260"/>
        <w:outlineLvl w:val="3"/>
        <w:rPr>
          <w:rFonts w:ascii="Times New Roman" w:eastAsia="Times New Roman" w:hAnsi="Times New Roman" w:cs="Times New Roman"/>
          <w:b/>
          <w:bCs/>
          <w:snapToGrid w:val="0"/>
          <w:sz w:val="24"/>
          <w:szCs w:val="20"/>
        </w:rPr>
      </w:pPr>
      <w:bookmarkStart w:id="0" w:name="_Toc36580373"/>
      <w:r w:rsidRPr="00832A4E">
        <w:rPr>
          <w:rFonts w:ascii="Times New Roman" w:eastAsia="Times New Roman" w:hAnsi="Times New Roman" w:cs="Times New Roman"/>
          <w:b/>
          <w:bCs/>
          <w:snapToGrid w:val="0"/>
          <w:sz w:val="24"/>
          <w:szCs w:val="20"/>
        </w:rPr>
        <w:t>1.3.1.1</w:t>
      </w:r>
      <w:r w:rsidRPr="00832A4E">
        <w:rPr>
          <w:rFonts w:ascii="Times New Roman" w:eastAsia="Times New Roman" w:hAnsi="Times New Roman" w:cs="Times New Roman"/>
          <w:b/>
          <w:bCs/>
          <w:snapToGrid w:val="0"/>
          <w:sz w:val="24"/>
          <w:szCs w:val="20"/>
        </w:rPr>
        <w:tab/>
        <w:t>Items Considered Protected Information</w:t>
      </w:r>
      <w:bookmarkEnd w:id="0"/>
      <w:r w:rsidRPr="00832A4E">
        <w:rPr>
          <w:rFonts w:ascii="Times New Roman" w:eastAsia="Times New Roman" w:hAnsi="Times New Roman" w:cs="Times New Roman"/>
          <w:b/>
          <w:bCs/>
          <w:snapToGrid w:val="0"/>
          <w:sz w:val="24"/>
          <w:szCs w:val="20"/>
        </w:rPr>
        <w:t xml:space="preserve"> </w:t>
      </w:r>
    </w:p>
    <w:p w14:paraId="1A271067" w14:textId="77777777" w:rsidR="00832A4E" w:rsidRPr="00832A4E" w:rsidRDefault="00832A4E" w:rsidP="00832A4E">
      <w:pPr>
        <w:spacing w:after="240" w:line="240" w:lineRule="auto"/>
        <w:ind w:left="720" w:hanging="720"/>
        <w:rPr>
          <w:rFonts w:ascii="Times New Roman" w:eastAsia="Times New Roman" w:hAnsi="Times New Roman" w:cs="Times New Roman"/>
          <w:iCs/>
          <w:sz w:val="24"/>
          <w:szCs w:val="20"/>
        </w:rPr>
      </w:pPr>
      <w:r w:rsidRPr="00832A4E">
        <w:rPr>
          <w:rFonts w:ascii="Times New Roman" w:eastAsia="Times New Roman" w:hAnsi="Times New Roman" w:cs="Times New Roman"/>
          <w:iCs/>
          <w:sz w:val="24"/>
          <w:szCs w:val="20"/>
        </w:rPr>
        <w:t>(1)</w:t>
      </w:r>
      <w:r w:rsidRPr="00832A4E">
        <w:rPr>
          <w:rFonts w:ascii="Times New Roman" w:eastAsia="Times New Roman" w:hAnsi="Times New Roman" w:cs="Times New Roman"/>
          <w:iCs/>
          <w:sz w:val="24"/>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7AD045A"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(a)</w:t>
      </w:r>
      <w:r w:rsidRPr="00832A4E">
        <w:rPr>
          <w:rFonts w:ascii="Times New Roman" w:eastAsia="Times New Roman" w:hAnsi="Times New Roman" w:cs="Times New Roman"/>
          <w:sz w:val="24"/>
          <w:szCs w:val="20"/>
        </w:rPr>
        <w:tab/>
        <w:t xml:space="preserve">Base Points, as calculated by ERCOT.  The Protected Information status of this information shall expire 60 days after the applicable Operating </w:t>
      </w:r>
      <w:proofErr w:type="gramStart"/>
      <w:r w:rsidRPr="00832A4E">
        <w:rPr>
          <w:rFonts w:ascii="Times New Roman" w:eastAsia="Times New Roman" w:hAnsi="Times New Roman" w:cs="Times New Roman"/>
          <w:sz w:val="24"/>
          <w:szCs w:val="20"/>
        </w:rPr>
        <w:t>Day;</w:t>
      </w:r>
      <w:proofErr w:type="gramEnd"/>
    </w:p>
    <w:p w14:paraId="738CCEBA"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(b)</w:t>
      </w:r>
      <w:r w:rsidRPr="00832A4E">
        <w:rPr>
          <w:rFonts w:ascii="Times New Roman" w:eastAsia="Times New Roman" w:hAnsi="Times New Roman" w:cs="Times New Roman"/>
          <w:sz w:val="24"/>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7BE3B432"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w:t>
      </w:r>
      <w:proofErr w:type="spellStart"/>
      <w:r w:rsidRPr="00832A4E">
        <w:rPr>
          <w:rFonts w:ascii="Times New Roman" w:eastAsia="Times New Roman" w:hAnsi="Times New Roman" w:cs="Times New Roman"/>
          <w:sz w:val="24"/>
          <w:szCs w:val="20"/>
        </w:rPr>
        <w:t>i</w:t>
      </w:r>
      <w:proofErr w:type="spellEnd"/>
      <w:r w:rsidRPr="00832A4E">
        <w:rPr>
          <w:rFonts w:ascii="Times New Roman" w:eastAsia="Times New Roman" w:hAnsi="Times New Roman" w:cs="Times New Roman"/>
          <w:sz w:val="24"/>
          <w:szCs w:val="20"/>
        </w:rPr>
        <w:t>)</w:t>
      </w:r>
      <w:r w:rsidRPr="00832A4E">
        <w:rPr>
          <w:rFonts w:ascii="Times New Roman" w:eastAsia="Times New Roman" w:hAnsi="Times New Roman" w:cs="Times New Roman"/>
          <w:sz w:val="24"/>
          <w:szCs w:val="20"/>
        </w:rPr>
        <w:tab/>
        <w:t>Ancillary Service Offers by Operating Hour for each Resource for all Ancillary Services submitted for the Day-Ahead Market (DAM) or any Supplemental Ancillary Services Market (SASM</w:t>
      </w:r>
      <w:proofErr w:type="gramStart"/>
      <w:r w:rsidRPr="00832A4E">
        <w:rPr>
          <w:rFonts w:ascii="Times New Roman" w:eastAsia="Times New Roman" w:hAnsi="Times New Roman" w:cs="Times New Roman"/>
          <w:sz w:val="24"/>
          <w:szCs w:val="20"/>
        </w:rPr>
        <w:t>);</w:t>
      </w:r>
      <w:proofErr w:type="gramEnd"/>
    </w:p>
    <w:p w14:paraId="6984E177"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(ii)</w:t>
      </w:r>
      <w:r w:rsidRPr="00832A4E">
        <w:rPr>
          <w:rFonts w:ascii="Times New Roman" w:eastAsia="Times New Roman" w:hAnsi="Times New Roman" w:cs="Times New Roman"/>
          <w:sz w:val="24"/>
          <w:szCs w:val="20"/>
        </w:rPr>
        <w:tab/>
        <w:t>The quantity of Ancillary Service offered by Operating Hour for each Resource for all Ancillary Service submitted for the DAM or any SASM; and</w:t>
      </w:r>
    </w:p>
    <w:p w14:paraId="29CA8373"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(iii)</w:t>
      </w:r>
      <w:r w:rsidRPr="00832A4E">
        <w:rPr>
          <w:rFonts w:ascii="Times New Roman" w:eastAsia="Times New Roman" w:hAnsi="Times New Roman" w:cs="Times New Roman"/>
          <w:sz w:val="24"/>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592197DC"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(c)</w:t>
      </w:r>
      <w:r w:rsidRPr="00832A4E">
        <w:rPr>
          <w:rFonts w:ascii="Times New Roman" w:eastAsia="Times New Roman" w:hAnsi="Times New Roman" w:cs="Times New Roman"/>
          <w:sz w:val="24"/>
          <w:szCs w:val="20"/>
        </w:rPr>
        <w:tab/>
        <w:t xml:space="preserve">Status of Resources, including Outages, limitations, or scheduled or metered Resource data.  The Protected Information status of this information shall expire 60 days after the applicable Operating </w:t>
      </w:r>
      <w:proofErr w:type="gramStart"/>
      <w:r w:rsidRPr="00832A4E">
        <w:rPr>
          <w:rFonts w:ascii="Times New Roman" w:eastAsia="Times New Roman" w:hAnsi="Times New Roman" w:cs="Times New Roman"/>
          <w:sz w:val="24"/>
          <w:szCs w:val="20"/>
        </w:rPr>
        <w:t>Day;</w:t>
      </w:r>
      <w:proofErr w:type="gramEnd"/>
    </w:p>
    <w:p w14:paraId="78CBBEE4"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(d)</w:t>
      </w:r>
      <w:r w:rsidRPr="00832A4E">
        <w:rPr>
          <w:rFonts w:ascii="Times New Roman" w:eastAsia="Times New Roman" w:hAnsi="Times New Roman" w:cs="Times New Roman"/>
          <w:sz w:val="24"/>
          <w:szCs w:val="20"/>
        </w:rPr>
        <w:tab/>
        <w:t xml:space="preserve">Current Operating Plans (COPs).  The Protected Information status of this information shall expire 60 days after the applicable Operating </w:t>
      </w:r>
      <w:proofErr w:type="gramStart"/>
      <w:r w:rsidRPr="00832A4E">
        <w:rPr>
          <w:rFonts w:ascii="Times New Roman" w:eastAsia="Times New Roman" w:hAnsi="Times New Roman" w:cs="Times New Roman"/>
          <w:sz w:val="24"/>
          <w:szCs w:val="20"/>
        </w:rPr>
        <w:t>Day;</w:t>
      </w:r>
      <w:proofErr w:type="gramEnd"/>
    </w:p>
    <w:p w14:paraId="3B672737"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(e)</w:t>
      </w:r>
      <w:r w:rsidRPr="00832A4E">
        <w:rPr>
          <w:rFonts w:ascii="Times New Roman" w:eastAsia="Times New Roman" w:hAnsi="Times New Roman" w:cs="Times New Roman"/>
          <w:sz w:val="24"/>
          <w:szCs w:val="20"/>
        </w:rPr>
        <w:tab/>
        <w:t xml:space="preserve">Ancillary Service Trades, Energy Trades, and Capacity Trades identifiable to a specific QSE or Resource.  The Protected Information status of this information shall expire 180 days after the applicable Operating </w:t>
      </w:r>
      <w:proofErr w:type="gramStart"/>
      <w:r w:rsidRPr="00832A4E">
        <w:rPr>
          <w:rFonts w:ascii="Times New Roman" w:eastAsia="Times New Roman" w:hAnsi="Times New Roman" w:cs="Times New Roman"/>
          <w:sz w:val="24"/>
          <w:szCs w:val="20"/>
        </w:rPr>
        <w:t>Day;</w:t>
      </w:r>
      <w:proofErr w:type="gramEnd"/>
    </w:p>
    <w:p w14:paraId="7F584284"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(f)</w:t>
      </w:r>
      <w:r w:rsidRPr="00832A4E">
        <w:rPr>
          <w:rFonts w:ascii="Times New Roman" w:eastAsia="Times New Roman" w:hAnsi="Times New Roman" w:cs="Times New Roman"/>
          <w:sz w:val="24"/>
          <w:szCs w:val="20"/>
        </w:rPr>
        <w:tab/>
        <w:t xml:space="preserve">Ancillary Service Schedules identifiable to a specific QSE or Resource.  The Protected Information status of this information shall expire 60 days after the applicable Operating </w:t>
      </w:r>
      <w:proofErr w:type="gramStart"/>
      <w:r w:rsidRPr="00832A4E">
        <w:rPr>
          <w:rFonts w:ascii="Times New Roman" w:eastAsia="Times New Roman" w:hAnsi="Times New Roman" w:cs="Times New Roman"/>
          <w:sz w:val="24"/>
          <w:szCs w:val="20"/>
        </w:rPr>
        <w:t>Day;</w:t>
      </w:r>
      <w:proofErr w:type="gramEnd"/>
    </w:p>
    <w:p w14:paraId="77FCC47A"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(g)</w:t>
      </w:r>
      <w:r w:rsidRPr="00832A4E">
        <w:rPr>
          <w:rFonts w:ascii="Times New Roman" w:eastAsia="Times New Roman" w:hAnsi="Times New Roman" w:cs="Times New Roman"/>
          <w:sz w:val="24"/>
          <w:szCs w:val="20"/>
        </w:rPr>
        <w:tab/>
        <w:t xml:space="preserve">Dispatch Instructions identifiable to a specific QSE or Resource, except for Reliability Unit Commitment (RUC) commitments and decommitments as provided in Section 5.5.3, Communication of RUC Commitments and </w:t>
      </w:r>
      <w:r w:rsidRPr="00832A4E">
        <w:rPr>
          <w:rFonts w:ascii="Times New Roman" w:eastAsia="Times New Roman" w:hAnsi="Times New Roman" w:cs="Times New Roman"/>
          <w:sz w:val="24"/>
          <w:szCs w:val="20"/>
        </w:rPr>
        <w:lastRenderedPageBreak/>
        <w:t xml:space="preserve">Decommitments.  The Protected Information status of this information shall expire 180 days after the applicable Operating </w:t>
      </w:r>
      <w:proofErr w:type="gramStart"/>
      <w:r w:rsidRPr="00832A4E">
        <w:rPr>
          <w:rFonts w:ascii="Times New Roman" w:eastAsia="Times New Roman" w:hAnsi="Times New Roman" w:cs="Times New Roman"/>
          <w:sz w:val="24"/>
          <w:szCs w:val="20"/>
        </w:rPr>
        <w:t>Day;</w:t>
      </w:r>
      <w:proofErr w:type="gramEnd"/>
    </w:p>
    <w:p w14:paraId="370A6658"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(h)</w:t>
      </w:r>
      <w:r w:rsidRPr="00832A4E">
        <w:rPr>
          <w:rFonts w:ascii="Times New Roman" w:eastAsia="Times New Roman" w:hAnsi="Times New Roman" w:cs="Times New Roman"/>
          <w:sz w:val="24"/>
          <w:szCs w:val="20"/>
        </w:rPr>
        <w:tab/>
        <w:t>Raw and Adjusted Metered Load (AML) data (demand and energy) identifiable to:</w:t>
      </w:r>
    </w:p>
    <w:p w14:paraId="250518B5"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w:t>
      </w:r>
      <w:proofErr w:type="spellStart"/>
      <w:r w:rsidRPr="00832A4E">
        <w:rPr>
          <w:rFonts w:ascii="Times New Roman" w:eastAsia="Times New Roman" w:hAnsi="Times New Roman" w:cs="Times New Roman"/>
          <w:sz w:val="24"/>
          <w:szCs w:val="20"/>
        </w:rPr>
        <w:t>i</w:t>
      </w:r>
      <w:proofErr w:type="spellEnd"/>
      <w:r w:rsidRPr="00832A4E">
        <w:rPr>
          <w:rFonts w:ascii="Times New Roman" w:eastAsia="Times New Roman" w:hAnsi="Times New Roman" w:cs="Times New Roman"/>
          <w:sz w:val="24"/>
          <w:szCs w:val="20"/>
        </w:rPr>
        <w:t>)</w:t>
      </w:r>
      <w:r w:rsidRPr="00832A4E">
        <w:rPr>
          <w:rFonts w:ascii="Times New Roman" w:eastAsia="Times New Roman" w:hAnsi="Times New Roman" w:cs="Times New Roman"/>
          <w:sz w:val="24"/>
          <w:szCs w:val="20"/>
        </w:rPr>
        <w:tab/>
        <w:t xml:space="preserve">A specific QSE or Load Serving Entity (LSE).  The Protected Information status of this information shall expire 180 days after the applicable Operating </w:t>
      </w:r>
      <w:proofErr w:type="gramStart"/>
      <w:r w:rsidRPr="00832A4E">
        <w:rPr>
          <w:rFonts w:ascii="Times New Roman" w:eastAsia="Times New Roman" w:hAnsi="Times New Roman" w:cs="Times New Roman"/>
          <w:sz w:val="24"/>
          <w:szCs w:val="20"/>
        </w:rPr>
        <w:t>Day;</w:t>
      </w:r>
      <w:proofErr w:type="gramEnd"/>
      <w:r w:rsidRPr="00832A4E">
        <w:rPr>
          <w:rFonts w:ascii="Times New Roman" w:eastAsia="Times New Roman" w:hAnsi="Times New Roman" w:cs="Times New Roman"/>
          <w:sz w:val="24"/>
          <w:szCs w:val="20"/>
        </w:rPr>
        <w:t xml:space="preserve"> or</w:t>
      </w:r>
    </w:p>
    <w:p w14:paraId="4F91B052"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(ii)</w:t>
      </w:r>
      <w:r w:rsidRPr="00832A4E">
        <w:rPr>
          <w:rFonts w:ascii="Times New Roman" w:eastAsia="Times New Roman" w:hAnsi="Times New Roman" w:cs="Times New Roman"/>
          <w:sz w:val="24"/>
          <w:szCs w:val="20"/>
        </w:rPr>
        <w:tab/>
        <w:t>A specific Customer or Electric Service Identifier (ESI ID</w:t>
      </w:r>
      <w:proofErr w:type="gramStart"/>
      <w:r w:rsidRPr="00832A4E">
        <w:rPr>
          <w:rFonts w:ascii="Times New Roman" w:eastAsia="Times New Roman" w:hAnsi="Times New Roman" w:cs="Times New Roman"/>
          <w:sz w:val="24"/>
          <w:szCs w:val="20"/>
        </w:rPr>
        <w:t>);</w:t>
      </w:r>
      <w:proofErr w:type="gramEnd"/>
    </w:p>
    <w:p w14:paraId="23260817" w14:textId="77777777" w:rsidR="00832A4E" w:rsidRPr="00832A4E" w:rsidRDefault="00832A4E" w:rsidP="00832A4E">
      <w:pPr>
        <w:spacing w:before="240"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w:t>
      </w:r>
      <w:proofErr w:type="spellStart"/>
      <w:r w:rsidRPr="00832A4E">
        <w:rPr>
          <w:rFonts w:ascii="Times New Roman" w:eastAsia="Times New Roman" w:hAnsi="Times New Roman" w:cs="Times New Roman"/>
          <w:sz w:val="24"/>
          <w:szCs w:val="20"/>
        </w:rPr>
        <w:t>i</w:t>
      </w:r>
      <w:proofErr w:type="spellEnd"/>
      <w:r w:rsidRPr="00832A4E">
        <w:rPr>
          <w:rFonts w:ascii="Times New Roman" w:eastAsia="Times New Roman" w:hAnsi="Times New Roman" w:cs="Times New Roman"/>
          <w:sz w:val="24"/>
          <w:szCs w:val="20"/>
        </w:rPr>
        <w:t>)</w:t>
      </w:r>
      <w:r w:rsidRPr="00832A4E">
        <w:rPr>
          <w:rFonts w:ascii="Times New Roman" w:eastAsia="Times New Roman" w:hAnsi="Times New Roman" w:cs="Times New Roman"/>
          <w:sz w:val="24"/>
          <w:szCs w:val="20"/>
        </w:rPr>
        <w:tab/>
        <w:t xml:space="preserve">Wholesale Storage Load (WSL) data identifiable to a specific QSE.  The Protected Information status of this information shall expire 180 days after the applicable Operating </w:t>
      </w:r>
      <w:proofErr w:type="gramStart"/>
      <w:r w:rsidRPr="00832A4E">
        <w:rPr>
          <w:rFonts w:ascii="Times New Roman" w:eastAsia="Times New Roman" w:hAnsi="Times New Roman" w:cs="Times New Roman"/>
          <w:sz w:val="24"/>
          <w:szCs w:val="20"/>
        </w:rPr>
        <w:t>Day;</w:t>
      </w:r>
      <w:proofErr w:type="gramEnd"/>
      <w:r w:rsidRPr="00832A4E">
        <w:rPr>
          <w:rFonts w:ascii="Times New Roman" w:eastAsia="Times New Roman" w:hAnsi="Times New Roman" w:cs="Times New Roman"/>
          <w:sz w:val="24"/>
          <w:szCs w:val="20"/>
        </w:rPr>
        <w:t xml:space="preserve"> </w:t>
      </w:r>
    </w:p>
    <w:p w14:paraId="05112D15"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(j)</w:t>
      </w:r>
      <w:r w:rsidRPr="00832A4E">
        <w:rPr>
          <w:rFonts w:ascii="Times New Roman" w:eastAsia="Times New Roman" w:hAnsi="Times New Roman" w:cs="Times New Roman"/>
          <w:sz w:val="24"/>
          <w:szCs w:val="20"/>
        </w:rPr>
        <w:tab/>
        <w:t xml:space="preserve">Settlement Statements and Invoices identifiable to a specific QSE.  The Protected Information status of this information shall expire 180 days after the applicable Operating </w:t>
      </w:r>
      <w:proofErr w:type="gramStart"/>
      <w:r w:rsidRPr="00832A4E">
        <w:rPr>
          <w:rFonts w:ascii="Times New Roman" w:eastAsia="Times New Roman" w:hAnsi="Times New Roman" w:cs="Times New Roman"/>
          <w:sz w:val="24"/>
          <w:szCs w:val="20"/>
        </w:rPr>
        <w:t>Day;</w:t>
      </w:r>
      <w:proofErr w:type="gramEnd"/>
    </w:p>
    <w:p w14:paraId="7EFB201E"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(k)</w:t>
      </w:r>
      <w:r w:rsidRPr="00832A4E">
        <w:rPr>
          <w:rFonts w:ascii="Times New Roman" w:eastAsia="Times New Roman" w:hAnsi="Times New Roman" w:cs="Times New Roman"/>
          <w:sz w:val="24"/>
          <w:szCs w:val="20"/>
        </w:rPr>
        <w:tab/>
        <w:t xml:space="preserve">Number of ESI IDs identifiable to a specific LSE.  The Protected Information status of this information shall expire 365 days after the applicable Operating </w:t>
      </w:r>
      <w:proofErr w:type="gramStart"/>
      <w:r w:rsidRPr="00832A4E">
        <w:rPr>
          <w:rFonts w:ascii="Times New Roman" w:eastAsia="Times New Roman" w:hAnsi="Times New Roman" w:cs="Times New Roman"/>
          <w:sz w:val="24"/>
          <w:szCs w:val="20"/>
        </w:rPr>
        <w:t>Day;</w:t>
      </w:r>
      <w:proofErr w:type="gramEnd"/>
    </w:p>
    <w:p w14:paraId="030C2686"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(l)</w:t>
      </w:r>
      <w:r w:rsidRPr="00832A4E">
        <w:rPr>
          <w:rFonts w:ascii="Times New Roman" w:eastAsia="Times New Roman" w:hAnsi="Times New Roman" w:cs="Times New Roman"/>
          <w:sz w:val="24"/>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1.3.3, Expiration of </w:t>
      </w:r>
      <w:proofErr w:type="gramStart"/>
      <w:r w:rsidRPr="00832A4E">
        <w:rPr>
          <w:rFonts w:ascii="Times New Roman" w:eastAsia="Times New Roman" w:hAnsi="Times New Roman" w:cs="Times New Roman"/>
          <w:sz w:val="24"/>
          <w:szCs w:val="20"/>
        </w:rPr>
        <w:t>Confidentiality;</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32A4E" w:rsidRPr="00832A4E" w14:paraId="5B3415F5" w14:textId="77777777" w:rsidTr="009E2326">
        <w:tc>
          <w:tcPr>
            <w:tcW w:w="9558" w:type="dxa"/>
            <w:tcBorders>
              <w:top w:val="single" w:sz="4" w:space="0" w:color="auto"/>
              <w:left w:val="single" w:sz="4" w:space="0" w:color="auto"/>
              <w:bottom w:val="single" w:sz="4" w:space="0" w:color="auto"/>
              <w:right w:val="single" w:sz="4" w:space="0" w:color="auto"/>
            </w:tcBorders>
            <w:shd w:val="clear" w:color="auto" w:fill="D9D9D9"/>
          </w:tcPr>
          <w:p w14:paraId="042E8D78" w14:textId="77777777" w:rsidR="00832A4E" w:rsidRPr="00832A4E" w:rsidRDefault="00832A4E" w:rsidP="00832A4E">
            <w:pPr>
              <w:spacing w:before="120" w:after="240" w:line="240" w:lineRule="auto"/>
              <w:rPr>
                <w:rFonts w:ascii="Times New Roman" w:eastAsia="Times New Roman" w:hAnsi="Times New Roman" w:cs="Times New Roman"/>
                <w:b/>
                <w:i/>
                <w:sz w:val="24"/>
                <w:szCs w:val="20"/>
              </w:rPr>
            </w:pPr>
            <w:r w:rsidRPr="00832A4E">
              <w:rPr>
                <w:rFonts w:ascii="Times New Roman" w:eastAsia="Times New Roman" w:hAnsi="Times New Roman" w:cs="Times New Roman"/>
                <w:b/>
                <w:i/>
                <w:sz w:val="24"/>
                <w:szCs w:val="20"/>
              </w:rPr>
              <w:t>[NPRR902:  Replace paragraph (l) above with the following upon system implementation, but no earlier than July 1, 2020:]</w:t>
            </w:r>
          </w:p>
          <w:p w14:paraId="08F5DD36"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4"/>
              </w:rPr>
            </w:pPr>
            <w:r w:rsidRPr="00832A4E">
              <w:rPr>
                <w:rFonts w:ascii="Times New Roman" w:eastAsia="Times New Roman" w:hAnsi="Times New Roman" w:cs="Times New Roman"/>
                <w:sz w:val="24"/>
                <w:szCs w:val="24"/>
              </w:rPr>
              <w:t>(l)</w:t>
            </w:r>
            <w:r w:rsidRPr="00832A4E">
              <w:rPr>
                <w:rFonts w:ascii="Times New Roman" w:eastAsia="Times New Roman" w:hAnsi="Times New Roman" w:cs="Times New Roman"/>
                <w:sz w:val="24"/>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783B2F2C" w14:textId="77777777" w:rsidR="00832A4E" w:rsidRPr="00832A4E" w:rsidRDefault="00832A4E" w:rsidP="00832A4E">
      <w:pPr>
        <w:spacing w:before="240"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(m)</w:t>
      </w:r>
      <w:r w:rsidRPr="00832A4E">
        <w:rPr>
          <w:rFonts w:ascii="Times New Roman" w:eastAsia="Times New Roman" w:hAnsi="Times New Roman" w:cs="Times New Roman"/>
          <w:sz w:val="24"/>
          <w:szCs w:val="20"/>
        </w:rPr>
        <w:tab/>
        <w:t xml:space="preserve">Resource-specific costs, design and engineering data, including such data submitted in connection with a verifiable cost </w:t>
      </w:r>
      <w:proofErr w:type="gramStart"/>
      <w:r w:rsidRPr="00832A4E">
        <w:rPr>
          <w:rFonts w:ascii="Times New Roman" w:eastAsia="Times New Roman" w:hAnsi="Times New Roman" w:cs="Times New Roman"/>
          <w:sz w:val="24"/>
          <w:szCs w:val="20"/>
        </w:rPr>
        <w:t>appeal;</w:t>
      </w:r>
      <w:proofErr w:type="gramEnd"/>
    </w:p>
    <w:p w14:paraId="118D95C3"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(n)</w:t>
      </w:r>
      <w:r w:rsidRPr="00832A4E">
        <w:rPr>
          <w:rFonts w:ascii="Times New Roman" w:eastAsia="Times New Roman" w:hAnsi="Times New Roman" w:cs="Times New Roman"/>
          <w:sz w:val="24"/>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FB7072B"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w:t>
      </w:r>
      <w:proofErr w:type="spellStart"/>
      <w:r w:rsidRPr="00832A4E">
        <w:rPr>
          <w:rFonts w:ascii="Times New Roman" w:eastAsia="Times New Roman" w:hAnsi="Times New Roman" w:cs="Times New Roman"/>
          <w:sz w:val="24"/>
          <w:szCs w:val="20"/>
        </w:rPr>
        <w:t>i</w:t>
      </w:r>
      <w:proofErr w:type="spellEnd"/>
      <w:r w:rsidRPr="00832A4E">
        <w:rPr>
          <w:rFonts w:ascii="Times New Roman" w:eastAsia="Times New Roman" w:hAnsi="Times New Roman" w:cs="Times New Roman"/>
          <w:sz w:val="24"/>
          <w:szCs w:val="20"/>
        </w:rPr>
        <w:t>)</w:t>
      </w:r>
      <w:r w:rsidRPr="00832A4E">
        <w:rPr>
          <w:rFonts w:ascii="Times New Roman" w:eastAsia="Times New Roman" w:hAnsi="Times New Roman" w:cs="Times New Roman"/>
          <w:sz w:val="24"/>
          <w:szCs w:val="20"/>
        </w:rPr>
        <w:tab/>
        <w:t xml:space="preserve">The Protected Information status of the identities of CRR bidders that become CRR Owners and the number and type of CRRs that they each </w:t>
      </w:r>
      <w:r w:rsidRPr="00832A4E">
        <w:rPr>
          <w:rFonts w:ascii="Times New Roman" w:eastAsia="Times New Roman" w:hAnsi="Times New Roman" w:cs="Times New Roman"/>
          <w:sz w:val="24"/>
          <w:szCs w:val="20"/>
        </w:rPr>
        <w:lastRenderedPageBreak/>
        <w:t>own shall expire at the end of the CRR Auction in which the CRRs were first sold; and</w:t>
      </w:r>
    </w:p>
    <w:p w14:paraId="2B9AF8B4"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(ii)</w:t>
      </w:r>
      <w:r w:rsidRPr="00832A4E">
        <w:rPr>
          <w:rFonts w:ascii="Times New Roman" w:eastAsia="Times New Roman" w:hAnsi="Times New Roman" w:cs="Times New Roman"/>
          <w:sz w:val="24"/>
          <w:szCs w:val="20"/>
        </w:rPr>
        <w:tab/>
        <w:t>The Protected Information status of all other CRR information identified above in item (n) shall expire six months after the end of the year in which the CRR was effective.</w:t>
      </w:r>
    </w:p>
    <w:p w14:paraId="7343E36F"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(o)</w:t>
      </w:r>
      <w:r w:rsidRPr="00832A4E">
        <w:rPr>
          <w:rFonts w:ascii="Times New Roman" w:eastAsia="Times New Roman" w:hAnsi="Times New Roman" w:cs="Times New Roman"/>
          <w:sz w:val="24"/>
          <w:szCs w:val="20"/>
        </w:rPr>
        <w:tab/>
        <w:t xml:space="preserve">Renewable Energy Credit (REC) account balances.  The Protected Information status of this information shall expire three years after the REC Settlement period </w:t>
      </w:r>
      <w:proofErr w:type="gramStart"/>
      <w:r w:rsidRPr="00832A4E">
        <w:rPr>
          <w:rFonts w:ascii="Times New Roman" w:eastAsia="Times New Roman" w:hAnsi="Times New Roman" w:cs="Times New Roman"/>
          <w:sz w:val="24"/>
          <w:szCs w:val="20"/>
        </w:rPr>
        <w:t>ends;</w:t>
      </w:r>
      <w:proofErr w:type="gramEnd"/>
    </w:p>
    <w:p w14:paraId="0E79158F"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(p)</w:t>
      </w:r>
      <w:r w:rsidRPr="00832A4E">
        <w:rPr>
          <w:rFonts w:ascii="Times New Roman" w:eastAsia="Times New Roman" w:hAnsi="Times New Roman" w:cs="Times New Roman"/>
          <w:sz w:val="24"/>
          <w:szCs w:val="20"/>
        </w:rPr>
        <w:tab/>
        <w:t xml:space="preserve">Credit limits identifiable to a specific </w:t>
      </w:r>
      <w:proofErr w:type="gramStart"/>
      <w:r w:rsidRPr="00832A4E">
        <w:rPr>
          <w:rFonts w:ascii="Times New Roman" w:eastAsia="Times New Roman" w:hAnsi="Times New Roman" w:cs="Times New Roman"/>
          <w:sz w:val="24"/>
          <w:szCs w:val="20"/>
        </w:rPr>
        <w:t>QSE;</w:t>
      </w:r>
      <w:proofErr w:type="gramEnd"/>
    </w:p>
    <w:p w14:paraId="563CC8B8"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(q)</w:t>
      </w:r>
      <w:r w:rsidRPr="00832A4E">
        <w:rPr>
          <w:rFonts w:ascii="Times New Roman" w:eastAsia="Times New Roman" w:hAnsi="Times New Roman" w:cs="Times New Roman"/>
          <w:sz w:val="24"/>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32A4E" w:rsidRPr="00832A4E" w14:paraId="6E2380D5" w14:textId="77777777" w:rsidTr="009E2326">
        <w:tc>
          <w:tcPr>
            <w:tcW w:w="9558" w:type="dxa"/>
            <w:tcBorders>
              <w:top w:val="single" w:sz="4" w:space="0" w:color="auto"/>
              <w:left w:val="single" w:sz="4" w:space="0" w:color="auto"/>
              <w:bottom w:val="single" w:sz="4" w:space="0" w:color="auto"/>
              <w:right w:val="single" w:sz="4" w:space="0" w:color="auto"/>
            </w:tcBorders>
            <w:shd w:val="clear" w:color="auto" w:fill="D9D9D9"/>
          </w:tcPr>
          <w:p w14:paraId="74ED1667" w14:textId="77777777" w:rsidR="00832A4E" w:rsidRPr="00832A4E" w:rsidRDefault="00832A4E" w:rsidP="00832A4E">
            <w:pPr>
              <w:spacing w:before="120" w:after="240" w:line="240" w:lineRule="auto"/>
              <w:rPr>
                <w:rFonts w:ascii="Times New Roman" w:eastAsia="Times New Roman" w:hAnsi="Times New Roman" w:cs="Times New Roman"/>
                <w:b/>
                <w:i/>
                <w:sz w:val="24"/>
                <w:szCs w:val="20"/>
              </w:rPr>
            </w:pPr>
            <w:r w:rsidRPr="00832A4E">
              <w:rPr>
                <w:rFonts w:ascii="Times New Roman" w:eastAsia="Times New Roman" w:hAnsi="Times New Roman" w:cs="Times New Roman"/>
                <w:b/>
                <w:i/>
                <w:sz w:val="24"/>
                <w:szCs w:val="20"/>
              </w:rPr>
              <w:t>[NPRR902:  Replace paragraph (q) above with the following upon system implementation, but no earlier than July 1, 2020:]</w:t>
            </w:r>
          </w:p>
          <w:p w14:paraId="46816C46"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4"/>
              </w:rPr>
            </w:pPr>
            <w:r w:rsidRPr="00832A4E">
              <w:rPr>
                <w:rFonts w:ascii="Times New Roman" w:eastAsia="Times New Roman" w:hAnsi="Times New Roman" w:cs="Times New Roman"/>
                <w:sz w:val="24"/>
                <w:szCs w:val="24"/>
              </w:rPr>
              <w:t>(q)</w:t>
            </w:r>
            <w:r w:rsidRPr="00832A4E">
              <w:rPr>
                <w:rFonts w:ascii="Times New Roman" w:eastAsia="Times New Roman" w:hAnsi="Times New Roman" w:cs="Times New Roman"/>
                <w:sz w:val="24"/>
                <w:szCs w:val="24"/>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63126F8D" w14:textId="77777777" w:rsidR="00832A4E" w:rsidRPr="00832A4E" w:rsidRDefault="00832A4E" w:rsidP="00832A4E">
      <w:pPr>
        <w:spacing w:before="240"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(r)</w:t>
      </w:r>
      <w:r w:rsidRPr="00832A4E">
        <w:rPr>
          <w:rFonts w:ascii="Times New Roman" w:eastAsia="Times New Roman" w:hAnsi="Times New Roman" w:cs="Times New Roman"/>
          <w:sz w:val="24"/>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w:t>
      </w:r>
      <w:proofErr w:type="gramStart"/>
      <w:r w:rsidRPr="00832A4E">
        <w:rPr>
          <w:rFonts w:ascii="Times New Roman" w:eastAsia="Times New Roman" w:hAnsi="Times New Roman" w:cs="Times New Roman"/>
          <w:sz w:val="24"/>
          <w:szCs w:val="20"/>
        </w:rPr>
        <w:t>Information;</w:t>
      </w:r>
      <w:proofErr w:type="gramEnd"/>
    </w:p>
    <w:p w14:paraId="554E5DF2"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(s)</w:t>
      </w:r>
      <w:r w:rsidRPr="00832A4E">
        <w:rPr>
          <w:rFonts w:ascii="Times New Roman" w:eastAsia="Times New Roman" w:hAnsi="Times New Roman" w:cs="Times New Roman"/>
          <w:sz w:val="24"/>
          <w:szCs w:val="20"/>
        </w:rPr>
        <w:tab/>
        <w:t xml:space="preserve">Any software, products of software, or other vendor information that ERCOT is required to keep confidential under its </w:t>
      </w:r>
      <w:proofErr w:type="gramStart"/>
      <w:r w:rsidRPr="00832A4E">
        <w:rPr>
          <w:rFonts w:ascii="Times New Roman" w:eastAsia="Times New Roman" w:hAnsi="Times New Roman" w:cs="Times New Roman"/>
          <w:sz w:val="24"/>
          <w:szCs w:val="20"/>
        </w:rPr>
        <w:t>agreements;</w:t>
      </w:r>
      <w:proofErr w:type="gramEnd"/>
    </w:p>
    <w:p w14:paraId="3A76F211"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lastRenderedPageBreak/>
        <w:t>(t)</w:t>
      </w:r>
      <w:r w:rsidRPr="00832A4E">
        <w:rPr>
          <w:rFonts w:ascii="Times New Roman" w:eastAsia="Times New Roman" w:hAnsi="Times New Roman" w:cs="Times New Roman"/>
          <w:sz w:val="24"/>
          <w:szCs w:val="20"/>
        </w:rPr>
        <w:tab/>
        <w:t xml:space="preserve">QSE, Transmission Service Provider (TSP), and Distribution Service Provider (DSP) backup plans collected by ERCOT under the Protocols or Other Binding </w:t>
      </w:r>
      <w:proofErr w:type="gramStart"/>
      <w:r w:rsidRPr="00832A4E">
        <w:rPr>
          <w:rFonts w:ascii="Times New Roman" w:eastAsia="Times New Roman" w:hAnsi="Times New Roman" w:cs="Times New Roman"/>
          <w:sz w:val="24"/>
          <w:szCs w:val="20"/>
        </w:rPr>
        <w:t>Documents;</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32A4E" w:rsidRPr="00832A4E" w14:paraId="0DDCD3FE" w14:textId="77777777" w:rsidTr="009E2326">
        <w:tc>
          <w:tcPr>
            <w:tcW w:w="9558" w:type="dxa"/>
            <w:tcBorders>
              <w:top w:val="single" w:sz="4" w:space="0" w:color="auto"/>
              <w:left w:val="single" w:sz="4" w:space="0" w:color="auto"/>
              <w:bottom w:val="single" w:sz="4" w:space="0" w:color="auto"/>
              <w:right w:val="single" w:sz="4" w:space="0" w:color="auto"/>
            </w:tcBorders>
            <w:shd w:val="clear" w:color="auto" w:fill="D9D9D9"/>
          </w:tcPr>
          <w:p w14:paraId="00315843" w14:textId="77777777" w:rsidR="00832A4E" w:rsidRPr="00832A4E" w:rsidRDefault="00832A4E" w:rsidP="00832A4E">
            <w:pPr>
              <w:spacing w:before="120" w:after="240" w:line="240" w:lineRule="auto"/>
              <w:rPr>
                <w:rFonts w:ascii="Times New Roman" w:eastAsia="Times New Roman" w:hAnsi="Times New Roman" w:cs="Times New Roman"/>
                <w:b/>
                <w:i/>
                <w:sz w:val="24"/>
                <w:szCs w:val="20"/>
              </w:rPr>
            </w:pPr>
            <w:r w:rsidRPr="00832A4E">
              <w:rPr>
                <w:rFonts w:ascii="Times New Roman" w:eastAsia="Times New Roman" w:hAnsi="Times New Roman" w:cs="Times New Roman"/>
                <w:b/>
                <w:i/>
                <w:sz w:val="24"/>
                <w:szCs w:val="20"/>
              </w:rPr>
              <w:t>[NPRR857:  Replace item (t) above with the following upon system implementation:]</w:t>
            </w:r>
          </w:p>
          <w:p w14:paraId="0013ACE7"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(t)</w:t>
            </w:r>
            <w:r w:rsidRPr="00832A4E">
              <w:rPr>
                <w:rFonts w:ascii="Times New Roman" w:eastAsia="Times New Roman" w:hAnsi="Times New Roman" w:cs="Times New Roman"/>
                <w:sz w:val="24"/>
                <w:szCs w:val="20"/>
              </w:rPr>
              <w:tab/>
              <w:t>QSE, Transmission Service Provider (TSP), Direct Current Tie Operator (DCTO), and Distribution Service Provider (DSP) backup plans collected by ERCOT under the Protocols or Other Binding Documents;</w:t>
            </w:r>
          </w:p>
        </w:tc>
      </w:tr>
    </w:tbl>
    <w:p w14:paraId="6BBD705B" w14:textId="77777777" w:rsidR="00832A4E" w:rsidRPr="00832A4E" w:rsidRDefault="00832A4E" w:rsidP="00832A4E">
      <w:pPr>
        <w:spacing w:before="240"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(u)</w:t>
      </w:r>
      <w:r w:rsidRPr="00832A4E">
        <w:rPr>
          <w:rFonts w:ascii="Times New Roman" w:eastAsia="Times New Roman" w:hAnsi="Times New Roman" w:cs="Times New Roman"/>
          <w:sz w:val="24"/>
          <w:szCs w:val="20"/>
        </w:rPr>
        <w:tab/>
        <w:t xml:space="preserve">Direct Current Tie (DC Tie) information provided to a TSP or DSP under Section 9.17.2, Direct Current Tie Schedule </w:t>
      </w:r>
      <w:proofErr w:type="gramStart"/>
      <w:r w:rsidRPr="00832A4E">
        <w:rPr>
          <w:rFonts w:ascii="Times New Roman" w:eastAsia="Times New Roman" w:hAnsi="Times New Roman" w:cs="Times New Roman"/>
          <w:sz w:val="24"/>
          <w:szCs w:val="20"/>
        </w:rPr>
        <w:t>Information;</w:t>
      </w:r>
      <w:proofErr w:type="gramEnd"/>
      <w:r w:rsidRPr="00832A4E">
        <w:rPr>
          <w:rFonts w:ascii="Times New Roman" w:eastAsia="Times New Roman" w:hAnsi="Times New Roman" w:cs="Times New Roman"/>
          <w:sz w:val="24"/>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32A4E" w:rsidRPr="00832A4E" w14:paraId="3799122B" w14:textId="77777777" w:rsidTr="009E2326">
        <w:tc>
          <w:tcPr>
            <w:tcW w:w="9558" w:type="dxa"/>
            <w:tcBorders>
              <w:top w:val="single" w:sz="4" w:space="0" w:color="auto"/>
              <w:left w:val="single" w:sz="4" w:space="0" w:color="auto"/>
              <w:bottom w:val="single" w:sz="4" w:space="0" w:color="auto"/>
              <w:right w:val="single" w:sz="4" w:space="0" w:color="auto"/>
            </w:tcBorders>
            <w:shd w:val="clear" w:color="auto" w:fill="D9D9D9"/>
          </w:tcPr>
          <w:p w14:paraId="5D8C3648" w14:textId="77777777" w:rsidR="00832A4E" w:rsidRPr="00832A4E" w:rsidRDefault="00832A4E" w:rsidP="00832A4E">
            <w:pPr>
              <w:spacing w:before="120" w:after="240" w:line="240" w:lineRule="auto"/>
              <w:rPr>
                <w:rFonts w:ascii="Times New Roman" w:eastAsia="Times New Roman" w:hAnsi="Times New Roman" w:cs="Times New Roman"/>
                <w:b/>
                <w:i/>
                <w:sz w:val="24"/>
                <w:szCs w:val="20"/>
              </w:rPr>
            </w:pPr>
            <w:r w:rsidRPr="00832A4E">
              <w:rPr>
                <w:rFonts w:ascii="Times New Roman" w:eastAsia="Times New Roman" w:hAnsi="Times New Roman" w:cs="Times New Roman"/>
                <w:b/>
                <w:i/>
                <w:sz w:val="24"/>
                <w:szCs w:val="20"/>
              </w:rPr>
              <w:t>[NPRR857:  Replace item (u) above with the following upon system implementation:]</w:t>
            </w:r>
          </w:p>
          <w:p w14:paraId="670B4D15"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(u)</w:t>
            </w:r>
            <w:r w:rsidRPr="00832A4E">
              <w:rPr>
                <w:rFonts w:ascii="Times New Roman" w:eastAsia="Times New Roman" w:hAnsi="Times New Roman" w:cs="Times New Roman"/>
                <w:sz w:val="24"/>
                <w:szCs w:val="20"/>
              </w:rPr>
              <w:tab/>
              <w:t>Direct Current Tie (DC Tie) Schedule information provided to a TSP or DSP under Section 9.17.2, Direct Current Tie Schedule Information;</w:t>
            </w:r>
          </w:p>
        </w:tc>
      </w:tr>
    </w:tbl>
    <w:p w14:paraId="065AD8E9" w14:textId="77777777" w:rsidR="00832A4E" w:rsidRPr="00832A4E" w:rsidRDefault="00832A4E" w:rsidP="00832A4E">
      <w:pPr>
        <w:spacing w:before="240"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(v)</w:t>
      </w:r>
      <w:r w:rsidRPr="00832A4E">
        <w:rPr>
          <w:rFonts w:ascii="Times New Roman" w:eastAsia="Times New Roman" w:hAnsi="Times New Roman" w:cs="Times New Roman"/>
          <w:sz w:val="24"/>
          <w:szCs w:val="20"/>
        </w:rPr>
        <w:tab/>
        <w:t xml:space="preserve">Any Texas Standard Electronic Transaction (TX SET) transaction submitted by an LSE to ERCOT or received by an LSE from ERCOT.  This paragraph does not apply to ERCOT’s compliance with: </w:t>
      </w:r>
    </w:p>
    <w:p w14:paraId="66401B97"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w:t>
      </w:r>
      <w:proofErr w:type="spellStart"/>
      <w:r w:rsidRPr="00832A4E">
        <w:rPr>
          <w:rFonts w:ascii="Times New Roman" w:eastAsia="Times New Roman" w:hAnsi="Times New Roman" w:cs="Times New Roman"/>
          <w:sz w:val="24"/>
          <w:szCs w:val="20"/>
        </w:rPr>
        <w:t>i</w:t>
      </w:r>
      <w:proofErr w:type="spellEnd"/>
      <w:r w:rsidRPr="00832A4E">
        <w:rPr>
          <w:rFonts w:ascii="Times New Roman" w:eastAsia="Times New Roman" w:hAnsi="Times New Roman" w:cs="Times New Roman"/>
          <w:sz w:val="24"/>
          <w:szCs w:val="20"/>
        </w:rPr>
        <w:t>)</w:t>
      </w:r>
      <w:r w:rsidRPr="00832A4E">
        <w:rPr>
          <w:rFonts w:ascii="Times New Roman" w:eastAsia="Times New Roman" w:hAnsi="Times New Roman" w:cs="Times New Roman"/>
          <w:sz w:val="24"/>
          <w:szCs w:val="20"/>
        </w:rPr>
        <w:tab/>
        <w:t xml:space="preserve">PUCT Substantive Rules on performance measure </w:t>
      </w:r>
      <w:proofErr w:type="gramStart"/>
      <w:r w:rsidRPr="00832A4E">
        <w:rPr>
          <w:rFonts w:ascii="Times New Roman" w:eastAsia="Times New Roman" w:hAnsi="Times New Roman" w:cs="Times New Roman"/>
          <w:sz w:val="24"/>
          <w:szCs w:val="20"/>
        </w:rPr>
        <w:t>reporting;</w:t>
      </w:r>
      <w:proofErr w:type="gramEnd"/>
      <w:r w:rsidRPr="00832A4E">
        <w:rPr>
          <w:rFonts w:ascii="Times New Roman" w:eastAsia="Times New Roman" w:hAnsi="Times New Roman" w:cs="Times New Roman"/>
          <w:sz w:val="24"/>
          <w:szCs w:val="20"/>
        </w:rPr>
        <w:t xml:space="preserve"> </w:t>
      </w:r>
    </w:p>
    <w:p w14:paraId="446F4B7E"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(ii)</w:t>
      </w:r>
      <w:r w:rsidRPr="00832A4E">
        <w:rPr>
          <w:rFonts w:ascii="Times New Roman" w:eastAsia="Times New Roman" w:hAnsi="Times New Roman" w:cs="Times New Roman"/>
          <w:sz w:val="24"/>
          <w:szCs w:val="20"/>
        </w:rPr>
        <w:tab/>
        <w:t xml:space="preserve">These Protocols or Other Binding Documents; or </w:t>
      </w:r>
    </w:p>
    <w:p w14:paraId="7CB0003B" w14:textId="77777777" w:rsidR="00832A4E" w:rsidRPr="00832A4E" w:rsidRDefault="00832A4E" w:rsidP="00832A4E">
      <w:pPr>
        <w:spacing w:after="240" w:line="240" w:lineRule="auto"/>
        <w:ind w:left="216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(iii)</w:t>
      </w:r>
      <w:r w:rsidRPr="00832A4E">
        <w:rPr>
          <w:rFonts w:ascii="Times New Roman" w:eastAsia="Times New Roman" w:hAnsi="Times New Roman" w:cs="Times New Roman"/>
          <w:sz w:val="24"/>
          <w:szCs w:val="20"/>
        </w:rPr>
        <w:tab/>
        <w:t xml:space="preserve">Any Technical Advisory Committee (TAC)-approved reporting </w:t>
      </w:r>
      <w:proofErr w:type="gramStart"/>
      <w:r w:rsidRPr="00832A4E">
        <w:rPr>
          <w:rFonts w:ascii="Times New Roman" w:eastAsia="Times New Roman" w:hAnsi="Times New Roman" w:cs="Times New Roman"/>
          <w:sz w:val="24"/>
          <w:szCs w:val="20"/>
        </w:rPr>
        <w:t>requirements;</w:t>
      </w:r>
      <w:proofErr w:type="gramEnd"/>
    </w:p>
    <w:p w14:paraId="0705C103"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(w)</w:t>
      </w:r>
      <w:r w:rsidRPr="00832A4E">
        <w:rPr>
          <w:rFonts w:ascii="Times New Roman" w:eastAsia="Times New Roman" w:hAnsi="Times New Roman" w:cs="Times New Roman"/>
          <w:sz w:val="24"/>
          <w:szCs w:val="20"/>
        </w:rPr>
        <w:tab/>
        <w:t xml:space="preserve">Information concerning a Mothballed Generation Resource’s probability of return to service and expected lead time for returning to service submitted pursuant to Section 3.14.1.9, Generation Resource Status </w:t>
      </w:r>
      <w:proofErr w:type="gramStart"/>
      <w:r w:rsidRPr="00832A4E">
        <w:rPr>
          <w:rFonts w:ascii="Times New Roman" w:eastAsia="Times New Roman" w:hAnsi="Times New Roman" w:cs="Times New Roman"/>
          <w:sz w:val="24"/>
          <w:szCs w:val="20"/>
        </w:rPr>
        <w:t>Updates;</w:t>
      </w:r>
      <w:proofErr w:type="gramEnd"/>
    </w:p>
    <w:p w14:paraId="02CA4106"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(x)</w:t>
      </w:r>
      <w:r w:rsidRPr="00832A4E">
        <w:rPr>
          <w:rFonts w:ascii="Times New Roman" w:eastAsia="Times New Roman" w:hAnsi="Times New Roman" w:cs="Times New Roman"/>
          <w:sz w:val="24"/>
          <w:szCs w:val="20"/>
        </w:rPr>
        <w:tab/>
        <w:t xml:space="preserve">Information provided by Entities under Section 10.3.2.4, Reporting of Net Generation </w:t>
      </w:r>
      <w:proofErr w:type="gramStart"/>
      <w:r w:rsidRPr="00832A4E">
        <w:rPr>
          <w:rFonts w:ascii="Times New Roman" w:eastAsia="Times New Roman" w:hAnsi="Times New Roman" w:cs="Times New Roman"/>
          <w:sz w:val="24"/>
          <w:szCs w:val="20"/>
        </w:rPr>
        <w:t>Capacity;</w:t>
      </w:r>
      <w:proofErr w:type="gramEnd"/>
    </w:p>
    <w:p w14:paraId="242D27BF"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(y)</w:t>
      </w:r>
      <w:r w:rsidRPr="00832A4E">
        <w:rPr>
          <w:rFonts w:ascii="Times New Roman" w:eastAsia="Times New Roman" w:hAnsi="Times New Roman" w:cs="Times New Roman"/>
          <w:sz w:val="24"/>
          <w:szCs w:val="20"/>
        </w:rPr>
        <w:tab/>
        <w:t xml:space="preserve">Alternative fuel reserve capability and firm gas availability information submitted pursuant to Section 6.5.9.3.1, Operating Condition Notice, Section 6.5.9.3.2, Advisory, and Section 6.5.9.3.3, Watch, and as defined by the Operating </w:t>
      </w:r>
      <w:proofErr w:type="gramStart"/>
      <w:r w:rsidRPr="00832A4E">
        <w:rPr>
          <w:rFonts w:ascii="Times New Roman" w:eastAsia="Times New Roman" w:hAnsi="Times New Roman" w:cs="Times New Roman"/>
          <w:sz w:val="24"/>
          <w:szCs w:val="20"/>
        </w:rPr>
        <w:t>Guides;</w:t>
      </w:r>
      <w:proofErr w:type="gramEnd"/>
    </w:p>
    <w:p w14:paraId="735A9670"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(z)</w:t>
      </w:r>
      <w:r w:rsidRPr="00832A4E">
        <w:rPr>
          <w:rFonts w:ascii="Times New Roman" w:eastAsia="Times New Roman" w:hAnsi="Times New Roman" w:cs="Times New Roman"/>
          <w:sz w:val="24"/>
          <w:szCs w:val="20"/>
        </w:rPr>
        <w:tab/>
        <w:t xml:space="preserve">Non-public financial information provided by a </w:t>
      </w:r>
      <w:proofErr w:type="gramStart"/>
      <w:r w:rsidRPr="00832A4E">
        <w:rPr>
          <w:rFonts w:ascii="Times New Roman" w:eastAsia="Times New Roman" w:hAnsi="Times New Roman" w:cs="Times New Roman"/>
          <w:sz w:val="24"/>
          <w:szCs w:val="20"/>
        </w:rPr>
        <w:t>Counter-Party</w:t>
      </w:r>
      <w:proofErr w:type="gramEnd"/>
      <w:r w:rsidRPr="00832A4E">
        <w:rPr>
          <w:rFonts w:ascii="Times New Roman" w:eastAsia="Times New Roman" w:hAnsi="Times New Roman" w:cs="Times New Roman"/>
          <w:sz w:val="24"/>
          <w:szCs w:val="20"/>
        </w:rPr>
        <w:t xml:space="preserve"> to ERCOT pursuant to meeting its credit qualification requirements as well as the QSE’s form of credit support; </w:t>
      </w:r>
    </w:p>
    <w:p w14:paraId="754A458A" w14:textId="77777777" w:rsidR="00832A4E" w:rsidRPr="00832A4E" w:rsidRDefault="00832A4E" w:rsidP="00832A4E">
      <w:pPr>
        <w:spacing w:after="240" w:line="240" w:lineRule="auto"/>
        <w:ind w:left="1440" w:hanging="720"/>
        <w:rPr>
          <w:rFonts w:ascii="Times New Roman" w:eastAsia="Times New Roman" w:hAnsi="Times New Roman" w:cs="Times New Roman"/>
          <w:iCs/>
          <w:sz w:val="24"/>
          <w:szCs w:val="20"/>
        </w:rPr>
      </w:pPr>
      <w:r w:rsidRPr="00832A4E">
        <w:rPr>
          <w:rFonts w:ascii="Times New Roman" w:eastAsia="Times New Roman" w:hAnsi="Times New Roman" w:cs="Times New Roman"/>
          <w:sz w:val="24"/>
          <w:szCs w:val="20"/>
        </w:rPr>
        <w:t>(aa)</w:t>
      </w:r>
      <w:r w:rsidRPr="00832A4E">
        <w:rPr>
          <w:rFonts w:ascii="Times New Roman" w:eastAsia="Times New Roman" w:hAnsi="Times New Roman" w:cs="Times New Roman"/>
          <w:sz w:val="24"/>
          <w:szCs w:val="20"/>
        </w:rPr>
        <w:tab/>
      </w:r>
      <w:r w:rsidRPr="00832A4E">
        <w:rPr>
          <w:rFonts w:ascii="Times New Roman" w:eastAsia="Times New Roman" w:hAnsi="Times New Roman" w:cs="Times New Roman"/>
          <w:iCs/>
          <w:sz w:val="24"/>
          <w:szCs w:val="20"/>
        </w:rPr>
        <w:t xml:space="preserve">ESI ID, identity of Retail Electric Provider (REP), and MWh consumption associated with transmission-level Customers that wish to have their Load </w:t>
      </w:r>
      <w:r w:rsidRPr="00832A4E">
        <w:rPr>
          <w:rFonts w:ascii="Times New Roman" w:eastAsia="Times New Roman" w:hAnsi="Times New Roman" w:cs="Times New Roman"/>
          <w:iCs/>
          <w:sz w:val="24"/>
          <w:szCs w:val="20"/>
        </w:rPr>
        <w:lastRenderedPageBreak/>
        <w:t xml:space="preserve">excluded from the Renewable Portfolio Standard (RPS) calculation consistent with Section 14.5.3, End-Use Customers, and subsection (j) of P.U.C. </w:t>
      </w:r>
      <w:r w:rsidRPr="00832A4E">
        <w:rPr>
          <w:rFonts w:ascii="Times New Roman" w:eastAsia="Times New Roman" w:hAnsi="Times New Roman" w:cs="Times New Roman"/>
          <w:iCs/>
          <w:smallCaps/>
          <w:sz w:val="24"/>
          <w:szCs w:val="20"/>
        </w:rPr>
        <w:t>Subst</w:t>
      </w:r>
      <w:r w:rsidRPr="00832A4E">
        <w:rPr>
          <w:rFonts w:ascii="Times New Roman" w:eastAsia="Times New Roman" w:hAnsi="Times New Roman" w:cs="Times New Roman"/>
          <w:iCs/>
          <w:sz w:val="24"/>
          <w:szCs w:val="20"/>
        </w:rPr>
        <w:t>. R. 25.173, Goal for Renewable Energy;</w:t>
      </w:r>
    </w:p>
    <w:p w14:paraId="3D5AACE7" w14:textId="77777777" w:rsidR="00832A4E" w:rsidRPr="00832A4E" w:rsidRDefault="00832A4E" w:rsidP="00832A4E">
      <w:pPr>
        <w:spacing w:after="240" w:line="240" w:lineRule="auto"/>
        <w:ind w:left="1440" w:hanging="720"/>
        <w:rPr>
          <w:rFonts w:ascii="Times New Roman" w:eastAsia="Times New Roman" w:hAnsi="Times New Roman" w:cs="Times New Roman"/>
          <w:iCs/>
          <w:sz w:val="24"/>
          <w:szCs w:val="20"/>
        </w:rPr>
      </w:pPr>
      <w:r w:rsidRPr="00832A4E">
        <w:rPr>
          <w:rFonts w:ascii="Times New Roman" w:eastAsia="Times New Roman" w:hAnsi="Times New Roman" w:cs="Times New Roman"/>
          <w:iCs/>
          <w:sz w:val="24"/>
          <w:szCs w:val="20"/>
        </w:rPr>
        <w:t>(bb)</w:t>
      </w:r>
      <w:r w:rsidRPr="00832A4E">
        <w:rPr>
          <w:rFonts w:ascii="Times New Roman" w:eastAsia="Times New Roman" w:hAnsi="Times New Roman" w:cs="Times New Roman"/>
          <w:iCs/>
          <w:sz w:val="24"/>
          <w:szCs w:val="20"/>
        </w:rPr>
        <w:tab/>
        <w:t xml:space="preserve">Generation Resource emergency operations plans and weatherization </w:t>
      </w:r>
      <w:proofErr w:type="gramStart"/>
      <w:r w:rsidRPr="00832A4E">
        <w:rPr>
          <w:rFonts w:ascii="Times New Roman" w:eastAsia="Times New Roman" w:hAnsi="Times New Roman" w:cs="Times New Roman"/>
          <w:iCs/>
          <w:sz w:val="24"/>
          <w:szCs w:val="20"/>
        </w:rPr>
        <w:t>plans;</w:t>
      </w:r>
      <w:proofErr w:type="gramEnd"/>
      <w:r w:rsidRPr="00832A4E">
        <w:rPr>
          <w:rFonts w:ascii="Times New Roman" w:eastAsia="Times New Roman" w:hAnsi="Times New Roman" w:cs="Times New Roman"/>
          <w:iCs/>
          <w:sz w:val="24"/>
          <w:szCs w:val="20"/>
        </w:rPr>
        <w:t xml:space="preserve"> </w:t>
      </w:r>
    </w:p>
    <w:p w14:paraId="5AA7F7CD"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4"/>
        </w:rPr>
      </w:pPr>
      <w:r w:rsidRPr="00832A4E">
        <w:rPr>
          <w:rFonts w:ascii="Times New Roman" w:eastAsia="Times New Roman" w:hAnsi="Times New Roman" w:cs="Times New Roman"/>
          <w:iCs/>
          <w:sz w:val="24"/>
          <w:szCs w:val="20"/>
        </w:rPr>
        <w:t>(cc)</w:t>
      </w:r>
      <w:r w:rsidRPr="00832A4E">
        <w:rPr>
          <w:rFonts w:ascii="Times New Roman" w:eastAsia="Times New Roman" w:hAnsi="Times New Roman" w:cs="Times New Roman"/>
          <w:sz w:val="24"/>
          <w:szCs w:val="20"/>
        </w:rPr>
        <w:t xml:space="preserve">     Information provided by a </w:t>
      </w:r>
      <w:proofErr w:type="gramStart"/>
      <w:r w:rsidRPr="00832A4E">
        <w:rPr>
          <w:rFonts w:ascii="Times New Roman" w:eastAsia="Times New Roman" w:hAnsi="Times New Roman" w:cs="Times New Roman"/>
          <w:sz w:val="24"/>
          <w:szCs w:val="20"/>
        </w:rPr>
        <w:t>Counter-Party</w:t>
      </w:r>
      <w:proofErr w:type="gramEnd"/>
      <w:r w:rsidRPr="00832A4E">
        <w:rPr>
          <w:rFonts w:ascii="Times New Roman" w:eastAsia="Times New Roman" w:hAnsi="Times New Roman" w:cs="Times New Roman"/>
          <w:sz w:val="24"/>
          <w:szCs w:val="20"/>
        </w:rPr>
        <w:t xml:space="preserve"> under Section 16.16.3, </w:t>
      </w:r>
      <w:r w:rsidRPr="00832A4E">
        <w:rPr>
          <w:rFonts w:ascii="Times New Roman" w:eastAsia="Times New Roman" w:hAnsi="Times New Roman" w:cs="Times New Roman"/>
          <w:sz w:val="24"/>
          <w:szCs w:val="24"/>
        </w:rPr>
        <w:t>Verification of Risk Management Framework;</w:t>
      </w:r>
    </w:p>
    <w:p w14:paraId="78DA6429"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(dd)</w:t>
      </w:r>
      <w:r w:rsidRPr="00832A4E">
        <w:rPr>
          <w:rFonts w:ascii="Times New Roman" w:eastAsia="Times New Roman" w:hAnsi="Times New Roman" w:cs="Times New Roman"/>
          <w:sz w:val="24"/>
          <w:szCs w:val="20"/>
        </w:rPr>
        <w:tab/>
        <w:t xml:space="preserve">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w:t>
      </w:r>
      <w:proofErr w:type="gramStart"/>
      <w:r w:rsidRPr="00832A4E">
        <w:rPr>
          <w:rFonts w:ascii="Times New Roman" w:eastAsia="Times New Roman" w:hAnsi="Times New Roman" w:cs="Times New Roman"/>
          <w:sz w:val="24"/>
          <w:szCs w:val="20"/>
        </w:rPr>
        <w:t>product;</w:t>
      </w:r>
      <w:proofErr w:type="gramEnd"/>
    </w:p>
    <w:p w14:paraId="6D41804A"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iCs/>
          <w:sz w:val="24"/>
          <w:szCs w:val="20"/>
        </w:rPr>
        <w:t>(</w:t>
      </w:r>
      <w:proofErr w:type="spellStart"/>
      <w:r w:rsidRPr="00832A4E">
        <w:rPr>
          <w:rFonts w:ascii="Times New Roman" w:eastAsia="Times New Roman" w:hAnsi="Times New Roman" w:cs="Times New Roman"/>
          <w:iCs/>
          <w:sz w:val="24"/>
          <w:szCs w:val="20"/>
        </w:rPr>
        <w:t>ee</w:t>
      </w:r>
      <w:proofErr w:type="spellEnd"/>
      <w:r w:rsidRPr="00832A4E">
        <w:rPr>
          <w:rFonts w:ascii="Times New Roman" w:eastAsia="Times New Roman" w:hAnsi="Times New Roman" w:cs="Times New Roman"/>
          <w:iCs/>
          <w:sz w:val="24"/>
          <w:szCs w:val="20"/>
        </w:rPr>
        <w:t>)</w:t>
      </w:r>
      <w:r w:rsidRPr="00832A4E">
        <w:rPr>
          <w:rFonts w:ascii="Times New Roman" w:eastAsia="Times New Roman" w:hAnsi="Times New Roman" w:cs="Times New Roman"/>
          <w:iCs/>
          <w:sz w:val="24"/>
          <w:szCs w:val="20"/>
        </w:rPr>
        <w:tab/>
      </w:r>
      <w:r w:rsidRPr="00832A4E">
        <w:rPr>
          <w:rFonts w:ascii="Times New Roman" w:eastAsia="Times New Roman" w:hAnsi="Times New Roman" w:cs="Times New Roman"/>
          <w:sz w:val="24"/>
          <w:szCs w:val="20"/>
        </w:rPr>
        <w:t xml:space="preserve">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w:t>
      </w:r>
      <w:proofErr w:type="gramStart"/>
      <w:r w:rsidRPr="00832A4E">
        <w:rPr>
          <w:rFonts w:ascii="Times New Roman" w:eastAsia="Times New Roman" w:hAnsi="Times New Roman" w:cs="Times New Roman"/>
          <w:sz w:val="24"/>
          <w:szCs w:val="20"/>
        </w:rPr>
        <w:t>Day;</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32A4E" w:rsidRPr="00832A4E" w14:paraId="45927E51" w14:textId="77777777" w:rsidTr="009E2326">
        <w:tc>
          <w:tcPr>
            <w:tcW w:w="9558" w:type="dxa"/>
            <w:tcBorders>
              <w:top w:val="single" w:sz="4" w:space="0" w:color="auto"/>
              <w:left w:val="single" w:sz="4" w:space="0" w:color="auto"/>
              <w:bottom w:val="single" w:sz="4" w:space="0" w:color="auto"/>
              <w:right w:val="single" w:sz="4" w:space="0" w:color="auto"/>
            </w:tcBorders>
            <w:shd w:val="clear" w:color="auto" w:fill="D9D9D9"/>
          </w:tcPr>
          <w:p w14:paraId="04E3796B" w14:textId="77777777" w:rsidR="00832A4E" w:rsidRPr="00832A4E" w:rsidRDefault="00832A4E" w:rsidP="00832A4E">
            <w:pPr>
              <w:spacing w:before="120" w:after="240" w:line="240" w:lineRule="auto"/>
              <w:rPr>
                <w:rFonts w:ascii="Times New Roman" w:eastAsia="Times New Roman" w:hAnsi="Times New Roman" w:cs="Times New Roman"/>
                <w:b/>
                <w:i/>
                <w:sz w:val="24"/>
                <w:szCs w:val="20"/>
              </w:rPr>
            </w:pPr>
            <w:r w:rsidRPr="00832A4E">
              <w:rPr>
                <w:rFonts w:ascii="Times New Roman" w:eastAsia="Times New Roman" w:hAnsi="Times New Roman" w:cs="Times New Roman"/>
                <w:b/>
                <w:i/>
                <w:sz w:val="24"/>
                <w:szCs w:val="20"/>
              </w:rPr>
              <w:t>[NPRR829:  Replace paragraph (</w:t>
            </w:r>
            <w:proofErr w:type="spellStart"/>
            <w:r w:rsidRPr="00832A4E">
              <w:rPr>
                <w:rFonts w:ascii="Times New Roman" w:eastAsia="Times New Roman" w:hAnsi="Times New Roman" w:cs="Times New Roman"/>
                <w:b/>
                <w:i/>
                <w:sz w:val="24"/>
                <w:szCs w:val="20"/>
              </w:rPr>
              <w:t>ee</w:t>
            </w:r>
            <w:proofErr w:type="spellEnd"/>
            <w:r w:rsidRPr="00832A4E">
              <w:rPr>
                <w:rFonts w:ascii="Times New Roman" w:eastAsia="Times New Roman" w:hAnsi="Times New Roman" w:cs="Times New Roman"/>
                <w:b/>
                <w:i/>
                <w:sz w:val="24"/>
                <w:szCs w:val="20"/>
              </w:rPr>
              <w:t>) above with the following upon system implementation:]</w:t>
            </w:r>
          </w:p>
          <w:p w14:paraId="25B5ABF4"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iCs/>
                <w:sz w:val="24"/>
                <w:szCs w:val="20"/>
              </w:rPr>
              <w:t>(</w:t>
            </w:r>
            <w:proofErr w:type="spellStart"/>
            <w:r w:rsidRPr="00832A4E">
              <w:rPr>
                <w:rFonts w:ascii="Times New Roman" w:eastAsia="Times New Roman" w:hAnsi="Times New Roman" w:cs="Times New Roman"/>
                <w:iCs/>
                <w:sz w:val="24"/>
                <w:szCs w:val="20"/>
              </w:rPr>
              <w:t>ee</w:t>
            </w:r>
            <w:proofErr w:type="spellEnd"/>
            <w:r w:rsidRPr="00832A4E">
              <w:rPr>
                <w:rFonts w:ascii="Times New Roman" w:eastAsia="Times New Roman" w:hAnsi="Times New Roman" w:cs="Times New Roman"/>
                <w:iCs/>
                <w:sz w:val="24"/>
                <w:szCs w:val="20"/>
              </w:rPr>
              <w:t>)</w:t>
            </w:r>
            <w:r w:rsidRPr="00832A4E">
              <w:rPr>
                <w:rFonts w:ascii="Times New Roman" w:eastAsia="Times New Roman" w:hAnsi="Times New Roman" w:cs="Times New Roman"/>
                <w:iCs/>
                <w:sz w:val="24"/>
                <w:szCs w:val="20"/>
              </w:rPr>
              <w:tab/>
            </w:r>
            <w:r w:rsidRPr="00832A4E">
              <w:rPr>
                <w:rFonts w:ascii="Times New Roman" w:eastAsia="Times New Roman" w:hAnsi="Times New Roman" w:cs="Times New Roman"/>
                <w:sz w:val="24"/>
                <w:szCs w:val="20"/>
              </w:rPr>
              <w:t xml:space="preserve">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w:t>
            </w:r>
            <w:proofErr w:type="gramStart"/>
            <w:r w:rsidRPr="00832A4E">
              <w:rPr>
                <w:rFonts w:ascii="Times New Roman" w:eastAsia="Times New Roman" w:hAnsi="Times New Roman" w:cs="Times New Roman"/>
                <w:sz w:val="24"/>
                <w:szCs w:val="20"/>
              </w:rPr>
              <w:t>Day;</w:t>
            </w:r>
            <w:proofErr w:type="gramEnd"/>
          </w:p>
        </w:tc>
      </w:tr>
    </w:tbl>
    <w:p w14:paraId="2004B8A1" w14:textId="77777777" w:rsidR="00832A4E" w:rsidRPr="00832A4E" w:rsidRDefault="00832A4E" w:rsidP="00832A4E">
      <w:pPr>
        <w:spacing w:before="240"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(ff)</w:t>
      </w:r>
      <w:r w:rsidRPr="00832A4E">
        <w:rPr>
          <w:rFonts w:ascii="Times New Roman" w:eastAsia="Times New Roman" w:hAnsi="Times New Roman" w:cs="Times New Roman"/>
          <w:sz w:val="24"/>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702BABBD"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(gg)</w:t>
      </w:r>
      <w:r w:rsidRPr="00832A4E">
        <w:rPr>
          <w:rFonts w:ascii="Times New Roman" w:eastAsia="Times New Roman" w:hAnsi="Times New Roman" w:cs="Times New Roman"/>
          <w:sz w:val="24"/>
          <w:szCs w:val="20"/>
        </w:rPr>
        <w:tab/>
        <w:t xml:space="preserve">Reasons for and future expectations of overrides to a specific Resource’s High Dispatch Limit (HDL) or Low Dispatch Limit (LDL).  The Protected Information status of this information shall expire 60 days after the applicable Operating </w:t>
      </w:r>
      <w:proofErr w:type="gramStart"/>
      <w:r w:rsidRPr="00832A4E">
        <w:rPr>
          <w:rFonts w:ascii="Times New Roman" w:eastAsia="Times New Roman" w:hAnsi="Times New Roman" w:cs="Times New Roman"/>
          <w:sz w:val="24"/>
          <w:szCs w:val="20"/>
        </w:rPr>
        <w:t>Day;</w:t>
      </w:r>
      <w:proofErr w:type="gramEnd"/>
      <w:r w:rsidRPr="00832A4E">
        <w:rPr>
          <w:rFonts w:ascii="Times New Roman" w:eastAsia="Times New Roman" w:hAnsi="Times New Roman" w:cs="Times New Roman"/>
          <w:sz w:val="24"/>
          <w:szCs w:val="20"/>
        </w:rPr>
        <w:t xml:space="preserve"> </w:t>
      </w:r>
    </w:p>
    <w:p w14:paraId="566854CA"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lastRenderedPageBreak/>
        <w:t>(</w:t>
      </w:r>
      <w:proofErr w:type="spellStart"/>
      <w:r w:rsidRPr="00832A4E">
        <w:rPr>
          <w:rFonts w:ascii="Times New Roman" w:eastAsia="Times New Roman" w:hAnsi="Times New Roman" w:cs="Times New Roman"/>
          <w:sz w:val="24"/>
          <w:szCs w:val="20"/>
        </w:rPr>
        <w:t>hh</w:t>
      </w:r>
      <w:proofErr w:type="spellEnd"/>
      <w:r w:rsidRPr="00832A4E">
        <w:rPr>
          <w:rFonts w:ascii="Times New Roman" w:eastAsia="Times New Roman" w:hAnsi="Times New Roman" w:cs="Times New Roman"/>
          <w:sz w:val="24"/>
          <w:szCs w:val="20"/>
        </w:rPr>
        <w:t>)</w:t>
      </w:r>
      <w:r w:rsidRPr="00832A4E">
        <w:rPr>
          <w:rFonts w:ascii="Times New Roman" w:eastAsia="Times New Roman" w:hAnsi="Times New Roman" w:cs="Times New Roman"/>
          <w:sz w:val="24"/>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7B89AF35"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(ii)</w:t>
      </w:r>
      <w:r w:rsidRPr="00832A4E">
        <w:rPr>
          <w:rFonts w:ascii="Times New Roman" w:eastAsia="Times New Roman" w:hAnsi="Times New Roman" w:cs="Times New Roman"/>
          <w:sz w:val="24"/>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6C137EAF" w14:textId="77777777" w:rsidR="00832A4E" w:rsidRPr="00832A4E" w:rsidRDefault="00832A4E" w:rsidP="00832A4E">
      <w:pPr>
        <w:keepNext/>
        <w:widowControl w:val="0"/>
        <w:tabs>
          <w:tab w:val="left" w:pos="1260"/>
        </w:tabs>
        <w:spacing w:before="240" w:after="240" w:line="240" w:lineRule="auto"/>
        <w:ind w:left="1267" w:hanging="1267"/>
        <w:outlineLvl w:val="3"/>
        <w:rPr>
          <w:rFonts w:ascii="Times New Roman" w:eastAsia="Times New Roman" w:hAnsi="Times New Roman" w:cs="Times New Roman"/>
          <w:b/>
          <w:bCs/>
          <w:snapToGrid w:val="0"/>
          <w:sz w:val="24"/>
          <w:szCs w:val="20"/>
        </w:rPr>
      </w:pPr>
      <w:bookmarkStart w:id="1" w:name="_Toc141685008"/>
      <w:bookmarkStart w:id="2" w:name="_Toc36580374"/>
      <w:r w:rsidRPr="00832A4E">
        <w:rPr>
          <w:rFonts w:ascii="Times New Roman" w:eastAsia="Times New Roman" w:hAnsi="Times New Roman" w:cs="Times New Roman"/>
          <w:b/>
          <w:bCs/>
          <w:snapToGrid w:val="0"/>
          <w:sz w:val="24"/>
          <w:szCs w:val="20"/>
        </w:rPr>
        <w:t>1.3.1.2</w:t>
      </w:r>
      <w:r w:rsidRPr="00832A4E">
        <w:rPr>
          <w:rFonts w:ascii="Times New Roman" w:eastAsia="Times New Roman" w:hAnsi="Times New Roman" w:cs="Times New Roman"/>
          <w:b/>
          <w:bCs/>
          <w:snapToGrid w:val="0"/>
          <w:sz w:val="24"/>
          <w:szCs w:val="20"/>
        </w:rPr>
        <w:tab/>
        <w:t>Items Not Considered Protected Information</w:t>
      </w:r>
      <w:bookmarkEnd w:id="1"/>
      <w:bookmarkEnd w:id="2"/>
    </w:p>
    <w:p w14:paraId="42EFF849" w14:textId="77777777" w:rsidR="00832A4E" w:rsidRPr="00832A4E" w:rsidRDefault="00832A4E" w:rsidP="00832A4E">
      <w:pPr>
        <w:spacing w:after="240" w:line="240" w:lineRule="auto"/>
        <w:ind w:left="720" w:hanging="720"/>
        <w:rPr>
          <w:rFonts w:ascii="Times New Roman" w:eastAsia="Times New Roman" w:hAnsi="Times New Roman" w:cs="Times New Roman"/>
          <w:iCs/>
          <w:sz w:val="24"/>
          <w:szCs w:val="20"/>
          <w:lang w:val="x-none" w:eastAsia="x-none"/>
        </w:rPr>
      </w:pPr>
      <w:r w:rsidRPr="00832A4E">
        <w:rPr>
          <w:rFonts w:ascii="Times New Roman" w:eastAsia="Times New Roman" w:hAnsi="Times New Roman" w:cs="Times New Roman"/>
          <w:iCs/>
          <w:sz w:val="24"/>
          <w:szCs w:val="20"/>
          <w:lang w:val="x-none" w:eastAsia="x-none"/>
        </w:rPr>
        <w:t>(1)</w:t>
      </w:r>
      <w:r w:rsidRPr="00832A4E">
        <w:rPr>
          <w:rFonts w:ascii="Times New Roman" w:eastAsia="Times New Roman" w:hAnsi="Times New Roman" w:cs="Times New Roman"/>
          <w:iCs/>
          <w:sz w:val="24"/>
          <w:szCs w:val="20"/>
          <w:lang w:val="x-none" w:eastAsia="x-none"/>
        </w:rPr>
        <w:tab/>
        <w:t>Notwithstanding the definition of “Protected Information” in Section 1.3.1.1, Items Considered Protected Information, the following items are not Protected Information even if so designated:</w:t>
      </w:r>
    </w:p>
    <w:p w14:paraId="0B14D3FA"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(a)</w:t>
      </w:r>
      <w:r w:rsidRPr="00832A4E">
        <w:rPr>
          <w:rFonts w:ascii="Times New Roman" w:eastAsia="Times New Roman" w:hAnsi="Times New Roman" w:cs="Times New Roman"/>
          <w:sz w:val="24"/>
          <w:szCs w:val="20"/>
        </w:rPr>
        <w:tab/>
        <w:t xml:space="preserve">Data comprising Load flow cases, which may include estimated peak and off-peak Demand of any </w:t>
      </w:r>
      <w:proofErr w:type="gramStart"/>
      <w:r w:rsidRPr="00832A4E">
        <w:rPr>
          <w:rFonts w:ascii="Times New Roman" w:eastAsia="Times New Roman" w:hAnsi="Times New Roman" w:cs="Times New Roman"/>
          <w:sz w:val="24"/>
          <w:szCs w:val="20"/>
        </w:rPr>
        <w:t>Load;</w:t>
      </w:r>
      <w:proofErr w:type="gramEnd"/>
    </w:p>
    <w:p w14:paraId="3914CDED"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(b)</w:t>
      </w:r>
      <w:r w:rsidRPr="00832A4E">
        <w:rPr>
          <w:rFonts w:ascii="Times New Roman" w:eastAsia="Times New Roman" w:hAnsi="Times New Roman" w:cs="Times New Roman"/>
          <w:sz w:val="24"/>
          <w:szCs w:val="20"/>
        </w:rPr>
        <w:tab/>
        <w:t>Existence of Power System Stabilizers (PSSs) at each interconnected Generation Resource and PSS status (in service or out of service</w:t>
      </w:r>
      <w:proofErr w:type="gramStart"/>
      <w:r w:rsidRPr="00832A4E">
        <w:rPr>
          <w:rFonts w:ascii="Times New Roman" w:eastAsia="Times New Roman" w:hAnsi="Times New Roman" w:cs="Times New Roman"/>
          <w:sz w:val="24"/>
          <w:szCs w:val="20"/>
        </w:rPr>
        <w:t>);</w:t>
      </w:r>
      <w:proofErr w:type="gramEnd"/>
    </w:p>
    <w:p w14:paraId="6E2CC819"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(c)</w:t>
      </w:r>
      <w:r w:rsidRPr="00832A4E">
        <w:rPr>
          <w:rFonts w:ascii="Times New Roman" w:eastAsia="Times New Roman" w:hAnsi="Times New Roman" w:cs="Times New Roman"/>
          <w:sz w:val="24"/>
          <w:szCs w:val="20"/>
        </w:rPr>
        <w:tab/>
        <w:t xml:space="preserve">Reliability Must-Run (RMR) </w:t>
      </w:r>
      <w:proofErr w:type="gramStart"/>
      <w:r w:rsidRPr="00832A4E">
        <w:rPr>
          <w:rFonts w:ascii="Times New Roman" w:eastAsia="Times New Roman" w:hAnsi="Times New Roman" w:cs="Times New Roman"/>
          <w:sz w:val="24"/>
          <w:szCs w:val="20"/>
        </w:rPr>
        <w:t>Agreements;</w:t>
      </w:r>
      <w:proofErr w:type="gramEnd"/>
      <w:r w:rsidRPr="00832A4E">
        <w:rPr>
          <w:rFonts w:ascii="Times New Roman" w:eastAsia="Times New Roman" w:hAnsi="Times New Roman" w:cs="Times New Roman"/>
          <w:sz w:val="24"/>
          <w:szCs w:val="20"/>
        </w:rPr>
        <w:t xml:space="preserve"> </w:t>
      </w:r>
    </w:p>
    <w:p w14:paraId="47056077"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(d)</w:t>
      </w:r>
      <w:r w:rsidRPr="00832A4E">
        <w:rPr>
          <w:rFonts w:ascii="Times New Roman" w:eastAsia="Times New Roman" w:hAnsi="Times New Roman" w:cs="Times New Roman"/>
          <w:sz w:val="24"/>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w:t>
      </w:r>
      <w:proofErr w:type="gramStart"/>
      <w:r w:rsidRPr="00832A4E">
        <w:rPr>
          <w:rFonts w:ascii="Times New Roman" w:eastAsia="Times New Roman" w:hAnsi="Times New Roman" w:cs="Times New Roman"/>
          <w:sz w:val="24"/>
          <w:szCs w:val="20"/>
        </w:rPr>
        <w:t>1.3.1.1;</w:t>
      </w:r>
      <w:proofErr w:type="gramEnd"/>
      <w:r w:rsidRPr="00832A4E">
        <w:rPr>
          <w:rFonts w:ascii="Times New Roman" w:eastAsia="Times New Roman" w:hAnsi="Times New Roman" w:cs="Times New Roman"/>
          <w:sz w:val="24"/>
          <w:szCs w:val="20"/>
        </w:rPr>
        <w:t xml:space="preserve"> </w:t>
      </w:r>
    </w:p>
    <w:p w14:paraId="345298F6"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(e)</w:t>
      </w:r>
      <w:r w:rsidRPr="00832A4E">
        <w:rPr>
          <w:rFonts w:ascii="Times New Roman" w:eastAsia="Times New Roman" w:hAnsi="Times New Roman" w:cs="Times New Roman"/>
          <w:sz w:val="24"/>
          <w:szCs w:val="20"/>
        </w:rPr>
        <w:tab/>
        <w:t xml:space="preserve">Status of RMR </w:t>
      </w:r>
      <w:proofErr w:type="gramStart"/>
      <w:r w:rsidRPr="00832A4E">
        <w:rPr>
          <w:rFonts w:ascii="Times New Roman" w:eastAsia="Times New Roman" w:hAnsi="Times New Roman" w:cs="Times New Roman"/>
          <w:sz w:val="24"/>
          <w:szCs w:val="20"/>
        </w:rPr>
        <w:t>Units;</w:t>
      </w:r>
      <w:proofErr w:type="gramEnd"/>
    </w:p>
    <w:p w14:paraId="5FC2E623"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(f)</w:t>
      </w:r>
      <w:r w:rsidRPr="00832A4E">
        <w:rPr>
          <w:rFonts w:ascii="Times New Roman" w:eastAsia="Times New Roman" w:hAnsi="Times New Roman" w:cs="Times New Roman"/>
          <w:sz w:val="24"/>
          <w:szCs w:val="20"/>
        </w:rPr>
        <w:tab/>
        <w:t xml:space="preserve">Black Start </w:t>
      </w:r>
      <w:proofErr w:type="gramStart"/>
      <w:r w:rsidRPr="00832A4E">
        <w:rPr>
          <w:rFonts w:ascii="Times New Roman" w:eastAsia="Times New Roman" w:hAnsi="Times New Roman" w:cs="Times New Roman"/>
          <w:sz w:val="24"/>
          <w:szCs w:val="20"/>
        </w:rPr>
        <w:t>Agreements;</w:t>
      </w:r>
      <w:proofErr w:type="gramEnd"/>
    </w:p>
    <w:p w14:paraId="5303C593"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(g)</w:t>
      </w:r>
      <w:r w:rsidRPr="00832A4E">
        <w:rPr>
          <w:rFonts w:ascii="Times New Roman" w:eastAsia="Times New Roman" w:hAnsi="Times New Roman" w:cs="Times New Roman"/>
          <w:sz w:val="24"/>
          <w:szCs w:val="20"/>
        </w:rPr>
        <w:tab/>
        <w:t xml:space="preserve">RMR Settlement charges and </w:t>
      </w:r>
      <w:proofErr w:type="gramStart"/>
      <w:r w:rsidRPr="00832A4E">
        <w:rPr>
          <w:rFonts w:ascii="Times New Roman" w:eastAsia="Times New Roman" w:hAnsi="Times New Roman" w:cs="Times New Roman"/>
          <w:sz w:val="24"/>
          <w:szCs w:val="20"/>
        </w:rPr>
        <w:t>payments;</w:t>
      </w:r>
      <w:proofErr w:type="gramEnd"/>
      <w:r w:rsidRPr="00832A4E">
        <w:rPr>
          <w:rFonts w:ascii="Times New Roman" w:eastAsia="Times New Roman" w:hAnsi="Times New Roman" w:cs="Times New Roman"/>
          <w:sz w:val="24"/>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32A4E" w:rsidRPr="00832A4E" w14:paraId="7F2EB563" w14:textId="77777777" w:rsidTr="009E2326">
        <w:tc>
          <w:tcPr>
            <w:tcW w:w="9558" w:type="dxa"/>
            <w:tcBorders>
              <w:top w:val="single" w:sz="4" w:space="0" w:color="auto"/>
              <w:left w:val="single" w:sz="4" w:space="0" w:color="auto"/>
              <w:bottom w:val="single" w:sz="4" w:space="0" w:color="auto"/>
              <w:right w:val="single" w:sz="4" w:space="0" w:color="auto"/>
            </w:tcBorders>
            <w:shd w:val="clear" w:color="auto" w:fill="D9D9D9"/>
          </w:tcPr>
          <w:p w14:paraId="52BF71B7" w14:textId="77777777" w:rsidR="00832A4E" w:rsidRPr="00832A4E" w:rsidRDefault="00832A4E" w:rsidP="00832A4E">
            <w:pPr>
              <w:spacing w:before="120" w:after="240" w:line="240" w:lineRule="auto"/>
              <w:rPr>
                <w:rFonts w:ascii="Times New Roman" w:eastAsia="Times New Roman" w:hAnsi="Times New Roman" w:cs="Times New Roman"/>
                <w:b/>
                <w:i/>
                <w:sz w:val="24"/>
                <w:szCs w:val="20"/>
              </w:rPr>
            </w:pPr>
            <w:r w:rsidRPr="00832A4E">
              <w:rPr>
                <w:rFonts w:ascii="Times New Roman" w:eastAsia="Times New Roman" w:hAnsi="Times New Roman" w:cs="Times New Roman"/>
                <w:b/>
                <w:i/>
                <w:sz w:val="24"/>
                <w:szCs w:val="20"/>
              </w:rPr>
              <w:t>[NPRR885:  Insert items (h) and (</w:t>
            </w:r>
            <w:proofErr w:type="spellStart"/>
            <w:r w:rsidRPr="00832A4E">
              <w:rPr>
                <w:rFonts w:ascii="Times New Roman" w:eastAsia="Times New Roman" w:hAnsi="Times New Roman" w:cs="Times New Roman"/>
                <w:b/>
                <w:i/>
                <w:sz w:val="24"/>
                <w:szCs w:val="20"/>
              </w:rPr>
              <w:t>i</w:t>
            </w:r>
            <w:proofErr w:type="spellEnd"/>
            <w:r w:rsidRPr="00832A4E">
              <w:rPr>
                <w:rFonts w:ascii="Times New Roman" w:eastAsia="Times New Roman" w:hAnsi="Times New Roman" w:cs="Times New Roman"/>
                <w:b/>
                <w:i/>
                <w:sz w:val="24"/>
                <w:szCs w:val="20"/>
              </w:rPr>
              <w:t>) below upon system implementation and renumber accordingly:]</w:t>
            </w:r>
          </w:p>
          <w:p w14:paraId="157A671A"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 xml:space="preserve">(h) </w:t>
            </w:r>
            <w:r w:rsidRPr="00832A4E">
              <w:rPr>
                <w:rFonts w:ascii="Times New Roman" w:eastAsia="Times New Roman" w:hAnsi="Times New Roman" w:cs="Times New Roman"/>
                <w:sz w:val="24"/>
                <w:szCs w:val="20"/>
              </w:rPr>
              <w:tab/>
              <w:t xml:space="preserve">Must-Run Alternative (MRA) </w:t>
            </w:r>
            <w:proofErr w:type="gramStart"/>
            <w:r w:rsidRPr="00832A4E">
              <w:rPr>
                <w:rFonts w:ascii="Times New Roman" w:eastAsia="Times New Roman" w:hAnsi="Times New Roman" w:cs="Times New Roman"/>
                <w:sz w:val="24"/>
                <w:szCs w:val="20"/>
              </w:rPr>
              <w:t>Agreements;</w:t>
            </w:r>
            <w:proofErr w:type="gramEnd"/>
          </w:p>
          <w:p w14:paraId="13D22052"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w:t>
            </w:r>
            <w:proofErr w:type="spellStart"/>
            <w:r w:rsidRPr="00832A4E">
              <w:rPr>
                <w:rFonts w:ascii="Times New Roman" w:eastAsia="Times New Roman" w:hAnsi="Times New Roman" w:cs="Times New Roman"/>
                <w:sz w:val="24"/>
                <w:szCs w:val="20"/>
              </w:rPr>
              <w:t>i</w:t>
            </w:r>
            <w:proofErr w:type="spellEnd"/>
            <w:r w:rsidRPr="00832A4E">
              <w:rPr>
                <w:rFonts w:ascii="Times New Roman" w:eastAsia="Times New Roman" w:hAnsi="Times New Roman" w:cs="Times New Roman"/>
                <w:sz w:val="24"/>
                <w:szCs w:val="20"/>
              </w:rPr>
              <w:t>)</w:t>
            </w:r>
            <w:r w:rsidRPr="00832A4E">
              <w:rPr>
                <w:rFonts w:ascii="Times New Roman" w:eastAsia="Times New Roman" w:hAnsi="Times New Roman" w:cs="Times New Roman"/>
                <w:sz w:val="24"/>
                <w:szCs w:val="20"/>
              </w:rPr>
              <w:tab/>
              <w:t>Settlement charges and payments for MRA Service;</w:t>
            </w:r>
          </w:p>
        </w:tc>
      </w:tr>
    </w:tbl>
    <w:p w14:paraId="3DF1A1BC" w14:textId="77777777" w:rsidR="00832A4E" w:rsidRPr="00832A4E" w:rsidRDefault="00832A4E" w:rsidP="00832A4E">
      <w:pPr>
        <w:spacing w:before="240"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lastRenderedPageBreak/>
        <w:t>(h)</w:t>
      </w:r>
      <w:r w:rsidRPr="00832A4E">
        <w:rPr>
          <w:rFonts w:ascii="Times New Roman" w:eastAsia="Times New Roman" w:hAnsi="Times New Roman" w:cs="Times New Roman"/>
          <w:sz w:val="24"/>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79D66C0E" w14:textId="77777777" w:rsidR="00832A4E" w:rsidRPr="00832A4E" w:rsidRDefault="00832A4E" w:rsidP="00832A4E">
      <w:pPr>
        <w:spacing w:after="240" w:line="240" w:lineRule="auto"/>
        <w:ind w:left="1440" w:hanging="720"/>
        <w:rPr>
          <w:rFonts w:ascii="Times New Roman" w:eastAsia="Times New Roman" w:hAnsi="Times New Roman" w:cs="Times New Roman"/>
          <w:sz w:val="24"/>
          <w:szCs w:val="20"/>
        </w:rPr>
      </w:pPr>
      <w:r w:rsidRPr="00832A4E">
        <w:rPr>
          <w:rFonts w:ascii="Times New Roman" w:eastAsia="Times New Roman" w:hAnsi="Times New Roman" w:cs="Times New Roman"/>
          <w:sz w:val="24"/>
          <w:szCs w:val="20"/>
        </w:rPr>
        <w:t>(</w:t>
      </w:r>
      <w:proofErr w:type="spellStart"/>
      <w:r w:rsidRPr="00832A4E">
        <w:rPr>
          <w:rFonts w:ascii="Times New Roman" w:eastAsia="Times New Roman" w:hAnsi="Times New Roman" w:cs="Times New Roman"/>
          <w:sz w:val="24"/>
          <w:szCs w:val="20"/>
        </w:rPr>
        <w:t>i</w:t>
      </w:r>
      <w:proofErr w:type="spellEnd"/>
      <w:r w:rsidRPr="00832A4E">
        <w:rPr>
          <w:rFonts w:ascii="Times New Roman" w:eastAsia="Times New Roman" w:hAnsi="Times New Roman" w:cs="Times New Roman"/>
          <w:sz w:val="24"/>
          <w:szCs w:val="20"/>
        </w:rPr>
        <w:t>)</w:t>
      </w:r>
      <w:r w:rsidRPr="00832A4E">
        <w:rPr>
          <w:rFonts w:ascii="Times New Roman" w:eastAsia="Times New Roman" w:hAnsi="Times New Roman" w:cs="Times New Roman"/>
          <w:sz w:val="24"/>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31FC4F38" w14:textId="77777777" w:rsidR="00832A4E" w:rsidRPr="00832A4E" w:rsidRDefault="00832A4E" w:rsidP="00832A4E">
      <w:pPr>
        <w:spacing w:after="240" w:line="240" w:lineRule="auto"/>
        <w:ind w:left="720" w:hanging="720"/>
        <w:rPr>
          <w:rFonts w:ascii="Times New Roman" w:eastAsia="Times New Roman" w:hAnsi="Times New Roman" w:cs="Times New Roman"/>
          <w:iCs/>
          <w:sz w:val="24"/>
          <w:szCs w:val="20"/>
          <w:lang w:val="x-none" w:eastAsia="x-none"/>
        </w:rPr>
      </w:pPr>
      <w:r w:rsidRPr="00832A4E">
        <w:rPr>
          <w:rFonts w:ascii="Times New Roman" w:eastAsia="Times New Roman" w:hAnsi="Times New Roman" w:cs="Times New Roman"/>
          <w:iCs/>
          <w:sz w:val="24"/>
          <w:szCs w:val="20"/>
          <w:lang w:val="x-none" w:eastAsia="x-none"/>
        </w:rPr>
        <w:t>(2)</w:t>
      </w:r>
      <w:r w:rsidRPr="00832A4E">
        <w:rPr>
          <w:rFonts w:ascii="Times New Roman" w:eastAsia="Times New Roman" w:hAnsi="Times New Roman" w:cs="Times New Roman"/>
          <w:iCs/>
          <w:sz w:val="24"/>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3777F42E" w14:textId="77777777" w:rsidR="00832A4E" w:rsidRPr="00832A4E" w:rsidRDefault="00832A4E" w:rsidP="00832A4E">
      <w:pPr>
        <w:spacing w:after="240" w:line="240" w:lineRule="auto"/>
        <w:ind w:left="720" w:hanging="720"/>
        <w:rPr>
          <w:rFonts w:ascii="Times New Roman" w:eastAsia="Times New Roman" w:hAnsi="Times New Roman" w:cs="Times New Roman"/>
          <w:iCs/>
          <w:sz w:val="24"/>
          <w:szCs w:val="20"/>
          <w:lang w:val="x-none" w:eastAsia="x-none"/>
        </w:rPr>
      </w:pPr>
      <w:r w:rsidRPr="00832A4E">
        <w:rPr>
          <w:rFonts w:ascii="Times New Roman" w:eastAsia="Times New Roman" w:hAnsi="Times New Roman" w:cs="Times New Roman"/>
          <w:iCs/>
          <w:sz w:val="24"/>
          <w:szCs w:val="20"/>
          <w:lang w:val="x-none" w:eastAsia="x-none"/>
        </w:rPr>
        <w:t>(</w:t>
      </w:r>
      <w:r w:rsidRPr="00832A4E">
        <w:rPr>
          <w:rFonts w:ascii="Times New Roman" w:eastAsia="Times New Roman" w:hAnsi="Times New Roman" w:cs="Times New Roman"/>
          <w:iCs/>
          <w:sz w:val="24"/>
          <w:szCs w:val="20"/>
          <w:lang w:eastAsia="x-none"/>
        </w:rPr>
        <w:t>3</w:t>
      </w:r>
      <w:r w:rsidRPr="00832A4E">
        <w:rPr>
          <w:rFonts w:ascii="Times New Roman" w:eastAsia="Times New Roman" w:hAnsi="Times New Roman" w:cs="Times New Roman"/>
          <w:iCs/>
          <w:sz w:val="24"/>
          <w:szCs w:val="20"/>
          <w:lang w:val="x-none" w:eastAsia="x-none"/>
        </w:rPr>
        <w:t>)</w:t>
      </w:r>
      <w:r w:rsidRPr="00832A4E">
        <w:rPr>
          <w:rFonts w:ascii="Times New Roman" w:eastAsia="Times New Roman" w:hAnsi="Times New Roman" w:cs="Times New Roman"/>
          <w:iCs/>
          <w:sz w:val="24"/>
          <w:szCs w:val="20"/>
          <w:lang w:val="x-none" w:eastAsia="x-none"/>
        </w:rPr>
        <w:tab/>
        <w:t>Within ten Business Days of executing a generator interconnection agreement, the TSP shall provide a copy to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32A4E" w:rsidRPr="00832A4E" w14:paraId="08222968" w14:textId="77777777" w:rsidTr="009E2326">
        <w:tc>
          <w:tcPr>
            <w:tcW w:w="9558" w:type="dxa"/>
            <w:tcBorders>
              <w:top w:val="single" w:sz="4" w:space="0" w:color="auto"/>
              <w:left w:val="single" w:sz="4" w:space="0" w:color="auto"/>
              <w:bottom w:val="single" w:sz="4" w:space="0" w:color="auto"/>
              <w:right w:val="single" w:sz="4" w:space="0" w:color="auto"/>
            </w:tcBorders>
            <w:shd w:val="clear" w:color="auto" w:fill="D9D9D9"/>
          </w:tcPr>
          <w:p w14:paraId="0FDF6494" w14:textId="77777777" w:rsidR="00832A4E" w:rsidRPr="00832A4E" w:rsidRDefault="00832A4E" w:rsidP="00832A4E">
            <w:pPr>
              <w:spacing w:before="120" w:after="240" w:line="240" w:lineRule="auto"/>
              <w:rPr>
                <w:rFonts w:ascii="Times New Roman" w:eastAsia="Times New Roman" w:hAnsi="Times New Roman" w:cs="Times New Roman"/>
                <w:b/>
                <w:i/>
                <w:sz w:val="24"/>
                <w:szCs w:val="20"/>
              </w:rPr>
            </w:pPr>
            <w:r w:rsidRPr="00832A4E">
              <w:rPr>
                <w:rFonts w:ascii="Times New Roman" w:eastAsia="Times New Roman" w:hAnsi="Times New Roman" w:cs="Times New Roman"/>
                <w:b/>
                <w:i/>
                <w:sz w:val="24"/>
                <w:szCs w:val="20"/>
              </w:rPr>
              <w:t>[NPRR902:  Delete paragraph (3) above upon system implementation, but no earlier than July 1, 2020.]</w:t>
            </w:r>
          </w:p>
        </w:tc>
      </w:tr>
    </w:tbl>
    <w:p w14:paraId="4A86146C" w14:textId="77777777" w:rsidR="00650DD5" w:rsidRDefault="00832A4E"/>
    <w:sectPr w:rsidR="0065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4E"/>
    <w:rsid w:val="00271478"/>
    <w:rsid w:val="006B34FA"/>
    <w:rsid w:val="00832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6B8C"/>
  <w15:chartTrackingRefBased/>
  <w15:docId w15:val="{E97008D2-F525-474A-85F1-D4331678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2247</Words>
  <Characters>12808</Characters>
  <Application>Microsoft Office Word</Application>
  <DocSecurity>0</DocSecurity>
  <Lines>106</Lines>
  <Paragraphs>30</Paragraphs>
  <ScaleCrop>false</ScaleCrop>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Smith</dc:creator>
  <cp:keywords/>
  <dc:description/>
  <cp:lastModifiedBy>Caitlin Smith</cp:lastModifiedBy>
  <cp:revision>1</cp:revision>
  <dcterms:created xsi:type="dcterms:W3CDTF">2020-06-08T17:57:00Z</dcterms:created>
  <dcterms:modified xsi:type="dcterms:W3CDTF">2020-06-08T17:58:00Z</dcterms:modified>
</cp:coreProperties>
</file>