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442" w:type="pct"/>
        <w:tblCellMar>
          <w:left w:w="0" w:type="dxa"/>
          <w:right w:w="0" w:type="dxa"/>
        </w:tblCellMar>
        <w:tblLook w:val="04A0" w:firstRow="1" w:lastRow="0" w:firstColumn="1" w:lastColumn="0" w:noHBand="0" w:noVBand="1"/>
      </w:tblPr>
      <w:tblGrid>
        <w:gridCol w:w="1143"/>
        <w:gridCol w:w="5074"/>
        <w:gridCol w:w="916"/>
        <w:gridCol w:w="2444"/>
      </w:tblGrid>
      <w:tr w:rsidR="008A126C" w:rsidTr="008A126C">
        <w:tc>
          <w:tcPr>
            <w:tcW w:w="597" w:type="pct"/>
            <w:tcBorders>
              <w:top w:val="single" w:sz="8" w:space="0" w:color="auto"/>
              <w:left w:val="single" w:sz="8" w:space="0" w:color="auto"/>
              <w:bottom w:val="single" w:sz="4" w:space="0" w:color="auto"/>
              <w:right w:val="single" w:sz="8" w:space="0" w:color="auto"/>
            </w:tcBorders>
            <w:shd w:val="clear" w:color="auto" w:fill="366092"/>
            <w:tcMar>
              <w:top w:w="0" w:type="dxa"/>
              <w:left w:w="108" w:type="dxa"/>
              <w:bottom w:w="0" w:type="dxa"/>
              <w:right w:w="108" w:type="dxa"/>
            </w:tcMar>
            <w:hideMark/>
          </w:tcPr>
          <w:p w:rsidR="008A126C" w:rsidRDefault="008A126C">
            <w:pPr>
              <w:rPr>
                <w:b/>
                <w:bCs/>
                <w:color w:val="FFFFFF"/>
                <w:sz w:val="20"/>
                <w:szCs w:val="20"/>
              </w:rPr>
            </w:pPr>
            <w:r>
              <w:rPr>
                <w:b/>
                <w:bCs/>
                <w:color w:val="FFFFFF"/>
                <w:sz w:val="20"/>
                <w:szCs w:val="20"/>
              </w:rPr>
              <w:t>REV REQ NO.</w:t>
            </w:r>
          </w:p>
        </w:tc>
        <w:tc>
          <w:tcPr>
            <w:tcW w:w="2649" w:type="pct"/>
            <w:tcBorders>
              <w:top w:val="single" w:sz="8" w:space="0" w:color="auto"/>
              <w:left w:val="nil"/>
              <w:bottom w:val="single" w:sz="4" w:space="0" w:color="auto"/>
              <w:right w:val="single" w:sz="8" w:space="0" w:color="auto"/>
            </w:tcBorders>
            <w:shd w:val="clear" w:color="auto" w:fill="366092"/>
            <w:tcMar>
              <w:top w:w="0" w:type="dxa"/>
              <w:left w:w="108" w:type="dxa"/>
              <w:bottom w:w="0" w:type="dxa"/>
              <w:right w:w="108" w:type="dxa"/>
            </w:tcMar>
            <w:hideMark/>
          </w:tcPr>
          <w:p w:rsidR="008A126C" w:rsidRDefault="008A126C">
            <w:pPr>
              <w:rPr>
                <w:b/>
                <w:bCs/>
                <w:color w:val="FFFFFF"/>
                <w:sz w:val="20"/>
                <w:szCs w:val="20"/>
              </w:rPr>
            </w:pPr>
            <w:r>
              <w:rPr>
                <w:b/>
                <w:bCs/>
                <w:color w:val="FFFFFF"/>
                <w:sz w:val="20"/>
                <w:szCs w:val="20"/>
              </w:rPr>
              <w:t>DESCRIPTION</w:t>
            </w:r>
          </w:p>
        </w:tc>
        <w:tc>
          <w:tcPr>
            <w:tcW w:w="478" w:type="pct"/>
            <w:tcBorders>
              <w:top w:val="single" w:sz="8" w:space="0" w:color="auto"/>
              <w:left w:val="nil"/>
              <w:bottom w:val="single" w:sz="4" w:space="0" w:color="auto"/>
              <w:right w:val="single" w:sz="8" w:space="0" w:color="auto"/>
            </w:tcBorders>
            <w:shd w:val="clear" w:color="auto" w:fill="366092"/>
            <w:tcMar>
              <w:top w:w="0" w:type="dxa"/>
              <w:left w:w="108" w:type="dxa"/>
              <w:bottom w:w="0" w:type="dxa"/>
              <w:right w:w="108" w:type="dxa"/>
            </w:tcMar>
            <w:hideMark/>
          </w:tcPr>
          <w:p w:rsidR="008A126C" w:rsidRDefault="008A126C">
            <w:pPr>
              <w:jc w:val="center"/>
              <w:rPr>
                <w:b/>
                <w:bCs/>
                <w:color w:val="FFFFFF"/>
                <w:sz w:val="20"/>
                <w:szCs w:val="20"/>
              </w:rPr>
            </w:pPr>
            <w:r>
              <w:rPr>
                <w:b/>
                <w:bCs/>
                <w:color w:val="FFFFFF"/>
                <w:sz w:val="20"/>
                <w:szCs w:val="20"/>
              </w:rPr>
              <w:t>URGENT</w:t>
            </w:r>
          </w:p>
        </w:tc>
        <w:tc>
          <w:tcPr>
            <w:tcW w:w="1276" w:type="pct"/>
            <w:tcBorders>
              <w:top w:val="single" w:sz="8" w:space="0" w:color="auto"/>
              <w:left w:val="nil"/>
              <w:bottom w:val="single" w:sz="4" w:space="0" w:color="auto"/>
              <w:right w:val="single" w:sz="8" w:space="0" w:color="auto"/>
            </w:tcBorders>
            <w:shd w:val="clear" w:color="auto" w:fill="366092"/>
            <w:tcMar>
              <w:top w:w="0" w:type="dxa"/>
              <w:left w:w="108" w:type="dxa"/>
              <w:bottom w:w="0" w:type="dxa"/>
              <w:right w:w="108" w:type="dxa"/>
            </w:tcMar>
            <w:hideMark/>
          </w:tcPr>
          <w:p w:rsidR="008A126C" w:rsidRDefault="008A126C">
            <w:pPr>
              <w:rPr>
                <w:b/>
                <w:bCs/>
                <w:color w:val="FFFFFF"/>
                <w:sz w:val="20"/>
                <w:szCs w:val="20"/>
              </w:rPr>
            </w:pPr>
            <w:r>
              <w:rPr>
                <w:b/>
                <w:bCs/>
                <w:color w:val="FFFFFF"/>
                <w:sz w:val="20"/>
                <w:szCs w:val="20"/>
              </w:rPr>
              <w:t>ERCOT Opinion</w:t>
            </w:r>
          </w:p>
        </w:tc>
      </w:tr>
      <w:tr w:rsidR="008A126C" w:rsidTr="008A126C">
        <w:tc>
          <w:tcPr>
            <w:tcW w:w="5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Default="008A126C" w:rsidP="00566AFF">
            <w:pPr>
              <w:rPr>
                <w:rFonts w:cs="Calibri"/>
                <w:b/>
                <w:bCs/>
                <w:color w:val="000000"/>
                <w:sz w:val="20"/>
                <w:szCs w:val="20"/>
              </w:rPr>
            </w:pPr>
            <w:r>
              <w:rPr>
                <w:rFonts w:cs="Calibri"/>
                <w:b/>
                <w:bCs/>
                <w:color w:val="000000"/>
                <w:sz w:val="20"/>
                <w:szCs w:val="20"/>
              </w:rPr>
              <w:t>NPRR933</w:t>
            </w:r>
          </w:p>
        </w:tc>
        <w:tc>
          <w:tcPr>
            <w:tcW w:w="2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Default="008A126C" w:rsidP="00566AFF">
            <w:pPr>
              <w:rPr>
                <w:rFonts w:cs="Calibri"/>
                <w:b/>
                <w:bCs/>
                <w:color w:val="000000"/>
                <w:sz w:val="20"/>
                <w:szCs w:val="20"/>
              </w:rPr>
            </w:pPr>
            <w:r>
              <w:rPr>
                <w:rFonts w:cs="Calibri"/>
                <w:b/>
                <w:bCs/>
                <w:color w:val="000000"/>
                <w:sz w:val="20"/>
                <w:szCs w:val="20"/>
              </w:rPr>
              <w:t xml:space="preserve">Reporting of Demand Response by Retail Electric Providers and Non-Opt-In Entities.  </w:t>
            </w:r>
            <w:r>
              <w:rPr>
                <w:rFonts w:cs="Calibri"/>
                <w:color w:val="000000"/>
                <w:sz w:val="20"/>
                <w:szCs w:val="20"/>
              </w:rPr>
              <w:t>This Nodal Protocol Revision Request (NPRR) adds specific timing requirements for Retail Electric Providers (REPs) and Non-Opt-In Entities (NOIEs) to provid</w:t>
            </w:r>
            <w:bookmarkStart w:id="0" w:name="_GoBack"/>
            <w:r>
              <w:rPr>
                <w:rFonts w:cs="Calibri"/>
                <w:color w:val="000000"/>
                <w:sz w:val="20"/>
                <w:szCs w:val="20"/>
              </w:rPr>
              <w:t>e</w:t>
            </w:r>
            <w:bookmarkEnd w:id="0"/>
            <w:r>
              <w:rPr>
                <w:rFonts w:cs="Calibri"/>
                <w:color w:val="000000"/>
                <w:sz w:val="20"/>
                <w:szCs w:val="20"/>
              </w:rPr>
              <w:t xml:space="preserve"> information to ERCOT regarding categories of Demand response and price response programs offered to their Customers, the level of participation in those programs, and information on deployment events associated with those programs.  [ERCOT]</w:t>
            </w:r>
          </w:p>
        </w:tc>
        <w:tc>
          <w:tcPr>
            <w:tcW w:w="4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Default="008A126C" w:rsidP="00566AFF">
            <w:pPr>
              <w:jc w:val="center"/>
              <w:rPr>
                <w:rFonts w:cs="Calibri"/>
                <w:color w:val="000000"/>
                <w:sz w:val="20"/>
                <w:szCs w:val="20"/>
              </w:rPr>
            </w:pPr>
            <w:r>
              <w:rPr>
                <w:rFonts w:cs="Calibri"/>
                <w:color w:val="000000"/>
                <w:sz w:val="20"/>
                <w:szCs w:val="20"/>
              </w:rPr>
              <w:t>Y</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A126C" w:rsidRDefault="008A126C" w:rsidP="00566AFF">
            <w:pPr>
              <w:rPr>
                <w:sz w:val="20"/>
                <w:szCs w:val="20"/>
              </w:rPr>
            </w:pPr>
            <w:r>
              <w:rPr>
                <w:sz w:val="20"/>
                <w:szCs w:val="20"/>
              </w:rPr>
              <w:t>ERCOT supports approval of NPRR933</w:t>
            </w:r>
          </w:p>
        </w:tc>
      </w:tr>
      <w:tr w:rsidR="008A126C" w:rsidTr="008A126C">
        <w:tc>
          <w:tcPr>
            <w:tcW w:w="5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Default="008A126C" w:rsidP="00566AFF">
            <w:pPr>
              <w:rPr>
                <w:rFonts w:cs="Calibri"/>
                <w:b/>
                <w:bCs/>
                <w:color w:val="000000"/>
                <w:sz w:val="20"/>
                <w:szCs w:val="20"/>
              </w:rPr>
            </w:pPr>
            <w:r>
              <w:rPr>
                <w:rFonts w:cs="Calibri"/>
                <w:b/>
                <w:bCs/>
                <w:color w:val="000000"/>
                <w:sz w:val="20"/>
                <w:szCs w:val="20"/>
              </w:rPr>
              <w:t>NPRR975</w:t>
            </w:r>
          </w:p>
        </w:tc>
        <w:tc>
          <w:tcPr>
            <w:tcW w:w="2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Pr="00672B98" w:rsidRDefault="008A126C" w:rsidP="00672B98">
            <w:pPr>
              <w:rPr>
                <w:rFonts w:cs="Calibri"/>
                <w:bCs/>
                <w:color w:val="000000"/>
                <w:sz w:val="20"/>
                <w:szCs w:val="20"/>
              </w:rPr>
            </w:pPr>
            <w:r w:rsidRPr="00672B98">
              <w:rPr>
                <w:rFonts w:cs="Calibri"/>
                <w:b/>
                <w:bCs/>
                <w:color w:val="000000"/>
                <w:sz w:val="20"/>
                <w:szCs w:val="20"/>
              </w:rPr>
              <w:t>Load Forecast Model Transparency</w:t>
            </w:r>
            <w:r>
              <w:rPr>
                <w:rFonts w:cs="Calibri"/>
                <w:b/>
                <w:bCs/>
                <w:color w:val="000000"/>
                <w:sz w:val="20"/>
                <w:szCs w:val="20"/>
              </w:rPr>
              <w:t xml:space="preserve">.  </w:t>
            </w:r>
            <w:r w:rsidRPr="00672B98">
              <w:rPr>
                <w:rFonts w:cs="Calibri"/>
                <w:bCs/>
                <w:color w:val="000000"/>
                <w:sz w:val="20"/>
                <w:szCs w:val="20"/>
              </w:rPr>
              <w:t>This Nodal Protocol Revision Request (NPRR): 1)</w:t>
            </w:r>
            <w:r>
              <w:rPr>
                <w:rFonts w:cs="Calibri"/>
                <w:bCs/>
                <w:color w:val="000000"/>
                <w:sz w:val="20"/>
                <w:szCs w:val="20"/>
              </w:rPr>
              <w:t xml:space="preserve"> </w:t>
            </w:r>
            <w:r w:rsidRPr="00672B98">
              <w:rPr>
                <w:rFonts w:cs="Calibri"/>
                <w:bCs/>
                <w:color w:val="000000"/>
                <w:sz w:val="20"/>
                <w:szCs w:val="20"/>
              </w:rPr>
              <w:t>Clarifies that Load forecast models will be used to select the Seven-Day Load Forecast based on expected weather; and</w:t>
            </w:r>
            <w:r>
              <w:rPr>
                <w:rFonts w:cs="Calibri"/>
                <w:bCs/>
                <w:color w:val="000000"/>
                <w:sz w:val="20"/>
                <w:szCs w:val="20"/>
              </w:rPr>
              <w:t xml:space="preserve"> </w:t>
            </w:r>
            <w:r w:rsidRPr="00672B98">
              <w:rPr>
                <w:rFonts w:cs="Calibri"/>
                <w:bCs/>
                <w:color w:val="000000"/>
                <w:sz w:val="20"/>
                <w:szCs w:val="20"/>
              </w:rPr>
              <w:t>2)</w:t>
            </w:r>
            <w:r>
              <w:rPr>
                <w:rFonts w:cs="Calibri"/>
                <w:bCs/>
                <w:color w:val="000000"/>
                <w:sz w:val="20"/>
                <w:szCs w:val="20"/>
              </w:rPr>
              <w:t xml:space="preserve"> </w:t>
            </w:r>
            <w:r w:rsidRPr="00672B98">
              <w:rPr>
                <w:rFonts w:cs="Calibri"/>
                <w:bCs/>
                <w:color w:val="000000"/>
                <w:sz w:val="20"/>
                <w:szCs w:val="20"/>
              </w:rPr>
              <w:t>Requires ERCOT Operations to explain why they selected a certain model to improve transparency for Market Participants.</w:t>
            </w:r>
            <w:r>
              <w:rPr>
                <w:rFonts w:cs="Calibri"/>
                <w:bCs/>
                <w:color w:val="000000"/>
                <w:sz w:val="20"/>
                <w:szCs w:val="20"/>
              </w:rPr>
              <w:t xml:space="preserve"> [TCPA]</w:t>
            </w:r>
          </w:p>
        </w:tc>
        <w:tc>
          <w:tcPr>
            <w:tcW w:w="4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Default="008A126C" w:rsidP="00566AFF">
            <w:pPr>
              <w:jc w:val="center"/>
              <w:rPr>
                <w:rFonts w:cs="Calibri"/>
                <w:color w:val="000000"/>
                <w:sz w:val="20"/>
                <w:szCs w:val="20"/>
              </w:rPr>
            </w:pPr>
            <w:r>
              <w:rPr>
                <w:rFonts w:cs="Calibri"/>
                <w:color w:val="000000"/>
                <w:sz w:val="20"/>
                <w:szCs w:val="20"/>
              </w:rPr>
              <w:t>Y</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Default="008A126C" w:rsidP="00566AFF">
            <w:pPr>
              <w:rPr>
                <w:sz w:val="20"/>
                <w:szCs w:val="20"/>
              </w:rPr>
            </w:pPr>
            <w:r>
              <w:rPr>
                <w:sz w:val="20"/>
                <w:szCs w:val="20"/>
              </w:rPr>
              <w:t>ERCOT supports approval of NPRR975</w:t>
            </w:r>
          </w:p>
        </w:tc>
      </w:tr>
      <w:tr w:rsidR="008A126C" w:rsidTr="008A126C">
        <w:tc>
          <w:tcPr>
            <w:tcW w:w="5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Default="008A126C" w:rsidP="00566AFF">
            <w:pPr>
              <w:rPr>
                <w:rFonts w:cs="Calibri"/>
                <w:b/>
                <w:bCs/>
                <w:color w:val="000000"/>
                <w:sz w:val="20"/>
                <w:szCs w:val="20"/>
              </w:rPr>
            </w:pPr>
            <w:r>
              <w:rPr>
                <w:rFonts w:cs="Calibri"/>
                <w:b/>
                <w:bCs/>
                <w:color w:val="000000"/>
                <w:sz w:val="20"/>
                <w:szCs w:val="20"/>
              </w:rPr>
              <w:t>NPRR987</w:t>
            </w:r>
          </w:p>
        </w:tc>
        <w:tc>
          <w:tcPr>
            <w:tcW w:w="2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Default="008A126C" w:rsidP="00566AFF">
            <w:pPr>
              <w:rPr>
                <w:rFonts w:cs="Calibri"/>
                <w:b/>
                <w:bCs/>
                <w:color w:val="000000"/>
                <w:sz w:val="20"/>
                <w:szCs w:val="20"/>
              </w:rPr>
            </w:pPr>
            <w:r>
              <w:rPr>
                <w:rFonts w:cs="Calibri"/>
                <w:b/>
                <w:bCs/>
                <w:color w:val="000000"/>
                <w:sz w:val="20"/>
                <w:szCs w:val="20"/>
              </w:rPr>
              <w:t xml:space="preserve">BESTF-3 Energy Storage Resource Contribution to Physical Responsive Capability and Real-Time On-Line Reserve Capacity Calculations.  </w:t>
            </w:r>
            <w:r>
              <w:rPr>
                <w:rFonts w:cs="Calibri"/>
                <w:color w:val="000000"/>
                <w:sz w:val="20"/>
                <w:szCs w:val="20"/>
              </w:rPr>
              <w:t>This Nodal Protocol Revision Request (NPRR) implements the inclusion of the contribution of ESRs to PRC and the RTOLCAP in the Ancillary Service Imbalance Calculation.  [ERCOT]</w:t>
            </w:r>
          </w:p>
        </w:tc>
        <w:tc>
          <w:tcPr>
            <w:tcW w:w="4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Default="008A126C" w:rsidP="00566AFF">
            <w:pPr>
              <w:jc w:val="center"/>
              <w:rPr>
                <w:rFonts w:cs="Calibri"/>
                <w:color w:val="000000"/>
                <w:sz w:val="20"/>
                <w:szCs w:val="20"/>
              </w:rPr>
            </w:pPr>
            <w:r>
              <w:rPr>
                <w:rFonts w:cs="Calibri"/>
                <w:color w:val="000000"/>
                <w:sz w:val="20"/>
                <w:szCs w:val="20"/>
              </w:rPr>
              <w:t>Y</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A126C" w:rsidRDefault="008A126C" w:rsidP="00566AFF">
            <w:pPr>
              <w:rPr>
                <w:sz w:val="20"/>
                <w:szCs w:val="20"/>
              </w:rPr>
            </w:pPr>
            <w:r>
              <w:rPr>
                <w:sz w:val="20"/>
                <w:szCs w:val="20"/>
              </w:rPr>
              <w:t>ERCOT supports approval of NPRR987</w:t>
            </w:r>
          </w:p>
        </w:tc>
      </w:tr>
      <w:tr w:rsidR="008A126C" w:rsidTr="008A126C">
        <w:tc>
          <w:tcPr>
            <w:tcW w:w="5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Default="008A126C" w:rsidP="00566AFF">
            <w:pPr>
              <w:rPr>
                <w:rFonts w:cs="Calibri"/>
                <w:b/>
                <w:bCs/>
                <w:color w:val="000000"/>
                <w:sz w:val="20"/>
                <w:szCs w:val="20"/>
              </w:rPr>
            </w:pPr>
            <w:r>
              <w:rPr>
                <w:rFonts w:cs="Calibri"/>
                <w:b/>
                <w:bCs/>
                <w:color w:val="000000"/>
                <w:sz w:val="20"/>
                <w:szCs w:val="20"/>
              </w:rPr>
              <w:t>OBDRR017</w:t>
            </w:r>
          </w:p>
        </w:tc>
        <w:tc>
          <w:tcPr>
            <w:tcW w:w="2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Default="008A126C" w:rsidP="00566AFF">
            <w:pPr>
              <w:rPr>
                <w:rFonts w:cs="Calibri"/>
                <w:b/>
                <w:bCs/>
                <w:color w:val="000000"/>
                <w:sz w:val="20"/>
                <w:szCs w:val="20"/>
              </w:rPr>
            </w:pPr>
            <w:r>
              <w:rPr>
                <w:rFonts w:cs="Calibri"/>
                <w:b/>
                <w:bCs/>
                <w:color w:val="000000"/>
                <w:sz w:val="20"/>
                <w:szCs w:val="20"/>
              </w:rPr>
              <w:t xml:space="preserve">Related to NPRR987, BESTF-3 Energy Storage Resource Contribution to Physical Responsive Capability and Real-Time On-Line Reserve Capacity Calculations.  </w:t>
            </w:r>
            <w:r>
              <w:rPr>
                <w:rFonts w:cs="Calibri"/>
                <w:color w:val="000000"/>
                <w:sz w:val="20"/>
                <w:szCs w:val="20"/>
              </w:rPr>
              <w:t>This Other Binding Document Revision Request (OBDRR) aligns language within the Methodology for Implementing Operating Reserve Demand Curve (ORDC) to Calculate Real-Time Reserve Price Adder with Protocol revisions under NPRR987, and changes the Real-Time operating reserve calculation to consider the state of charge of the Energy Storage Resource (ESR) when calculating the contribution those Resources make to the On-Line operating reserves.  [ERCOT]</w:t>
            </w:r>
          </w:p>
        </w:tc>
        <w:tc>
          <w:tcPr>
            <w:tcW w:w="4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Default="008A126C" w:rsidP="00566AFF">
            <w:pPr>
              <w:jc w:val="center"/>
              <w:rPr>
                <w:rFonts w:cs="Calibri"/>
                <w:color w:val="000000"/>
                <w:sz w:val="20"/>
                <w:szCs w:val="20"/>
              </w:rPr>
            </w:pPr>
            <w:r>
              <w:rPr>
                <w:rFonts w:cs="Calibri"/>
                <w:color w:val="000000"/>
                <w:sz w:val="20"/>
                <w:szCs w:val="20"/>
              </w:rPr>
              <w:t>Y</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Default="008A126C" w:rsidP="00E950DB">
            <w:pPr>
              <w:rPr>
                <w:sz w:val="20"/>
                <w:szCs w:val="20"/>
              </w:rPr>
            </w:pPr>
            <w:r>
              <w:rPr>
                <w:sz w:val="20"/>
                <w:szCs w:val="20"/>
              </w:rPr>
              <w:t>ERCOT supports approval of OBDRR017</w:t>
            </w:r>
          </w:p>
        </w:tc>
      </w:tr>
      <w:tr w:rsidR="008A126C" w:rsidTr="008A126C">
        <w:tc>
          <w:tcPr>
            <w:tcW w:w="5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Default="008A126C" w:rsidP="00566AFF">
            <w:pPr>
              <w:rPr>
                <w:rFonts w:cs="Calibri"/>
                <w:b/>
                <w:bCs/>
                <w:color w:val="000000"/>
                <w:sz w:val="20"/>
                <w:szCs w:val="20"/>
              </w:rPr>
            </w:pPr>
            <w:r>
              <w:rPr>
                <w:rFonts w:cs="Calibri"/>
                <w:b/>
                <w:bCs/>
                <w:color w:val="000000"/>
                <w:sz w:val="20"/>
                <w:szCs w:val="20"/>
              </w:rPr>
              <w:t>NPRR989</w:t>
            </w:r>
          </w:p>
        </w:tc>
        <w:tc>
          <w:tcPr>
            <w:tcW w:w="2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Pr="00E950DB" w:rsidRDefault="008A126C" w:rsidP="00566AFF">
            <w:pPr>
              <w:rPr>
                <w:rFonts w:cs="Calibri"/>
                <w:color w:val="000000"/>
                <w:sz w:val="20"/>
                <w:szCs w:val="20"/>
              </w:rPr>
            </w:pPr>
            <w:r>
              <w:rPr>
                <w:rFonts w:cs="Calibri"/>
                <w:b/>
                <w:bCs/>
                <w:color w:val="000000"/>
                <w:sz w:val="20"/>
                <w:szCs w:val="20"/>
              </w:rPr>
              <w:t>BESTF-1 Energy Storage Resource Technical Requirements.</w:t>
            </w:r>
            <w:r>
              <w:rPr>
                <w:rFonts w:cs="Calibri"/>
                <w:color w:val="000000"/>
                <w:sz w:val="20"/>
                <w:szCs w:val="20"/>
              </w:rPr>
              <w:t xml:space="preserve">  This Nodal Protocol Revision Request (NPRR) establishes technical requirements for Energy Storage Resources (ESRs) for Voltage Support Service (VSS) (including Reactive Power capability), and Primary Frequency Response.  [ERCOT]</w:t>
            </w:r>
          </w:p>
        </w:tc>
        <w:tc>
          <w:tcPr>
            <w:tcW w:w="4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Default="008A126C" w:rsidP="00566AFF">
            <w:pPr>
              <w:jc w:val="center"/>
              <w:rPr>
                <w:rFonts w:cs="Calibri"/>
                <w:color w:val="000000"/>
                <w:sz w:val="20"/>
                <w:szCs w:val="20"/>
              </w:rPr>
            </w:pPr>
            <w:r>
              <w:rPr>
                <w:rFonts w:cs="Calibri"/>
                <w:color w:val="000000"/>
                <w:sz w:val="20"/>
                <w:szCs w:val="20"/>
              </w:rPr>
              <w:t>Y</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A126C" w:rsidRDefault="008A126C" w:rsidP="00566AFF">
            <w:pPr>
              <w:rPr>
                <w:sz w:val="20"/>
                <w:szCs w:val="20"/>
              </w:rPr>
            </w:pPr>
            <w:r>
              <w:rPr>
                <w:sz w:val="20"/>
                <w:szCs w:val="20"/>
              </w:rPr>
              <w:t>ERCOT supports approval of NPRR989</w:t>
            </w:r>
          </w:p>
        </w:tc>
      </w:tr>
      <w:tr w:rsidR="008A126C" w:rsidTr="008A126C">
        <w:tc>
          <w:tcPr>
            <w:tcW w:w="5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Default="008A126C" w:rsidP="00566AFF">
            <w:pPr>
              <w:rPr>
                <w:rFonts w:cs="Calibri"/>
                <w:b/>
                <w:bCs/>
                <w:color w:val="000000"/>
                <w:sz w:val="20"/>
                <w:szCs w:val="20"/>
              </w:rPr>
            </w:pPr>
            <w:r>
              <w:rPr>
                <w:rFonts w:cs="Calibri"/>
                <w:b/>
                <w:bCs/>
                <w:color w:val="000000"/>
                <w:sz w:val="20"/>
                <w:szCs w:val="20"/>
              </w:rPr>
              <w:t>NOGRR204</w:t>
            </w:r>
          </w:p>
        </w:tc>
        <w:tc>
          <w:tcPr>
            <w:tcW w:w="2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Pr="00E950DB" w:rsidRDefault="008A126C" w:rsidP="00566AFF">
            <w:pPr>
              <w:rPr>
                <w:rFonts w:cs="Calibri"/>
                <w:color w:val="000000"/>
                <w:sz w:val="20"/>
                <w:szCs w:val="20"/>
              </w:rPr>
            </w:pPr>
            <w:r>
              <w:rPr>
                <w:rFonts w:cs="Calibri"/>
                <w:b/>
                <w:bCs/>
                <w:color w:val="000000"/>
                <w:sz w:val="20"/>
                <w:szCs w:val="20"/>
              </w:rPr>
              <w:t>Related to NPRR989, BESTF-1 Energy Storage Resource Technical Requirements</w:t>
            </w:r>
            <w:r>
              <w:rPr>
                <w:rFonts w:cs="Calibri"/>
                <w:color w:val="000000"/>
                <w:sz w:val="20"/>
                <w:szCs w:val="20"/>
              </w:rPr>
              <w:t>.  This Nodal Operating Guide Revision Request (NOGRR) establishes technical requirements for Energy Storage Resources (ESRs) in the following areas: Reactive Power capability, including performance requirements during transient voltage disturbances, and testing criteria; voltage ride-through requirements; frequency ride-through requirements; and Governor Dead-Band and droop setting requirements.  [ERCOT]</w:t>
            </w:r>
          </w:p>
        </w:tc>
        <w:tc>
          <w:tcPr>
            <w:tcW w:w="4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Default="008A126C" w:rsidP="00566AFF">
            <w:pPr>
              <w:jc w:val="center"/>
              <w:rPr>
                <w:rFonts w:cs="Calibri"/>
                <w:color w:val="000000"/>
                <w:sz w:val="20"/>
                <w:szCs w:val="20"/>
              </w:rPr>
            </w:pPr>
            <w:r>
              <w:rPr>
                <w:rFonts w:cs="Calibri"/>
                <w:color w:val="000000"/>
                <w:sz w:val="20"/>
                <w:szCs w:val="20"/>
              </w:rPr>
              <w:t>Y</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Default="008A126C" w:rsidP="00566AFF">
            <w:pPr>
              <w:rPr>
                <w:sz w:val="20"/>
                <w:szCs w:val="20"/>
              </w:rPr>
            </w:pPr>
            <w:r>
              <w:rPr>
                <w:sz w:val="20"/>
                <w:szCs w:val="20"/>
              </w:rPr>
              <w:t>ERCOT supports approval of NOGRR204</w:t>
            </w:r>
          </w:p>
        </w:tc>
      </w:tr>
      <w:tr w:rsidR="008A126C" w:rsidTr="008A126C">
        <w:trPr>
          <w:trHeight w:val="512"/>
        </w:trPr>
        <w:tc>
          <w:tcPr>
            <w:tcW w:w="5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Default="008A126C" w:rsidP="00566AFF">
            <w:pPr>
              <w:rPr>
                <w:rFonts w:cs="Calibri"/>
                <w:b/>
                <w:bCs/>
                <w:color w:val="000000"/>
                <w:sz w:val="20"/>
                <w:szCs w:val="20"/>
              </w:rPr>
            </w:pPr>
            <w:r>
              <w:rPr>
                <w:rFonts w:cs="Calibri"/>
                <w:b/>
                <w:bCs/>
                <w:color w:val="000000"/>
                <w:sz w:val="20"/>
                <w:szCs w:val="20"/>
              </w:rPr>
              <w:t>NPRR1006</w:t>
            </w:r>
          </w:p>
        </w:tc>
        <w:tc>
          <w:tcPr>
            <w:tcW w:w="2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Pr="001A11D5" w:rsidRDefault="008A126C" w:rsidP="00752463">
            <w:pPr>
              <w:rPr>
                <w:rFonts w:cs="Calibri"/>
                <w:b/>
                <w:bCs/>
                <w:color w:val="000000"/>
                <w:sz w:val="20"/>
                <w:szCs w:val="20"/>
              </w:rPr>
            </w:pPr>
            <w:r>
              <w:rPr>
                <w:rFonts w:cs="Calibri"/>
                <w:b/>
                <w:bCs/>
                <w:color w:val="000000"/>
                <w:sz w:val="20"/>
                <w:szCs w:val="20"/>
              </w:rPr>
              <w:t xml:space="preserve">Update Real-Time On-Line Reliability Deployment Price Adder Inputs to Match Actual Data.  </w:t>
            </w:r>
            <w:r>
              <w:rPr>
                <w:rFonts w:cs="Calibri"/>
                <w:color w:val="000000"/>
                <w:sz w:val="20"/>
                <w:szCs w:val="20"/>
              </w:rPr>
              <w:t xml:space="preserve">This Nodal Protocol Revision Request (NPRR) proposes to return the ERS resources in a linear curve over a </w:t>
            </w:r>
            <w:r w:rsidR="00752463">
              <w:rPr>
                <w:rFonts w:cs="Calibri"/>
                <w:color w:val="000000"/>
                <w:sz w:val="20"/>
                <w:szCs w:val="20"/>
              </w:rPr>
              <w:t>four and a half-hour</w:t>
            </w:r>
            <w:r>
              <w:rPr>
                <w:rFonts w:cs="Calibri"/>
                <w:color w:val="000000"/>
                <w:sz w:val="20"/>
                <w:szCs w:val="20"/>
              </w:rPr>
              <w:t xml:space="preserve"> period following recall, rather than ten hours.  The NPRR </w:t>
            </w:r>
            <w:r>
              <w:rPr>
                <w:rFonts w:cs="Calibri"/>
                <w:color w:val="000000"/>
                <w:sz w:val="20"/>
                <w:szCs w:val="20"/>
              </w:rPr>
              <w:lastRenderedPageBreak/>
              <w:t>also changes the process for updating this parameter in the future so that it can be updated by TAC each year as appropriate, without the need to file an NPRR.  [TIEC]</w:t>
            </w:r>
          </w:p>
        </w:tc>
        <w:tc>
          <w:tcPr>
            <w:tcW w:w="4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Default="008A126C" w:rsidP="00566AFF">
            <w:pPr>
              <w:jc w:val="center"/>
              <w:rPr>
                <w:rFonts w:cs="Calibri"/>
                <w:color w:val="000000"/>
                <w:sz w:val="20"/>
                <w:szCs w:val="20"/>
              </w:rPr>
            </w:pPr>
            <w:r>
              <w:rPr>
                <w:rFonts w:cs="Calibri"/>
                <w:color w:val="000000"/>
                <w:sz w:val="20"/>
                <w:szCs w:val="20"/>
              </w:rPr>
              <w:lastRenderedPageBreak/>
              <w:t>Y</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A126C" w:rsidRDefault="008A126C" w:rsidP="00566AFF">
            <w:pPr>
              <w:rPr>
                <w:sz w:val="20"/>
                <w:szCs w:val="20"/>
              </w:rPr>
            </w:pPr>
            <w:r>
              <w:rPr>
                <w:sz w:val="20"/>
                <w:szCs w:val="20"/>
              </w:rPr>
              <w:t>ERCOT supports approval of NPRR1006</w:t>
            </w:r>
          </w:p>
        </w:tc>
      </w:tr>
      <w:tr w:rsidR="008A126C" w:rsidTr="008A126C">
        <w:tc>
          <w:tcPr>
            <w:tcW w:w="5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Default="008A126C" w:rsidP="001A11D5">
            <w:pPr>
              <w:rPr>
                <w:rFonts w:cs="Calibri"/>
                <w:b/>
                <w:bCs/>
                <w:color w:val="000000"/>
                <w:sz w:val="20"/>
                <w:szCs w:val="20"/>
              </w:rPr>
            </w:pPr>
            <w:r>
              <w:rPr>
                <w:rFonts w:cs="Calibri"/>
                <w:b/>
                <w:bCs/>
                <w:color w:val="000000"/>
                <w:sz w:val="20"/>
                <w:szCs w:val="20"/>
              </w:rPr>
              <w:t>NPRR1018</w:t>
            </w:r>
          </w:p>
        </w:tc>
        <w:tc>
          <w:tcPr>
            <w:tcW w:w="2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Default="008A126C" w:rsidP="001A11D5">
            <w:pPr>
              <w:rPr>
                <w:rFonts w:cs="Calibri"/>
                <w:b/>
                <w:bCs/>
                <w:color w:val="000000"/>
                <w:sz w:val="20"/>
                <w:szCs w:val="20"/>
              </w:rPr>
            </w:pPr>
            <w:r>
              <w:rPr>
                <w:rFonts w:cs="Calibri"/>
                <w:b/>
                <w:bCs/>
                <w:color w:val="000000"/>
                <w:sz w:val="20"/>
                <w:szCs w:val="20"/>
              </w:rPr>
              <w:t xml:space="preserve">Clarifications Regarding ERCOT Suspension or Termination of a QSE and Participation by a Virtual or Emergency QSE. </w:t>
            </w:r>
            <w:r>
              <w:rPr>
                <w:rFonts w:cs="Calibri"/>
                <w:color w:val="000000"/>
                <w:sz w:val="20"/>
                <w:szCs w:val="20"/>
              </w:rPr>
              <w:t xml:space="preserve"> This Nodal Protocol Revision Request (NPRR) clarifies several provisions regarding termination and suspension of a QSE and the ability of a Load Serving Entity (LSE) or Resource Entity to act as a “Virtual QSE” or “Emergency QSE”.  [ERCOT]</w:t>
            </w:r>
          </w:p>
        </w:tc>
        <w:tc>
          <w:tcPr>
            <w:tcW w:w="4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Default="008A126C" w:rsidP="001A11D5">
            <w:pPr>
              <w:jc w:val="center"/>
              <w:rPr>
                <w:rFonts w:cs="Calibri"/>
                <w:color w:val="000000"/>
                <w:sz w:val="20"/>
                <w:szCs w:val="20"/>
              </w:rPr>
            </w:pPr>
            <w:r>
              <w:rPr>
                <w:rFonts w:cs="Calibri"/>
                <w:color w:val="000000"/>
                <w:sz w:val="20"/>
                <w:szCs w:val="20"/>
              </w:rPr>
              <w:t>Y</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Default="008A126C" w:rsidP="001A11D5">
            <w:pPr>
              <w:rPr>
                <w:sz w:val="20"/>
                <w:szCs w:val="20"/>
              </w:rPr>
            </w:pPr>
            <w:r>
              <w:rPr>
                <w:sz w:val="20"/>
                <w:szCs w:val="20"/>
              </w:rPr>
              <w:t>ERCOT supports approval of NPRR1018</w:t>
            </w:r>
          </w:p>
        </w:tc>
      </w:tr>
      <w:tr w:rsidR="008A126C" w:rsidTr="008A126C">
        <w:tc>
          <w:tcPr>
            <w:tcW w:w="5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Default="008A126C" w:rsidP="001A11D5">
            <w:pPr>
              <w:rPr>
                <w:rFonts w:cs="Calibri"/>
                <w:b/>
                <w:bCs/>
                <w:color w:val="000000"/>
                <w:sz w:val="20"/>
                <w:szCs w:val="20"/>
              </w:rPr>
            </w:pPr>
            <w:r>
              <w:rPr>
                <w:rFonts w:cs="Calibri"/>
                <w:b/>
                <w:bCs/>
                <w:color w:val="000000"/>
                <w:sz w:val="20"/>
                <w:szCs w:val="20"/>
              </w:rPr>
              <w:t>NPRR1019</w:t>
            </w:r>
          </w:p>
        </w:tc>
        <w:tc>
          <w:tcPr>
            <w:tcW w:w="2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Default="008A126C" w:rsidP="001A11D5">
            <w:pPr>
              <w:rPr>
                <w:rFonts w:cs="Calibri"/>
                <w:b/>
                <w:bCs/>
                <w:color w:val="000000"/>
                <w:sz w:val="20"/>
                <w:szCs w:val="20"/>
              </w:rPr>
            </w:pPr>
            <w:r>
              <w:rPr>
                <w:rFonts w:cs="Calibri"/>
                <w:b/>
                <w:bCs/>
                <w:color w:val="000000"/>
                <w:sz w:val="20"/>
                <w:szCs w:val="20"/>
              </w:rPr>
              <w:t xml:space="preserve">Pricing and Settlement Changes for Switchable Generation Resources (SWGRs) Instructed to Switch to ERCOT. </w:t>
            </w:r>
            <w:r>
              <w:rPr>
                <w:rFonts w:cs="Calibri"/>
                <w:color w:val="000000"/>
                <w:sz w:val="20"/>
                <w:szCs w:val="20"/>
              </w:rPr>
              <w:t xml:space="preserve"> This Nodal Protocol Revision Request (NPRR) addresses the switching of Switchable Generation Resources (SWGRs) from a non-ERCOT Control Area to the ERCOT the Control Area.  [ERCOT]</w:t>
            </w:r>
          </w:p>
        </w:tc>
        <w:tc>
          <w:tcPr>
            <w:tcW w:w="4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Default="008A126C" w:rsidP="001A11D5">
            <w:pPr>
              <w:jc w:val="center"/>
              <w:rPr>
                <w:rFonts w:cs="Calibri"/>
                <w:color w:val="000000"/>
                <w:sz w:val="20"/>
                <w:szCs w:val="20"/>
              </w:rPr>
            </w:pPr>
            <w:r>
              <w:rPr>
                <w:rFonts w:cs="Calibri"/>
                <w:color w:val="000000"/>
                <w:sz w:val="20"/>
                <w:szCs w:val="20"/>
              </w:rPr>
              <w:t>Y</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Default="008A126C" w:rsidP="001A11D5">
            <w:pPr>
              <w:rPr>
                <w:sz w:val="20"/>
                <w:szCs w:val="20"/>
              </w:rPr>
            </w:pPr>
            <w:r>
              <w:rPr>
                <w:sz w:val="20"/>
                <w:szCs w:val="20"/>
              </w:rPr>
              <w:t>ERCOT supports approval of NPRR1019</w:t>
            </w:r>
          </w:p>
        </w:tc>
      </w:tr>
      <w:tr w:rsidR="008A126C" w:rsidTr="008A126C">
        <w:tc>
          <w:tcPr>
            <w:tcW w:w="5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Default="008A126C" w:rsidP="001A11D5">
            <w:pPr>
              <w:rPr>
                <w:rFonts w:cs="Calibri"/>
                <w:b/>
                <w:bCs/>
                <w:color w:val="000000"/>
                <w:sz w:val="20"/>
                <w:szCs w:val="20"/>
              </w:rPr>
            </w:pPr>
            <w:r>
              <w:rPr>
                <w:rFonts w:cs="Calibri"/>
                <w:b/>
                <w:bCs/>
                <w:color w:val="000000"/>
                <w:sz w:val="20"/>
                <w:szCs w:val="20"/>
              </w:rPr>
              <w:t>NPRR1021</w:t>
            </w:r>
          </w:p>
        </w:tc>
        <w:tc>
          <w:tcPr>
            <w:tcW w:w="2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Default="008A126C" w:rsidP="001A11D5">
            <w:pPr>
              <w:rPr>
                <w:rFonts w:cs="Calibri"/>
                <w:color w:val="000000"/>
                <w:sz w:val="20"/>
                <w:szCs w:val="20"/>
              </w:rPr>
            </w:pPr>
            <w:r>
              <w:rPr>
                <w:rFonts w:cs="Calibri"/>
                <w:b/>
                <w:bCs/>
                <w:color w:val="000000"/>
                <w:sz w:val="20"/>
                <w:szCs w:val="20"/>
              </w:rPr>
              <w:t>Adjustments to the Default Uplift Invoice Process</w:t>
            </w:r>
            <w:r>
              <w:rPr>
                <w:rFonts w:cs="Calibri"/>
                <w:color w:val="000000"/>
                <w:sz w:val="20"/>
                <w:szCs w:val="20"/>
              </w:rPr>
              <w:t>.  This Nodal Protocol Revision Request (NPRR) shortens the Default Uplift Invoice issuance timeline from 180 days to 90 days and allows ERCOT to use the best available Settlement data when calculating each Counter-Party’s share of the default uplift instead of True-Up Settlement data.  [Reliant]</w:t>
            </w:r>
          </w:p>
        </w:tc>
        <w:tc>
          <w:tcPr>
            <w:tcW w:w="4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Default="008A126C" w:rsidP="001A11D5">
            <w:pPr>
              <w:jc w:val="center"/>
              <w:rPr>
                <w:rFonts w:cs="Calibri"/>
                <w:color w:val="000000"/>
                <w:sz w:val="20"/>
                <w:szCs w:val="20"/>
              </w:rPr>
            </w:pPr>
            <w:r>
              <w:rPr>
                <w:rFonts w:cs="Calibri"/>
                <w:color w:val="000000"/>
                <w:sz w:val="20"/>
                <w:szCs w:val="20"/>
              </w:rPr>
              <w:t>Y</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Default="008A126C" w:rsidP="001A11D5">
            <w:pPr>
              <w:rPr>
                <w:sz w:val="20"/>
                <w:szCs w:val="20"/>
              </w:rPr>
            </w:pPr>
            <w:r>
              <w:rPr>
                <w:sz w:val="20"/>
                <w:szCs w:val="20"/>
              </w:rPr>
              <w:t>ERCOT supports approval of NPRR1021</w:t>
            </w:r>
          </w:p>
        </w:tc>
      </w:tr>
      <w:tr w:rsidR="008A126C" w:rsidTr="008A126C">
        <w:tc>
          <w:tcPr>
            <w:tcW w:w="5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Default="008A126C" w:rsidP="001A11D5">
            <w:pPr>
              <w:rPr>
                <w:rFonts w:cs="Calibri"/>
                <w:b/>
                <w:bCs/>
                <w:color w:val="000000"/>
                <w:sz w:val="20"/>
                <w:szCs w:val="20"/>
              </w:rPr>
            </w:pPr>
            <w:r>
              <w:rPr>
                <w:rFonts w:cs="Calibri"/>
                <w:b/>
                <w:bCs/>
                <w:color w:val="000000"/>
                <w:sz w:val="20"/>
                <w:szCs w:val="20"/>
              </w:rPr>
              <w:t>NPRR1022</w:t>
            </w:r>
          </w:p>
        </w:tc>
        <w:tc>
          <w:tcPr>
            <w:tcW w:w="2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Default="008A126C" w:rsidP="001A11D5">
            <w:pPr>
              <w:rPr>
                <w:rFonts w:cs="Calibri"/>
                <w:color w:val="000000"/>
                <w:sz w:val="20"/>
                <w:szCs w:val="20"/>
              </w:rPr>
            </w:pPr>
            <w:r>
              <w:rPr>
                <w:rFonts w:cs="Calibri"/>
                <w:b/>
                <w:bCs/>
                <w:color w:val="000000"/>
                <w:sz w:val="20"/>
                <w:szCs w:val="20"/>
              </w:rPr>
              <w:t>Submission of Banking Information.</w:t>
            </w:r>
            <w:r>
              <w:rPr>
                <w:rFonts w:cs="Calibri"/>
                <w:color w:val="000000"/>
                <w:sz w:val="20"/>
                <w:szCs w:val="20"/>
              </w:rPr>
              <w:t xml:space="preserve">  This Nodal Protocol Revision Request (NPRR) modifies the means in which QSEs and CRRAHs submit banking information changes to ERCOT. Specifically, this NPRR removes the ability to submit banking information by submitting a Notice of Change of Information (NCI) via email or facsimile, and creates a new form, Notice of Change of Banking Information (NCBI), that a QSE/CRRAH must execute and submit through the Market Information System (MIS) Certified Area (i.e., the portion of the MIS that is available only to a specific Market Participant).  [ERCOT]</w:t>
            </w:r>
          </w:p>
        </w:tc>
        <w:tc>
          <w:tcPr>
            <w:tcW w:w="4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Default="008A126C" w:rsidP="001A11D5">
            <w:pPr>
              <w:jc w:val="center"/>
              <w:rPr>
                <w:rFonts w:cs="Calibri"/>
                <w:color w:val="000000"/>
                <w:sz w:val="20"/>
                <w:szCs w:val="20"/>
              </w:rPr>
            </w:pPr>
            <w:r>
              <w:rPr>
                <w:rFonts w:cs="Calibri"/>
                <w:color w:val="000000"/>
                <w:sz w:val="20"/>
                <w:szCs w:val="20"/>
              </w:rPr>
              <w:t>Y</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Default="008A126C" w:rsidP="001A11D5">
            <w:pPr>
              <w:rPr>
                <w:sz w:val="20"/>
                <w:szCs w:val="20"/>
              </w:rPr>
            </w:pPr>
            <w:r>
              <w:rPr>
                <w:sz w:val="20"/>
                <w:szCs w:val="20"/>
              </w:rPr>
              <w:t>ERCOT supports approval of NPRR1022</w:t>
            </w:r>
          </w:p>
        </w:tc>
      </w:tr>
      <w:tr w:rsidR="008A126C" w:rsidTr="008A126C">
        <w:tc>
          <w:tcPr>
            <w:tcW w:w="5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Default="008A126C" w:rsidP="00566AFF">
            <w:pPr>
              <w:rPr>
                <w:rFonts w:cs="Calibri"/>
                <w:b/>
                <w:bCs/>
                <w:color w:val="000000"/>
                <w:sz w:val="20"/>
                <w:szCs w:val="20"/>
              </w:rPr>
            </w:pPr>
            <w:r>
              <w:rPr>
                <w:rFonts w:cs="Calibri"/>
                <w:b/>
                <w:bCs/>
                <w:color w:val="000000"/>
                <w:sz w:val="20"/>
                <w:szCs w:val="20"/>
              </w:rPr>
              <w:t>SCR809</w:t>
            </w:r>
          </w:p>
        </w:tc>
        <w:tc>
          <w:tcPr>
            <w:tcW w:w="2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Pr="00E950DB" w:rsidRDefault="008A126C" w:rsidP="00566AFF">
            <w:pPr>
              <w:rPr>
                <w:rFonts w:cs="Calibri"/>
                <w:b/>
                <w:bCs/>
                <w:color w:val="000000"/>
                <w:sz w:val="20"/>
                <w:szCs w:val="20"/>
              </w:rPr>
            </w:pPr>
            <w:r>
              <w:rPr>
                <w:rFonts w:cs="Calibri"/>
                <w:b/>
                <w:bCs/>
                <w:color w:val="000000"/>
                <w:sz w:val="20"/>
                <w:szCs w:val="20"/>
              </w:rPr>
              <w:t xml:space="preserve">Changes to External Telemetry Validations in Resource Limit Calculator.  </w:t>
            </w:r>
            <w:r>
              <w:rPr>
                <w:rFonts w:cs="Calibri"/>
                <w:color w:val="000000"/>
                <w:sz w:val="20"/>
                <w:szCs w:val="20"/>
              </w:rPr>
              <w:t>This System Change Request (SCR) implements updates to the validation rules imposed on external telemetry received by ERCOT and utilized in the Resource Limit Calculator.  [ERCOT]</w:t>
            </w:r>
          </w:p>
        </w:tc>
        <w:tc>
          <w:tcPr>
            <w:tcW w:w="4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Default="008A126C" w:rsidP="00566AFF">
            <w:pPr>
              <w:jc w:val="center"/>
              <w:rPr>
                <w:rFonts w:cs="Calibri"/>
                <w:color w:val="000000"/>
                <w:sz w:val="20"/>
                <w:szCs w:val="20"/>
              </w:rPr>
            </w:pPr>
            <w:r>
              <w:rPr>
                <w:rFonts w:cs="Calibri"/>
                <w:color w:val="000000"/>
                <w:sz w:val="20"/>
                <w:szCs w:val="20"/>
              </w:rPr>
              <w:t>Y</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26C" w:rsidRDefault="008A126C" w:rsidP="00566AFF">
            <w:pPr>
              <w:rPr>
                <w:sz w:val="20"/>
                <w:szCs w:val="20"/>
              </w:rPr>
            </w:pPr>
            <w:r>
              <w:rPr>
                <w:sz w:val="20"/>
                <w:szCs w:val="20"/>
              </w:rPr>
              <w:t>ERCOT supports approval of SCR809</w:t>
            </w:r>
          </w:p>
        </w:tc>
      </w:tr>
      <w:tr w:rsidR="00752463" w:rsidTr="00752463">
        <w:trPr>
          <w:trHeight w:val="467"/>
        </w:trPr>
        <w:tc>
          <w:tcPr>
            <w:tcW w:w="5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2463" w:rsidRPr="00752463" w:rsidRDefault="00752463" w:rsidP="00842387">
            <w:pPr>
              <w:rPr>
                <w:rFonts w:cs="Calibri"/>
                <w:b/>
                <w:bCs/>
                <w:color w:val="000000"/>
                <w:sz w:val="20"/>
                <w:szCs w:val="20"/>
              </w:rPr>
            </w:pPr>
            <w:r>
              <w:rPr>
                <w:rFonts w:cs="Calibri"/>
                <w:b/>
                <w:bCs/>
                <w:color w:val="000000"/>
                <w:sz w:val="20"/>
                <w:szCs w:val="20"/>
              </w:rPr>
              <w:t>SCR807</w:t>
            </w:r>
          </w:p>
        </w:tc>
        <w:tc>
          <w:tcPr>
            <w:tcW w:w="2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2463" w:rsidRPr="00752463" w:rsidRDefault="00752463" w:rsidP="00842387">
            <w:pPr>
              <w:rPr>
                <w:rFonts w:cs="Calibri"/>
                <w:b/>
                <w:bCs/>
                <w:color w:val="000000"/>
                <w:sz w:val="20"/>
                <w:szCs w:val="20"/>
              </w:rPr>
            </w:pPr>
            <w:r w:rsidRPr="00752463">
              <w:rPr>
                <w:rFonts w:cs="Calibri"/>
                <w:b/>
                <w:bCs/>
                <w:color w:val="000000"/>
                <w:sz w:val="20"/>
                <w:szCs w:val="20"/>
              </w:rPr>
              <w:t xml:space="preserve">Increase CRR Transaction Capability.  </w:t>
            </w:r>
            <w:r w:rsidRPr="00752463">
              <w:rPr>
                <w:rFonts w:cs="Calibri"/>
                <w:bCs/>
                <w:color w:val="000000"/>
                <w:sz w:val="20"/>
                <w:szCs w:val="20"/>
              </w:rPr>
              <w:t>This System Change Request (SCR) enables an increase to the total Congestion Revenue Right (CRR) transaction limit by 33% to 400,000 market transactions for CRR Account Holders during CRR Auctions.  [DC Energy]</w:t>
            </w:r>
          </w:p>
        </w:tc>
        <w:tc>
          <w:tcPr>
            <w:tcW w:w="4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2463" w:rsidRPr="00752463" w:rsidRDefault="00752463" w:rsidP="00842387">
            <w:pPr>
              <w:jc w:val="center"/>
              <w:rPr>
                <w:rFonts w:cs="Calibri"/>
                <w:color w:val="000000"/>
                <w:sz w:val="20"/>
                <w:szCs w:val="20"/>
              </w:rPr>
            </w:pPr>
            <w:r w:rsidRPr="00752463">
              <w:rPr>
                <w:rFonts w:cs="Calibri"/>
                <w:color w:val="000000"/>
                <w:sz w:val="20"/>
                <w:szCs w:val="20"/>
              </w:rPr>
              <w:t>N</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2463" w:rsidRDefault="00752463" w:rsidP="00842387">
            <w:pPr>
              <w:rPr>
                <w:sz w:val="20"/>
                <w:szCs w:val="20"/>
              </w:rPr>
            </w:pPr>
            <w:r>
              <w:rPr>
                <w:sz w:val="20"/>
                <w:szCs w:val="20"/>
              </w:rPr>
              <w:t>ERCOT supports approval of SCR807</w:t>
            </w:r>
          </w:p>
        </w:tc>
      </w:tr>
      <w:tr w:rsidR="00752463" w:rsidTr="00752463">
        <w:trPr>
          <w:trHeight w:val="467"/>
        </w:trPr>
        <w:tc>
          <w:tcPr>
            <w:tcW w:w="5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2463" w:rsidRPr="00752463" w:rsidRDefault="00752463" w:rsidP="00842387">
            <w:pPr>
              <w:rPr>
                <w:rFonts w:cs="Calibri"/>
                <w:b/>
                <w:bCs/>
                <w:color w:val="000000"/>
                <w:sz w:val="20"/>
                <w:szCs w:val="20"/>
              </w:rPr>
            </w:pPr>
            <w:r>
              <w:rPr>
                <w:rFonts w:cs="Calibri"/>
                <w:b/>
                <w:bCs/>
                <w:color w:val="000000"/>
                <w:sz w:val="20"/>
                <w:szCs w:val="20"/>
              </w:rPr>
              <w:t>NPRR903</w:t>
            </w:r>
          </w:p>
        </w:tc>
        <w:tc>
          <w:tcPr>
            <w:tcW w:w="2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2463" w:rsidRPr="00752463" w:rsidRDefault="00752463" w:rsidP="00842387">
            <w:pPr>
              <w:rPr>
                <w:rFonts w:cs="Calibri"/>
                <w:b/>
                <w:bCs/>
                <w:color w:val="000000"/>
                <w:sz w:val="20"/>
                <w:szCs w:val="20"/>
              </w:rPr>
            </w:pPr>
            <w:r w:rsidRPr="00752463">
              <w:rPr>
                <w:rFonts w:cs="Calibri"/>
                <w:b/>
                <w:bCs/>
                <w:color w:val="000000"/>
                <w:sz w:val="20"/>
                <w:szCs w:val="20"/>
              </w:rPr>
              <w:t xml:space="preserve">Day-Ahead Market Timing Deviations.  </w:t>
            </w:r>
            <w:r w:rsidRPr="00752463">
              <w:rPr>
                <w:rFonts w:cs="Calibri"/>
                <w:bCs/>
                <w:color w:val="000000"/>
                <w:sz w:val="20"/>
                <w:szCs w:val="20"/>
              </w:rPr>
              <w:t xml:space="preserve">This Nodal Protocol Revision Request (NPRR) clarifies the deviations that may occur due to Day-Ahead Market (DAM) delays, and adds language requiring ERCOT to issue a Market Notice for any act or omission that it takes to ensure that the DAM process completes by 1900.  If the 1000 DAM submission deadline or the 1330 DAM publishing deadline is delayed, ERCOT will enter an Advisory as soon as possible.  However, if additional actions and/or omissions are taken to ensure that DAM publishes for that Operating Day, ERCOT will issue a Market Notice no later than 1700 Central Prevailing Time (CPT) on the next Business Day.  ERCOT intends to take any reasonable action necessary to avoid aborting </w:t>
            </w:r>
            <w:r w:rsidRPr="00752463">
              <w:rPr>
                <w:rFonts w:cs="Calibri"/>
                <w:bCs/>
                <w:color w:val="000000"/>
                <w:sz w:val="20"/>
                <w:szCs w:val="20"/>
              </w:rPr>
              <w:lastRenderedPageBreak/>
              <w:t>DAM.  Further, this NPRR memorializes 1900 as the latest point in time that DAM can publish.  In the event that DAM must be aborted, this particular time was chosen to accommodate the time necessary to execute a Supplemental Ancillary Services Market (SASM) and/or Reliability Unit Commitment (RUC) prior to the start of the Operating Day.  [ERCOT]</w:t>
            </w:r>
          </w:p>
        </w:tc>
        <w:tc>
          <w:tcPr>
            <w:tcW w:w="4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2463" w:rsidRPr="00752463" w:rsidRDefault="00752463" w:rsidP="00842387">
            <w:pPr>
              <w:jc w:val="center"/>
              <w:rPr>
                <w:rFonts w:cs="Calibri"/>
                <w:color w:val="000000"/>
                <w:sz w:val="20"/>
                <w:szCs w:val="20"/>
              </w:rPr>
            </w:pPr>
            <w:r w:rsidRPr="00752463">
              <w:rPr>
                <w:rFonts w:cs="Calibri"/>
                <w:color w:val="000000"/>
                <w:sz w:val="20"/>
                <w:szCs w:val="20"/>
              </w:rPr>
              <w:lastRenderedPageBreak/>
              <w:t>N</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2463" w:rsidRDefault="00752463" w:rsidP="00842387">
            <w:pPr>
              <w:rPr>
                <w:sz w:val="20"/>
                <w:szCs w:val="20"/>
              </w:rPr>
            </w:pPr>
            <w:r>
              <w:rPr>
                <w:sz w:val="20"/>
                <w:szCs w:val="20"/>
              </w:rPr>
              <w:t>ERCOT supports approval of NPRR903</w:t>
            </w:r>
          </w:p>
        </w:tc>
      </w:tr>
      <w:tr w:rsidR="00752463" w:rsidTr="00752463">
        <w:trPr>
          <w:trHeight w:val="467"/>
        </w:trPr>
        <w:tc>
          <w:tcPr>
            <w:tcW w:w="5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2463" w:rsidRPr="00752463" w:rsidRDefault="00752463" w:rsidP="00842387">
            <w:pPr>
              <w:rPr>
                <w:rFonts w:cs="Calibri"/>
                <w:b/>
                <w:bCs/>
                <w:color w:val="000000"/>
                <w:sz w:val="20"/>
                <w:szCs w:val="20"/>
              </w:rPr>
            </w:pPr>
            <w:r>
              <w:rPr>
                <w:rFonts w:cs="Calibri"/>
                <w:b/>
                <w:bCs/>
                <w:color w:val="000000"/>
                <w:sz w:val="20"/>
                <w:szCs w:val="20"/>
              </w:rPr>
              <w:t>NPRR973</w:t>
            </w:r>
          </w:p>
        </w:tc>
        <w:tc>
          <w:tcPr>
            <w:tcW w:w="2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2463" w:rsidRPr="00752463" w:rsidRDefault="00752463" w:rsidP="00842387">
            <w:pPr>
              <w:rPr>
                <w:rFonts w:cs="Calibri"/>
                <w:b/>
                <w:bCs/>
                <w:color w:val="000000"/>
                <w:sz w:val="20"/>
                <w:szCs w:val="20"/>
              </w:rPr>
            </w:pPr>
            <w:r w:rsidRPr="00752463">
              <w:rPr>
                <w:rFonts w:cs="Calibri"/>
                <w:b/>
                <w:bCs/>
                <w:color w:val="000000"/>
                <w:sz w:val="20"/>
                <w:szCs w:val="20"/>
              </w:rPr>
              <w:t xml:space="preserve">Add Definitions for Generator Step-Up and Main Power Transformer.  </w:t>
            </w:r>
            <w:r w:rsidRPr="00752463">
              <w:rPr>
                <w:rFonts w:cs="Calibri"/>
                <w:bCs/>
                <w:color w:val="000000"/>
                <w:sz w:val="20"/>
                <w:szCs w:val="20"/>
              </w:rPr>
              <w:t>This Nodal Protocol Revision Request (NPRR) adds definitions for Generator Step-Up (GSU) and Main Power Transformer (MPT) to the Nodal Protocols and clarifies their uses.  [ERCOT]</w:t>
            </w:r>
          </w:p>
        </w:tc>
        <w:tc>
          <w:tcPr>
            <w:tcW w:w="4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2463" w:rsidRPr="00752463" w:rsidRDefault="00752463" w:rsidP="00842387">
            <w:pPr>
              <w:jc w:val="center"/>
              <w:rPr>
                <w:rFonts w:cs="Calibri"/>
                <w:color w:val="000000"/>
                <w:sz w:val="20"/>
                <w:szCs w:val="20"/>
              </w:rPr>
            </w:pPr>
            <w:r w:rsidRPr="00752463">
              <w:rPr>
                <w:rFonts w:cs="Calibri"/>
                <w:color w:val="000000"/>
                <w:sz w:val="20"/>
                <w:szCs w:val="20"/>
              </w:rPr>
              <w:t>N</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2463" w:rsidRDefault="00752463" w:rsidP="00842387">
            <w:pPr>
              <w:rPr>
                <w:sz w:val="20"/>
                <w:szCs w:val="20"/>
              </w:rPr>
            </w:pPr>
            <w:r>
              <w:rPr>
                <w:sz w:val="20"/>
                <w:szCs w:val="20"/>
              </w:rPr>
              <w:t>ERCOT supports approval of NPRR973</w:t>
            </w:r>
          </w:p>
        </w:tc>
      </w:tr>
      <w:tr w:rsidR="00752463" w:rsidTr="00752463">
        <w:trPr>
          <w:trHeight w:val="467"/>
        </w:trPr>
        <w:tc>
          <w:tcPr>
            <w:tcW w:w="5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2463" w:rsidRPr="00752463" w:rsidRDefault="00752463" w:rsidP="00842387">
            <w:pPr>
              <w:rPr>
                <w:rFonts w:cs="Calibri"/>
                <w:b/>
                <w:bCs/>
                <w:color w:val="000000"/>
                <w:sz w:val="20"/>
                <w:szCs w:val="20"/>
              </w:rPr>
            </w:pPr>
            <w:r>
              <w:rPr>
                <w:rFonts w:cs="Calibri"/>
                <w:b/>
                <w:bCs/>
                <w:color w:val="000000"/>
                <w:sz w:val="20"/>
                <w:szCs w:val="20"/>
              </w:rPr>
              <w:t>NPRR990</w:t>
            </w:r>
          </w:p>
        </w:tc>
        <w:tc>
          <w:tcPr>
            <w:tcW w:w="2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2463" w:rsidRPr="00752463" w:rsidRDefault="00752463" w:rsidP="00842387">
            <w:pPr>
              <w:rPr>
                <w:rFonts w:cs="Calibri"/>
                <w:b/>
                <w:bCs/>
                <w:color w:val="000000"/>
                <w:sz w:val="20"/>
                <w:szCs w:val="20"/>
              </w:rPr>
            </w:pPr>
            <w:r w:rsidRPr="00752463">
              <w:rPr>
                <w:rFonts w:cs="Calibri"/>
                <w:b/>
                <w:bCs/>
                <w:color w:val="000000"/>
                <w:sz w:val="20"/>
                <w:szCs w:val="20"/>
              </w:rPr>
              <w:t xml:space="preserve">Relocation of Combined Cycle Train to Resource Attribute.  </w:t>
            </w:r>
            <w:r w:rsidRPr="00752463">
              <w:rPr>
                <w:rFonts w:cs="Calibri"/>
                <w:bCs/>
                <w:color w:val="000000"/>
                <w:sz w:val="20"/>
                <w:szCs w:val="20"/>
              </w:rPr>
              <w:t>This Nodal Protocol Revision Request (NPRR) deletes the remaining grey-box for NPRR889, RTF-1 Replace Non-Modeled Generator with Settlement Only Generator, and relocates the defined term Combined Cycle Train from underneath Resource to Resource Attribute.  [ERCOT]</w:t>
            </w:r>
          </w:p>
        </w:tc>
        <w:tc>
          <w:tcPr>
            <w:tcW w:w="4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2463" w:rsidRPr="00752463" w:rsidRDefault="00752463" w:rsidP="00842387">
            <w:pPr>
              <w:jc w:val="center"/>
              <w:rPr>
                <w:rFonts w:cs="Calibri"/>
                <w:color w:val="000000"/>
                <w:sz w:val="20"/>
                <w:szCs w:val="20"/>
              </w:rPr>
            </w:pPr>
            <w:r w:rsidRPr="00752463">
              <w:rPr>
                <w:rFonts w:cs="Calibri"/>
                <w:color w:val="000000"/>
                <w:sz w:val="20"/>
                <w:szCs w:val="20"/>
              </w:rPr>
              <w:t>N</w:t>
            </w:r>
          </w:p>
        </w:tc>
        <w:tc>
          <w:tcPr>
            <w:tcW w:w="1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52463" w:rsidRDefault="00752463" w:rsidP="00842387">
            <w:pPr>
              <w:rPr>
                <w:sz w:val="20"/>
                <w:szCs w:val="20"/>
              </w:rPr>
            </w:pPr>
            <w:r>
              <w:rPr>
                <w:sz w:val="20"/>
                <w:szCs w:val="20"/>
              </w:rPr>
              <w:t>ERCOT supports approval of NPRR990</w:t>
            </w:r>
          </w:p>
        </w:tc>
      </w:tr>
    </w:tbl>
    <w:p w:rsidR="00E60BF8" w:rsidRPr="00C174FF" w:rsidRDefault="00E60BF8" w:rsidP="00C174FF">
      <w:pPr>
        <w:tabs>
          <w:tab w:val="left" w:pos="6900"/>
        </w:tabs>
      </w:pPr>
    </w:p>
    <w:sectPr w:rsidR="00E60BF8" w:rsidRPr="00C174FF" w:rsidSect="00985FF4">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5B3" w:rsidRDefault="00CC25B3" w:rsidP="00985FF4">
      <w:r>
        <w:separator/>
      </w:r>
    </w:p>
  </w:endnote>
  <w:endnote w:type="continuationSeparator" w:id="0">
    <w:p w:rsidR="00CC25B3" w:rsidRDefault="00CC25B3" w:rsidP="00985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5B3" w:rsidRDefault="00CC25B3" w:rsidP="00985FF4">
      <w:r>
        <w:separator/>
      </w:r>
    </w:p>
  </w:footnote>
  <w:footnote w:type="continuationSeparator" w:id="0">
    <w:p w:rsidR="00CC25B3" w:rsidRDefault="00CC25B3" w:rsidP="00985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FF4" w:rsidRDefault="00985FF4" w:rsidP="00985FF4">
    <w:pPr>
      <w:pStyle w:val="Header"/>
      <w:jc w:val="center"/>
    </w:pPr>
    <w:r>
      <w:t xml:space="preserve">ERCOT Opinions for the </w:t>
    </w:r>
    <w:r w:rsidR="00566AFF">
      <w:t>0</w:t>
    </w:r>
    <w:r w:rsidR="00F73D35">
      <w:t>5/27</w:t>
    </w:r>
    <w:r w:rsidR="00124255">
      <w:t>/20</w:t>
    </w:r>
    <w:r w:rsidR="00566AFF">
      <w:t xml:space="preserve"> TAC Information Session </w:t>
    </w:r>
  </w:p>
  <w:p w:rsidR="00985FF4" w:rsidRDefault="00985FF4" w:rsidP="00985FF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FF4"/>
    <w:rsid w:val="00101E68"/>
    <w:rsid w:val="00124255"/>
    <w:rsid w:val="00131AD8"/>
    <w:rsid w:val="001A11D5"/>
    <w:rsid w:val="001F4319"/>
    <w:rsid w:val="00231C14"/>
    <w:rsid w:val="002378E5"/>
    <w:rsid w:val="002F2C7B"/>
    <w:rsid w:val="002F63B2"/>
    <w:rsid w:val="00320D47"/>
    <w:rsid w:val="003504F7"/>
    <w:rsid w:val="003F25EE"/>
    <w:rsid w:val="0044443B"/>
    <w:rsid w:val="004447B8"/>
    <w:rsid w:val="004E1095"/>
    <w:rsid w:val="00502C7D"/>
    <w:rsid w:val="00566AFF"/>
    <w:rsid w:val="005A278D"/>
    <w:rsid w:val="005E147E"/>
    <w:rsid w:val="006256A5"/>
    <w:rsid w:val="00672B98"/>
    <w:rsid w:val="006F1E45"/>
    <w:rsid w:val="00715A89"/>
    <w:rsid w:val="00752463"/>
    <w:rsid w:val="00805A86"/>
    <w:rsid w:val="00825E43"/>
    <w:rsid w:val="008874B6"/>
    <w:rsid w:val="008A126C"/>
    <w:rsid w:val="008F1FF2"/>
    <w:rsid w:val="0096024F"/>
    <w:rsid w:val="00981A1E"/>
    <w:rsid w:val="00985FF4"/>
    <w:rsid w:val="00993006"/>
    <w:rsid w:val="009B27B4"/>
    <w:rsid w:val="009B474D"/>
    <w:rsid w:val="009C5427"/>
    <w:rsid w:val="00A1551F"/>
    <w:rsid w:val="00A94986"/>
    <w:rsid w:val="00AC0725"/>
    <w:rsid w:val="00AD50EB"/>
    <w:rsid w:val="00B87C79"/>
    <w:rsid w:val="00BD6400"/>
    <w:rsid w:val="00BE7782"/>
    <w:rsid w:val="00C174FF"/>
    <w:rsid w:val="00C94AFF"/>
    <w:rsid w:val="00CC25B3"/>
    <w:rsid w:val="00D807DF"/>
    <w:rsid w:val="00E60BF8"/>
    <w:rsid w:val="00E666FF"/>
    <w:rsid w:val="00E950DB"/>
    <w:rsid w:val="00F73D35"/>
    <w:rsid w:val="00F9149F"/>
  </w:rsids>
  <m:mathPr>
    <m:mathFont m:val="Cambria Math"/>
    <m:brkBin m:val="before"/>
    <m:brkBinSub m:val="--"/>
    <m:smallFrac m:val="0"/>
    <m:dispDef/>
    <m:lMargin m:val="0"/>
    <m:rMargin m:val="0"/>
    <m:defJc m:val="centerGroup"/>
    <m:wrapIndent m:val="1440"/>
    <m:intLim m:val="undOvr"/>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B0B30-7FFB-4CFB-914C-C7F40986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FF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FF4"/>
    <w:pPr>
      <w:tabs>
        <w:tab w:val="center" w:pos="4680"/>
        <w:tab w:val="right" w:pos="9360"/>
      </w:tabs>
    </w:pPr>
  </w:style>
  <w:style w:type="character" w:customStyle="1" w:styleId="HeaderChar">
    <w:name w:val="Header Char"/>
    <w:basedOn w:val="DefaultParagraphFont"/>
    <w:link w:val="Header"/>
    <w:uiPriority w:val="99"/>
    <w:rsid w:val="00985FF4"/>
    <w:rPr>
      <w:rFonts w:ascii="Calibri" w:hAnsi="Calibri" w:cs="Times New Roman"/>
    </w:rPr>
  </w:style>
  <w:style w:type="paragraph" w:styleId="Footer">
    <w:name w:val="footer"/>
    <w:basedOn w:val="Normal"/>
    <w:link w:val="FooterChar"/>
    <w:uiPriority w:val="99"/>
    <w:unhideWhenUsed/>
    <w:rsid w:val="00985FF4"/>
    <w:pPr>
      <w:tabs>
        <w:tab w:val="center" w:pos="4680"/>
        <w:tab w:val="right" w:pos="9360"/>
      </w:tabs>
    </w:pPr>
  </w:style>
  <w:style w:type="character" w:customStyle="1" w:styleId="FooterChar">
    <w:name w:val="Footer Char"/>
    <w:basedOn w:val="DefaultParagraphFont"/>
    <w:link w:val="Footer"/>
    <w:uiPriority w:val="99"/>
    <w:rsid w:val="00985FF4"/>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2275">
      <w:bodyDiv w:val="1"/>
      <w:marLeft w:val="0"/>
      <w:marRight w:val="0"/>
      <w:marTop w:val="0"/>
      <w:marBottom w:val="0"/>
      <w:divBdr>
        <w:top w:val="none" w:sz="0" w:space="0" w:color="auto"/>
        <w:left w:val="none" w:sz="0" w:space="0" w:color="auto"/>
        <w:bottom w:val="none" w:sz="0" w:space="0" w:color="auto"/>
        <w:right w:val="none" w:sz="0" w:space="0" w:color="auto"/>
      </w:divBdr>
    </w:div>
    <w:div w:id="82455255">
      <w:bodyDiv w:val="1"/>
      <w:marLeft w:val="0"/>
      <w:marRight w:val="0"/>
      <w:marTop w:val="0"/>
      <w:marBottom w:val="0"/>
      <w:divBdr>
        <w:top w:val="none" w:sz="0" w:space="0" w:color="auto"/>
        <w:left w:val="none" w:sz="0" w:space="0" w:color="auto"/>
        <w:bottom w:val="none" w:sz="0" w:space="0" w:color="auto"/>
        <w:right w:val="none" w:sz="0" w:space="0" w:color="auto"/>
      </w:divBdr>
    </w:div>
    <w:div w:id="252594840">
      <w:bodyDiv w:val="1"/>
      <w:marLeft w:val="0"/>
      <w:marRight w:val="0"/>
      <w:marTop w:val="0"/>
      <w:marBottom w:val="0"/>
      <w:divBdr>
        <w:top w:val="none" w:sz="0" w:space="0" w:color="auto"/>
        <w:left w:val="none" w:sz="0" w:space="0" w:color="auto"/>
        <w:bottom w:val="none" w:sz="0" w:space="0" w:color="auto"/>
        <w:right w:val="none" w:sz="0" w:space="0" w:color="auto"/>
      </w:divBdr>
    </w:div>
    <w:div w:id="277222086">
      <w:bodyDiv w:val="1"/>
      <w:marLeft w:val="0"/>
      <w:marRight w:val="0"/>
      <w:marTop w:val="0"/>
      <w:marBottom w:val="0"/>
      <w:divBdr>
        <w:top w:val="none" w:sz="0" w:space="0" w:color="auto"/>
        <w:left w:val="none" w:sz="0" w:space="0" w:color="auto"/>
        <w:bottom w:val="none" w:sz="0" w:space="0" w:color="auto"/>
        <w:right w:val="none" w:sz="0" w:space="0" w:color="auto"/>
      </w:divBdr>
    </w:div>
    <w:div w:id="320355680">
      <w:bodyDiv w:val="1"/>
      <w:marLeft w:val="0"/>
      <w:marRight w:val="0"/>
      <w:marTop w:val="0"/>
      <w:marBottom w:val="0"/>
      <w:divBdr>
        <w:top w:val="none" w:sz="0" w:space="0" w:color="auto"/>
        <w:left w:val="none" w:sz="0" w:space="0" w:color="auto"/>
        <w:bottom w:val="none" w:sz="0" w:space="0" w:color="auto"/>
        <w:right w:val="none" w:sz="0" w:space="0" w:color="auto"/>
      </w:divBdr>
    </w:div>
    <w:div w:id="374476658">
      <w:bodyDiv w:val="1"/>
      <w:marLeft w:val="0"/>
      <w:marRight w:val="0"/>
      <w:marTop w:val="0"/>
      <w:marBottom w:val="0"/>
      <w:divBdr>
        <w:top w:val="none" w:sz="0" w:space="0" w:color="auto"/>
        <w:left w:val="none" w:sz="0" w:space="0" w:color="auto"/>
        <w:bottom w:val="none" w:sz="0" w:space="0" w:color="auto"/>
        <w:right w:val="none" w:sz="0" w:space="0" w:color="auto"/>
      </w:divBdr>
    </w:div>
    <w:div w:id="634944373">
      <w:bodyDiv w:val="1"/>
      <w:marLeft w:val="0"/>
      <w:marRight w:val="0"/>
      <w:marTop w:val="0"/>
      <w:marBottom w:val="0"/>
      <w:divBdr>
        <w:top w:val="none" w:sz="0" w:space="0" w:color="auto"/>
        <w:left w:val="none" w:sz="0" w:space="0" w:color="auto"/>
        <w:bottom w:val="none" w:sz="0" w:space="0" w:color="auto"/>
        <w:right w:val="none" w:sz="0" w:space="0" w:color="auto"/>
      </w:divBdr>
    </w:div>
    <w:div w:id="775951168">
      <w:bodyDiv w:val="1"/>
      <w:marLeft w:val="0"/>
      <w:marRight w:val="0"/>
      <w:marTop w:val="0"/>
      <w:marBottom w:val="0"/>
      <w:divBdr>
        <w:top w:val="none" w:sz="0" w:space="0" w:color="auto"/>
        <w:left w:val="none" w:sz="0" w:space="0" w:color="auto"/>
        <w:bottom w:val="none" w:sz="0" w:space="0" w:color="auto"/>
        <w:right w:val="none" w:sz="0" w:space="0" w:color="auto"/>
      </w:divBdr>
    </w:div>
    <w:div w:id="799686778">
      <w:bodyDiv w:val="1"/>
      <w:marLeft w:val="0"/>
      <w:marRight w:val="0"/>
      <w:marTop w:val="0"/>
      <w:marBottom w:val="0"/>
      <w:divBdr>
        <w:top w:val="none" w:sz="0" w:space="0" w:color="auto"/>
        <w:left w:val="none" w:sz="0" w:space="0" w:color="auto"/>
        <w:bottom w:val="none" w:sz="0" w:space="0" w:color="auto"/>
        <w:right w:val="none" w:sz="0" w:space="0" w:color="auto"/>
      </w:divBdr>
    </w:div>
    <w:div w:id="866137790">
      <w:bodyDiv w:val="1"/>
      <w:marLeft w:val="0"/>
      <w:marRight w:val="0"/>
      <w:marTop w:val="0"/>
      <w:marBottom w:val="0"/>
      <w:divBdr>
        <w:top w:val="none" w:sz="0" w:space="0" w:color="auto"/>
        <w:left w:val="none" w:sz="0" w:space="0" w:color="auto"/>
        <w:bottom w:val="none" w:sz="0" w:space="0" w:color="auto"/>
        <w:right w:val="none" w:sz="0" w:space="0" w:color="auto"/>
      </w:divBdr>
    </w:div>
    <w:div w:id="881475590">
      <w:bodyDiv w:val="1"/>
      <w:marLeft w:val="0"/>
      <w:marRight w:val="0"/>
      <w:marTop w:val="0"/>
      <w:marBottom w:val="0"/>
      <w:divBdr>
        <w:top w:val="none" w:sz="0" w:space="0" w:color="auto"/>
        <w:left w:val="none" w:sz="0" w:space="0" w:color="auto"/>
        <w:bottom w:val="none" w:sz="0" w:space="0" w:color="auto"/>
        <w:right w:val="none" w:sz="0" w:space="0" w:color="auto"/>
      </w:divBdr>
    </w:div>
    <w:div w:id="897403659">
      <w:bodyDiv w:val="1"/>
      <w:marLeft w:val="0"/>
      <w:marRight w:val="0"/>
      <w:marTop w:val="0"/>
      <w:marBottom w:val="0"/>
      <w:divBdr>
        <w:top w:val="none" w:sz="0" w:space="0" w:color="auto"/>
        <w:left w:val="none" w:sz="0" w:space="0" w:color="auto"/>
        <w:bottom w:val="none" w:sz="0" w:space="0" w:color="auto"/>
        <w:right w:val="none" w:sz="0" w:space="0" w:color="auto"/>
      </w:divBdr>
    </w:div>
    <w:div w:id="1044254074">
      <w:bodyDiv w:val="1"/>
      <w:marLeft w:val="0"/>
      <w:marRight w:val="0"/>
      <w:marTop w:val="0"/>
      <w:marBottom w:val="0"/>
      <w:divBdr>
        <w:top w:val="none" w:sz="0" w:space="0" w:color="auto"/>
        <w:left w:val="none" w:sz="0" w:space="0" w:color="auto"/>
        <w:bottom w:val="none" w:sz="0" w:space="0" w:color="auto"/>
        <w:right w:val="none" w:sz="0" w:space="0" w:color="auto"/>
      </w:divBdr>
    </w:div>
    <w:div w:id="1076709242">
      <w:bodyDiv w:val="1"/>
      <w:marLeft w:val="0"/>
      <w:marRight w:val="0"/>
      <w:marTop w:val="0"/>
      <w:marBottom w:val="0"/>
      <w:divBdr>
        <w:top w:val="none" w:sz="0" w:space="0" w:color="auto"/>
        <w:left w:val="none" w:sz="0" w:space="0" w:color="auto"/>
        <w:bottom w:val="none" w:sz="0" w:space="0" w:color="auto"/>
        <w:right w:val="none" w:sz="0" w:space="0" w:color="auto"/>
      </w:divBdr>
    </w:div>
    <w:div w:id="1356153769">
      <w:bodyDiv w:val="1"/>
      <w:marLeft w:val="0"/>
      <w:marRight w:val="0"/>
      <w:marTop w:val="0"/>
      <w:marBottom w:val="0"/>
      <w:divBdr>
        <w:top w:val="none" w:sz="0" w:space="0" w:color="auto"/>
        <w:left w:val="none" w:sz="0" w:space="0" w:color="auto"/>
        <w:bottom w:val="none" w:sz="0" w:space="0" w:color="auto"/>
        <w:right w:val="none" w:sz="0" w:space="0" w:color="auto"/>
      </w:divBdr>
    </w:div>
    <w:div w:id="1400716356">
      <w:bodyDiv w:val="1"/>
      <w:marLeft w:val="0"/>
      <w:marRight w:val="0"/>
      <w:marTop w:val="0"/>
      <w:marBottom w:val="0"/>
      <w:divBdr>
        <w:top w:val="none" w:sz="0" w:space="0" w:color="auto"/>
        <w:left w:val="none" w:sz="0" w:space="0" w:color="auto"/>
        <w:bottom w:val="none" w:sz="0" w:space="0" w:color="auto"/>
        <w:right w:val="none" w:sz="0" w:space="0" w:color="auto"/>
      </w:divBdr>
    </w:div>
    <w:div w:id="1563639872">
      <w:bodyDiv w:val="1"/>
      <w:marLeft w:val="0"/>
      <w:marRight w:val="0"/>
      <w:marTop w:val="0"/>
      <w:marBottom w:val="0"/>
      <w:divBdr>
        <w:top w:val="none" w:sz="0" w:space="0" w:color="auto"/>
        <w:left w:val="none" w:sz="0" w:space="0" w:color="auto"/>
        <w:bottom w:val="none" w:sz="0" w:space="0" w:color="auto"/>
        <w:right w:val="none" w:sz="0" w:space="0" w:color="auto"/>
      </w:divBdr>
    </w:div>
    <w:div w:id="1671177245">
      <w:bodyDiv w:val="1"/>
      <w:marLeft w:val="0"/>
      <w:marRight w:val="0"/>
      <w:marTop w:val="0"/>
      <w:marBottom w:val="0"/>
      <w:divBdr>
        <w:top w:val="none" w:sz="0" w:space="0" w:color="auto"/>
        <w:left w:val="none" w:sz="0" w:space="0" w:color="auto"/>
        <w:bottom w:val="none" w:sz="0" w:space="0" w:color="auto"/>
        <w:right w:val="none" w:sz="0" w:space="0" w:color="auto"/>
      </w:divBdr>
    </w:div>
    <w:div w:id="1755206703">
      <w:bodyDiv w:val="1"/>
      <w:marLeft w:val="0"/>
      <w:marRight w:val="0"/>
      <w:marTop w:val="0"/>
      <w:marBottom w:val="0"/>
      <w:divBdr>
        <w:top w:val="none" w:sz="0" w:space="0" w:color="auto"/>
        <w:left w:val="none" w:sz="0" w:space="0" w:color="auto"/>
        <w:bottom w:val="none" w:sz="0" w:space="0" w:color="auto"/>
        <w:right w:val="none" w:sz="0" w:space="0" w:color="auto"/>
      </w:divBdr>
    </w:div>
    <w:div w:id="1766001281">
      <w:bodyDiv w:val="1"/>
      <w:marLeft w:val="0"/>
      <w:marRight w:val="0"/>
      <w:marTop w:val="0"/>
      <w:marBottom w:val="0"/>
      <w:divBdr>
        <w:top w:val="none" w:sz="0" w:space="0" w:color="auto"/>
        <w:left w:val="none" w:sz="0" w:space="0" w:color="auto"/>
        <w:bottom w:val="none" w:sz="0" w:space="0" w:color="auto"/>
        <w:right w:val="none" w:sz="0" w:space="0" w:color="auto"/>
      </w:divBdr>
    </w:div>
    <w:div w:id="1792288186">
      <w:bodyDiv w:val="1"/>
      <w:marLeft w:val="0"/>
      <w:marRight w:val="0"/>
      <w:marTop w:val="0"/>
      <w:marBottom w:val="0"/>
      <w:divBdr>
        <w:top w:val="none" w:sz="0" w:space="0" w:color="auto"/>
        <w:left w:val="none" w:sz="0" w:space="0" w:color="auto"/>
        <w:bottom w:val="none" w:sz="0" w:space="0" w:color="auto"/>
        <w:right w:val="none" w:sz="0" w:space="0" w:color="auto"/>
      </w:divBdr>
    </w:div>
    <w:div w:id="1929121916">
      <w:bodyDiv w:val="1"/>
      <w:marLeft w:val="0"/>
      <w:marRight w:val="0"/>
      <w:marTop w:val="0"/>
      <w:marBottom w:val="0"/>
      <w:divBdr>
        <w:top w:val="none" w:sz="0" w:space="0" w:color="auto"/>
        <w:left w:val="none" w:sz="0" w:space="0" w:color="auto"/>
        <w:bottom w:val="none" w:sz="0" w:space="0" w:color="auto"/>
        <w:right w:val="none" w:sz="0" w:space="0" w:color="auto"/>
      </w:divBdr>
    </w:div>
    <w:div w:id="1937984053">
      <w:bodyDiv w:val="1"/>
      <w:marLeft w:val="0"/>
      <w:marRight w:val="0"/>
      <w:marTop w:val="0"/>
      <w:marBottom w:val="0"/>
      <w:divBdr>
        <w:top w:val="none" w:sz="0" w:space="0" w:color="auto"/>
        <w:left w:val="none" w:sz="0" w:space="0" w:color="auto"/>
        <w:bottom w:val="none" w:sz="0" w:space="0" w:color="auto"/>
        <w:right w:val="none" w:sz="0" w:space="0" w:color="auto"/>
      </w:divBdr>
    </w:div>
    <w:div w:id="1987589995">
      <w:bodyDiv w:val="1"/>
      <w:marLeft w:val="0"/>
      <w:marRight w:val="0"/>
      <w:marTop w:val="0"/>
      <w:marBottom w:val="0"/>
      <w:divBdr>
        <w:top w:val="none" w:sz="0" w:space="0" w:color="auto"/>
        <w:left w:val="none" w:sz="0" w:space="0" w:color="auto"/>
        <w:bottom w:val="none" w:sz="0" w:space="0" w:color="auto"/>
        <w:right w:val="none" w:sz="0" w:space="0" w:color="auto"/>
      </w:divBdr>
    </w:div>
    <w:div w:id="2014186863">
      <w:bodyDiv w:val="1"/>
      <w:marLeft w:val="0"/>
      <w:marRight w:val="0"/>
      <w:marTop w:val="0"/>
      <w:marBottom w:val="0"/>
      <w:divBdr>
        <w:top w:val="none" w:sz="0" w:space="0" w:color="auto"/>
        <w:left w:val="none" w:sz="0" w:space="0" w:color="auto"/>
        <w:bottom w:val="none" w:sz="0" w:space="0" w:color="auto"/>
        <w:right w:val="none" w:sz="0" w:space="0" w:color="auto"/>
      </w:divBdr>
    </w:div>
    <w:div w:id="2054500067">
      <w:bodyDiv w:val="1"/>
      <w:marLeft w:val="0"/>
      <w:marRight w:val="0"/>
      <w:marTop w:val="0"/>
      <w:marBottom w:val="0"/>
      <w:divBdr>
        <w:top w:val="none" w:sz="0" w:space="0" w:color="auto"/>
        <w:left w:val="none" w:sz="0" w:space="0" w:color="auto"/>
        <w:bottom w:val="none" w:sz="0" w:space="0" w:color="auto"/>
        <w:right w:val="none" w:sz="0" w:space="0" w:color="auto"/>
      </w:divBdr>
    </w:div>
    <w:div w:id="2059626889">
      <w:bodyDiv w:val="1"/>
      <w:marLeft w:val="0"/>
      <w:marRight w:val="0"/>
      <w:marTop w:val="0"/>
      <w:marBottom w:val="0"/>
      <w:divBdr>
        <w:top w:val="none" w:sz="0" w:space="0" w:color="auto"/>
        <w:left w:val="none" w:sz="0" w:space="0" w:color="auto"/>
        <w:bottom w:val="none" w:sz="0" w:space="0" w:color="auto"/>
        <w:right w:val="none" w:sz="0" w:space="0" w:color="auto"/>
      </w:divBdr>
    </w:div>
    <w:div w:id="207188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7458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Luminant 01XX19</dc:creator>
  <cp:keywords/>
  <dc:description/>
  <cp:lastModifiedBy>A. Boren</cp:lastModifiedBy>
  <cp:revision>2</cp:revision>
  <dcterms:created xsi:type="dcterms:W3CDTF">2020-05-26T15:16:00Z</dcterms:created>
  <dcterms:modified xsi:type="dcterms:W3CDTF">2020-05-26T15:16:00Z</dcterms:modified>
</cp:coreProperties>
</file>