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44" w:rsidRPr="0012253A" w:rsidRDefault="0012253A">
      <w:pPr>
        <w:rPr>
          <w:rFonts w:ascii="Arial" w:hAnsi="Arial" w:cs="Arial"/>
          <w:b/>
          <w:sz w:val="36"/>
          <w:szCs w:val="36"/>
        </w:rPr>
      </w:pPr>
      <w:r w:rsidRPr="0012253A">
        <w:rPr>
          <w:rFonts w:ascii="Arial" w:hAnsi="Arial" w:cs="Arial"/>
          <w:b/>
          <w:sz w:val="36"/>
          <w:szCs w:val="36"/>
        </w:rPr>
        <w:t>ERCOT Market Information System (MIS) Sandbox Release Notes</w:t>
      </w:r>
    </w:p>
    <w:p w:rsidR="0012253A" w:rsidRPr="0012253A" w:rsidRDefault="004460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Release Date: May 2</w:t>
      </w:r>
      <w:r w:rsidR="0012253A" w:rsidRPr="0012253A">
        <w:rPr>
          <w:rFonts w:ascii="Arial" w:hAnsi="Arial" w:cs="Arial"/>
          <w:b/>
          <w:sz w:val="24"/>
          <w:szCs w:val="24"/>
        </w:rPr>
        <w:t>8, 2020</w:t>
      </w:r>
    </w:p>
    <w:p w:rsidR="003A227C" w:rsidRPr="003A227C" w:rsidRDefault="003A227C">
      <w:pPr>
        <w:rPr>
          <w:rFonts w:ascii="Arial" w:hAnsi="Arial" w:cs="Arial"/>
          <w:sz w:val="24"/>
          <w:szCs w:val="24"/>
        </w:rPr>
      </w:pPr>
      <w:r w:rsidRPr="003A227C">
        <w:rPr>
          <w:rFonts w:ascii="Arial" w:hAnsi="Arial" w:cs="Arial"/>
          <w:sz w:val="24"/>
          <w:szCs w:val="24"/>
        </w:rPr>
        <w:t xml:space="preserve">ERCOT </w:t>
      </w:r>
      <w:r w:rsidR="004460EB">
        <w:rPr>
          <w:rFonts w:ascii="Arial" w:hAnsi="Arial" w:cs="Arial"/>
          <w:sz w:val="24"/>
          <w:szCs w:val="24"/>
        </w:rPr>
        <w:t xml:space="preserve">will be releasing </w:t>
      </w:r>
      <w:r w:rsidRPr="003A227C">
        <w:rPr>
          <w:rFonts w:ascii="Arial" w:hAnsi="Arial" w:cs="Arial"/>
          <w:sz w:val="24"/>
          <w:szCs w:val="24"/>
        </w:rPr>
        <w:t>a new sandbox version of the Market Information System (MIS)</w:t>
      </w:r>
      <w:r w:rsidR="004460EB">
        <w:rPr>
          <w:rFonts w:ascii="Arial" w:hAnsi="Arial" w:cs="Arial"/>
          <w:sz w:val="24"/>
          <w:szCs w:val="24"/>
        </w:rPr>
        <w:t xml:space="preserve"> on Thursday, May 28, 2020</w:t>
      </w:r>
      <w:r w:rsidRPr="003A227C">
        <w:rPr>
          <w:rFonts w:ascii="Arial" w:hAnsi="Arial" w:cs="Arial"/>
          <w:sz w:val="24"/>
          <w:szCs w:val="24"/>
        </w:rPr>
        <w:t xml:space="preserve">. Here is a quick list of item availability. </w:t>
      </w:r>
      <w:r>
        <w:rPr>
          <w:rFonts w:ascii="Arial" w:hAnsi="Arial" w:cs="Arial"/>
          <w:sz w:val="24"/>
          <w:szCs w:val="24"/>
        </w:rPr>
        <w:t>Continue reading for more details on each of these items.</w:t>
      </w:r>
    </w:p>
    <w:p w:rsidR="003A227C" w:rsidRDefault="003A227C">
      <w:pPr>
        <w:rPr>
          <w:rFonts w:ascii="Arial" w:hAnsi="Arial" w:cs="Arial"/>
          <w:b/>
          <w:sz w:val="24"/>
          <w:szCs w:val="24"/>
        </w:rPr>
      </w:pPr>
    </w:p>
    <w:p w:rsidR="0012253A" w:rsidRPr="0012253A" w:rsidRDefault="0012253A">
      <w:pPr>
        <w:rPr>
          <w:rFonts w:ascii="Arial" w:hAnsi="Arial" w:cs="Arial"/>
          <w:b/>
          <w:sz w:val="24"/>
          <w:szCs w:val="24"/>
        </w:rPr>
      </w:pPr>
      <w:r w:rsidRPr="0012253A">
        <w:rPr>
          <w:rFonts w:ascii="Arial" w:hAnsi="Arial" w:cs="Arial"/>
          <w:b/>
          <w:sz w:val="24"/>
          <w:szCs w:val="24"/>
        </w:rPr>
        <w:t>Quick 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66"/>
        <w:gridCol w:w="2818"/>
      </w:tblGrid>
      <w:tr w:rsidR="0012253A" w:rsidTr="003A227C">
        <w:trPr>
          <w:trHeight w:val="72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253A" w:rsidRPr="0012253A" w:rsidRDefault="0012253A" w:rsidP="0012253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25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What’s available?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253A" w:rsidRPr="0012253A" w:rsidRDefault="0012253A" w:rsidP="0012253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25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What’s not </w:t>
            </w:r>
            <w:r w:rsidR="00002D1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yet </w:t>
            </w:r>
            <w:r w:rsidRPr="001225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available?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2253A" w:rsidRPr="0012253A" w:rsidRDefault="0012253A" w:rsidP="0012253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25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Enhancements since previous release</w:t>
            </w:r>
          </w:p>
        </w:tc>
      </w:tr>
      <w:tr w:rsidR="00DC4BA6" w:rsidTr="003A227C">
        <w:tc>
          <w:tcPr>
            <w:tcW w:w="3266" w:type="dxa"/>
            <w:tcBorders>
              <w:top w:val="single" w:sz="4" w:space="0" w:color="auto"/>
            </w:tcBorders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page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certificates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</w:tcBorders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27C">
              <w:rPr>
                <w:rFonts w:ascii="Arial" w:hAnsi="Arial" w:cs="Arial"/>
                <w:sz w:val="24"/>
                <w:szCs w:val="24"/>
              </w:rPr>
              <w:t xml:space="preserve">No enhancements </w:t>
            </w:r>
            <w:r>
              <w:rPr>
                <w:rFonts w:ascii="Arial" w:hAnsi="Arial" w:cs="Arial"/>
                <w:sz w:val="24"/>
                <w:szCs w:val="24"/>
              </w:rPr>
              <w:t>as this is the first release</w:t>
            </w:r>
          </w:p>
        </w:tc>
      </w:tr>
      <w:tr w:rsidR="00DC4BA6" w:rsidTr="0012253A"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product search</w:t>
            </w:r>
          </w:p>
        </w:tc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Roles</w:t>
            </w: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BA6" w:rsidTr="0012253A"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Topics</w:t>
            </w:r>
          </w:p>
        </w:tc>
        <w:tc>
          <w:tcPr>
            <w:tcW w:w="3266" w:type="dxa"/>
          </w:tcPr>
          <w:p w:rsidR="00DC4BA6" w:rsidRDefault="006626FE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to data </w:t>
            </w:r>
            <w:r>
              <w:rPr>
                <w:rFonts w:ascii="Arial" w:hAnsi="Arial" w:cs="Arial"/>
                <w:sz w:val="24"/>
                <w:szCs w:val="24"/>
              </w:rPr>
              <w:br/>
              <w:t>(Public, S</w:t>
            </w:r>
            <w:r w:rsidR="00DC4BA6">
              <w:rPr>
                <w:rFonts w:ascii="Arial" w:hAnsi="Arial" w:cs="Arial"/>
                <w:sz w:val="24"/>
                <w:szCs w:val="24"/>
              </w:rPr>
              <w:t xml:space="preserve">ecure or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DC4BA6">
              <w:rPr>
                <w:rFonts w:ascii="Arial" w:hAnsi="Arial" w:cs="Arial"/>
                <w:sz w:val="24"/>
                <w:szCs w:val="24"/>
              </w:rPr>
              <w:t>ertified)</w:t>
            </w: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BA6" w:rsidTr="0012253A">
        <w:tc>
          <w:tcPr>
            <w:tcW w:w="3266" w:type="dxa"/>
          </w:tcPr>
          <w:p w:rsidR="00DC4BA6" w:rsidRDefault="00FF2624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</w:t>
            </w:r>
            <w:r w:rsidR="00DC4BA6">
              <w:rPr>
                <w:rFonts w:ascii="Arial" w:hAnsi="Arial" w:cs="Arial"/>
                <w:sz w:val="24"/>
                <w:szCs w:val="24"/>
              </w:rPr>
              <w:t>xport</w:t>
            </w:r>
          </w:p>
        </w:tc>
        <w:tc>
          <w:tcPr>
            <w:tcW w:w="3266" w:type="dxa"/>
          </w:tcPr>
          <w:p w:rsidR="00DC4BA6" w:rsidRDefault="00002D14" w:rsidP="00002D14">
            <w:pPr>
              <w:rPr>
                <w:rFonts w:ascii="Arial" w:hAnsi="Arial" w:cs="Arial"/>
                <w:sz w:val="24"/>
                <w:szCs w:val="24"/>
              </w:rPr>
            </w:pPr>
            <w:r w:rsidRPr="00002D14">
              <w:rPr>
                <w:rFonts w:ascii="Arial" w:hAnsi="Arial" w:cs="Arial"/>
                <w:sz w:val="24"/>
                <w:szCs w:val="24"/>
              </w:rPr>
              <w:t xml:space="preserve">Ability to display reports based 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  <w:r w:rsidRPr="00002D14">
              <w:rPr>
                <w:rFonts w:ascii="Arial" w:hAnsi="Arial" w:cs="Arial"/>
                <w:sz w:val="24"/>
                <w:szCs w:val="24"/>
              </w:rPr>
              <w:t xml:space="preserve">on role or </w:t>
            </w:r>
            <w:bookmarkStart w:id="0" w:name="_GoBack"/>
            <w:bookmarkEnd w:id="0"/>
            <w:r w:rsidRPr="00002D14">
              <w:rPr>
                <w:rFonts w:ascii="Arial" w:hAnsi="Arial" w:cs="Arial"/>
                <w:sz w:val="24"/>
                <w:szCs w:val="24"/>
              </w:rPr>
              <w:t>availability of data</w:t>
            </w: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BA6" w:rsidTr="0012253A"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detail pages</w:t>
            </w:r>
          </w:p>
        </w:tc>
        <w:tc>
          <w:tcPr>
            <w:tcW w:w="3266" w:type="dxa"/>
          </w:tcPr>
          <w:p w:rsidR="00DC4BA6" w:rsidRDefault="00002D14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Notices</w:t>
            </w: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BA6" w:rsidTr="0012253A"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pages</w:t>
            </w:r>
          </w:p>
        </w:tc>
        <w:tc>
          <w:tcPr>
            <w:tcW w:w="3266" w:type="dxa"/>
          </w:tcPr>
          <w:p w:rsidR="00DC4BA6" w:rsidRDefault="00002D14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</w:t>
            </w: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BA6" w:rsidTr="0012253A"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Links to ERCOT.com</w:t>
            </w:r>
          </w:p>
        </w:tc>
        <w:tc>
          <w:tcPr>
            <w:tcW w:w="3266" w:type="dxa"/>
          </w:tcPr>
          <w:p w:rsidR="00DC4BA6" w:rsidRDefault="00DC4BA6" w:rsidP="00FF26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  <w:vMerge/>
          </w:tcPr>
          <w:p w:rsidR="00DC4BA6" w:rsidRDefault="00DC4BA6" w:rsidP="00DC4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253A" w:rsidRDefault="0012253A" w:rsidP="00DC4BA6">
      <w:pPr>
        <w:jc w:val="center"/>
        <w:rPr>
          <w:rFonts w:ascii="Arial" w:hAnsi="Arial" w:cs="Arial"/>
          <w:sz w:val="24"/>
          <w:szCs w:val="24"/>
        </w:rPr>
      </w:pPr>
    </w:p>
    <w:p w:rsidR="003A227C" w:rsidRPr="0012253A" w:rsidRDefault="003A227C">
      <w:pPr>
        <w:rPr>
          <w:rFonts w:ascii="Arial" w:hAnsi="Arial" w:cs="Arial"/>
          <w:sz w:val="24"/>
          <w:szCs w:val="24"/>
        </w:rPr>
      </w:pPr>
    </w:p>
    <w:p w:rsidR="0012253A" w:rsidRPr="0012253A" w:rsidRDefault="004460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will be</w:t>
      </w:r>
      <w:r w:rsidR="0012253A" w:rsidRPr="0012253A">
        <w:rPr>
          <w:rFonts w:ascii="Arial" w:hAnsi="Arial" w:cs="Arial"/>
          <w:b/>
          <w:sz w:val="24"/>
          <w:szCs w:val="24"/>
        </w:rPr>
        <w:t xml:space="preserve"> available in this sandbox release of MIS?</w:t>
      </w:r>
      <w:r w:rsidR="003F1BF6">
        <w:rPr>
          <w:rFonts w:ascii="Arial" w:hAnsi="Arial" w:cs="Arial"/>
          <w:b/>
          <w:sz w:val="24"/>
          <w:szCs w:val="24"/>
        </w:rPr>
        <w:t xml:space="preserve"> </w:t>
      </w:r>
    </w:p>
    <w:p w:rsidR="0012253A" w:rsidRDefault="0012253A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t>Home page</w:t>
      </w:r>
      <w:r w:rsidRPr="0012253A">
        <w:rPr>
          <w:rFonts w:ascii="Arial" w:hAnsi="Arial" w:cs="Arial"/>
          <w:sz w:val="24"/>
          <w:szCs w:val="24"/>
        </w:rPr>
        <w:t xml:space="preserve"> </w:t>
      </w:r>
      <w:r w:rsidR="00FF2624">
        <w:rPr>
          <w:rFonts w:ascii="Arial" w:hAnsi="Arial" w:cs="Arial"/>
          <w:sz w:val="24"/>
          <w:szCs w:val="24"/>
        </w:rPr>
        <w:t>–</w:t>
      </w:r>
      <w:r w:rsidRPr="0012253A">
        <w:rPr>
          <w:rFonts w:ascii="Arial" w:hAnsi="Arial" w:cs="Arial"/>
          <w:sz w:val="24"/>
          <w:szCs w:val="24"/>
        </w:rPr>
        <w:t xml:space="preserve"> A</w:t>
      </w:r>
      <w:r w:rsidR="00FF2624">
        <w:rPr>
          <w:rFonts w:ascii="Arial" w:hAnsi="Arial" w:cs="Arial"/>
          <w:sz w:val="24"/>
          <w:szCs w:val="24"/>
        </w:rPr>
        <w:t xml:space="preserve"> </w:t>
      </w:r>
      <w:r w:rsidRPr="0012253A">
        <w:rPr>
          <w:rFonts w:ascii="Arial" w:hAnsi="Arial" w:cs="Arial"/>
          <w:sz w:val="24"/>
          <w:szCs w:val="24"/>
        </w:rPr>
        <w:t>temporary home</w:t>
      </w:r>
      <w:r w:rsidR="00FF2624">
        <w:rPr>
          <w:rFonts w:ascii="Arial" w:hAnsi="Arial" w:cs="Arial"/>
          <w:sz w:val="24"/>
          <w:szCs w:val="24"/>
        </w:rPr>
        <w:t xml:space="preserve"> </w:t>
      </w:r>
      <w:r w:rsidRPr="0012253A">
        <w:rPr>
          <w:rFonts w:ascii="Arial" w:hAnsi="Arial" w:cs="Arial"/>
          <w:sz w:val="24"/>
          <w:szCs w:val="24"/>
        </w:rPr>
        <w:t xml:space="preserve">page </w:t>
      </w:r>
      <w:r w:rsidR="00FF2624">
        <w:rPr>
          <w:rFonts w:ascii="Arial" w:hAnsi="Arial" w:cs="Arial"/>
          <w:sz w:val="24"/>
          <w:szCs w:val="24"/>
        </w:rPr>
        <w:t>providing information needed to explore the MIS s</w:t>
      </w:r>
      <w:r w:rsidRPr="0012253A">
        <w:rPr>
          <w:rFonts w:ascii="Arial" w:hAnsi="Arial" w:cs="Arial"/>
          <w:sz w:val="24"/>
          <w:szCs w:val="24"/>
        </w:rPr>
        <w:t>andbox</w:t>
      </w:r>
      <w:r w:rsidR="000A4E49">
        <w:rPr>
          <w:rFonts w:ascii="Arial" w:hAnsi="Arial" w:cs="Arial"/>
          <w:sz w:val="24"/>
          <w:szCs w:val="24"/>
        </w:rPr>
        <w:t xml:space="preserve"> as well as available methods for submitting feedback.</w:t>
      </w:r>
      <w:r w:rsidRPr="0012253A">
        <w:rPr>
          <w:rFonts w:ascii="Arial" w:hAnsi="Arial" w:cs="Arial"/>
          <w:sz w:val="24"/>
          <w:szCs w:val="24"/>
        </w:rPr>
        <w:t> </w:t>
      </w:r>
    </w:p>
    <w:p w:rsidR="004460EB" w:rsidRDefault="00F25E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80626" cy="2542345"/>
            <wp:effectExtent l="57150" t="0" r="48895" b="1060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363" cy="255940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4460EB">
        <w:rPr>
          <w:rFonts w:ascii="Arial" w:hAnsi="Arial" w:cs="Arial"/>
          <w:b/>
          <w:sz w:val="24"/>
          <w:szCs w:val="24"/>
        </w:rPr>
        <w:br w:type="page"/>
      </w:r>
    </w:p>
    <w:p w:rsidR="001B1068" w:rsidRDefault="00511BA0" w:rsidP="00511BA0">
      <w:pPr>
        <w:rPr>
          <w:rFonts w:ascii="Arial" w:hAnsi="Arial" w:cs="Arial"/>
          <w:sz w:val="24"/>
          <w:szCs w:val="24"/>
        </w:rPr>
      </w:pPr>
      <w:r w:rsidRPr="00511BA0">
        <w:rPr>
          <w:rFonts w:ascii="Arial" w:hAnsi="Arial" w:cs="Arial"/>
          <w:b/>
          <w:sz w:val="24"/>
          <w:szCs w:val="24"/>
        </w:rPr>
        <w:lastRenderedPageBreak/>
        <w:t>MIS badge</w:t>
      </w:r>
      <w:r w:rsidRPr="00511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Visual cue letting</w:t>
      </w:r>
      <w:r w:rsidRPr="00511BA0">
        <w:rPr>
          <w:rFonts w:ascii="Arial" w:hAnsi="Arial" w:cs="Arial"/>
          <w:sz w:val="24"/>
          <w:szCs w:val="24"/>
        </w:rPr>
        <w:t xml:space="preserve"> you know when you are authenticated to MIS and</w:t>
      </w:r>
      <w:r w:rsidR="00CD4F0E">
        <w:rPr>
          <w:rFonts w:ascii="Arial" w:hAnsi="Arial" w:cs="Arial"/>
          <w:sz w:val="24"/>
          <w:szCs w:val="24"/>
        </w:rPr>
        <w:t xml:space="preserve"> are</w:t>
      </w:r>
      <w:r w:rsidRPr="00511BA0">
        <w:rPr>
          <w:rFonts w:ascii="Arial" w:hAnsi="Arial" w:cs="Arial"/>
          <w:sz w:val="24"/>
          <w:szCs w:val="24"/>
        </w:rPr>
        <w:t xml:space="preserve"> able to see Secure and Certified data (although this functionality is not yet active within the sandbox environment).</w:t>
      </w:r>
    </w:p>
    <w:p w:rsidR="001B1068" w:rsidRDefault="001B1068" w:rsidP="00511BA0">
      <w:pPr>
        <w:rPr>
          <w:rFonts w:ascii="Arial" w:hAnsi="Arial" w:cs="Arial"/>
          <w:sz w:val="24"/>
          <w:szCs w:val="24"/>
        </w:rPr>
        <w:sectPr w:rsidR="001B10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068" w:rsidRPr="001B1068" w:rsidRDefault="001B1068" w:rsidP="001B1068">
      <w:pPr>
        <w:jc w:val="center"/>
        <w:rPr>
          <w:rFonts w:ascii="Arial" w:hAnsi="Arial" w:cs="Arial"/>
          <w:sz w:val="20"/>
          <w:szCs w:val="20"/>
        </w:rPr>
      </w:pPr>
      <w:r w:rsidRPr="001B1068">
        <w:rPr>
          <w:rFonts w:ascii="Arial" w:hAnsi="Arial" w:cs="Arial"/>
          <w:sz w:val="20"/>
          <w:szCs w:val="20"/>
        </w:rPr>
        <w:t>Desktop</w:t>
      </w:r>
    </w:p>
    <w:p w:rsidR="001B1068" w:rsidRPr="00511BA0" w:rsidRDefault="001B1068" w:rsidP="001B10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42868" cy="530132"/>
            <wp:effectExtent l="57150" t="0" r="62230" b="1181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s badge deskt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970" cy="539847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1BA0" w:rsidRPr="001B1068" w:rsidRDefault="001B1068" w:rsidP="001B10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</w:t>
      </w:r>
    </w:p>
    <w:p w:rsidR="001B1068" w:rsidRPr="001B1068" w:rsidRDefault="001B1068" w:rsidP="00CD4F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95160" cy="251021"/>
            <wp:effectExtent l="57150" t="0" r="53340" b="1111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is badge mobi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276" cy="264413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1BA0" w:rsidRDefault="00511BA0" w:rsidP="0012253A">
      <w:pPr>
        <w:rPr>
          <w:rFonts w:ascii="Arial" w:hAnsi="Arial" w:cs="Arial"/>
          <w:b/>
          <w:sz w:val="24"/>
          <w:szCs w:val="24"/>
        </w:rPr>
      </w:pPr>
    </w:p>
    <w:p w:rsidR="001B1068" w:rsidRDefault="001B1068" w:rsidP="0012253A">
      <w:pPr>
        <w:rPr>
          <w:rFonts w:ascii="Arial" w:hAnsi="Arial" w:cs="Arial"/>
          <w:b/>
          <w:sz w:val="24"/>
          <w:szCs w:val="24"/>
        </w:rPr>
        <w:sectPr w:rsidR="001B1068" w:rsidSect="001B10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B1068" w:rsidRDefault="001B1068" w:rsidP="0012253A">
      <w:pPr>
        <w:rPr>
          <w:rFonts w:ascii="Arial" w:hAnsi="Arial" w:cs="Arial"/>
          <w:b/>
          <w:sz w:val="24"/>
          <w:szCs w:val="24"/>
        </w:rPr>
      </w:pPr>
    </w:p>
    <w:p w:rsidR="0012253A" w:rsidRDefault="00FF2624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t>Data product s</w:t>
      </w:r>
      <w:r w:rsidR="0012253A" w:rsidRPr="000A4E49">
        <w:rPr>
          <w:rFonts w:ascii="Arial" w:hAnsi="Arial" w:cs="Arial"/>
          <w:b/>
          <w:sz w:val="24"/>
          <w:szCs w:val="24"/>
        </w:rPr>
        <w:t>earch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0A4E49">
        <w:rPr>
          <w:rFonts w:ascii="Arial" w:hAnsi="Arial" w:cs="Arial"/>
          <w:sz w:val="24"/>
          <w:szCs w:val="24"/>
        </w:rPr>
        <w:t xml:space="preserve"> S</w:t>
      </w:r>
      <w:r w:rsidR="0012253A" w:rsidRPr="0012253A">
        <w:rPr>
          <w:rFonts w:ascii="Arial" w:hAnsi="Arial" w:cs="Arial"/>
          <w:sz w:val="24"/>
          <w:szCs w:val="24"/>
        </w:rPr>
        <w:t xml:space="preserve">earch for all </w:t>
      </w:r>
      <w:r>
        <w:rPr>
          <w:rFonts w:ascii="Arial" w:hAnsi="Arial" w:cs="Arial"/>
          <w:sz w:val="24"/>
          <w:szCs w:val="24"/>
        </w:rPr>
        <w:t>r</w:t>
      </w:r>
      <w:r w:rsidR="0012253A" w:rsidRPr="0012253A">
        <w:rPr>
          <w:rFonts w:ascii="Arial" w:hAnsi="Arial" w:cs="Arial"/>
          <w:sz w:val="24"/>
          <w:szCs w:val="24"/>
        </w:rPr>
        <w:t>eports</w:t>
      </w:r>
      <w:r>
        <w:rPr>
          <w:rFonts w:ascii="Arial" w:hAnsi="Arial" w:cs="Arial"/>
          <w:sz w:val="24"/>
          <w:szCs w:val="24"/>
        </w:rPr>
        <w:t xml:space="preserve">, extracts, notices, and applications </w:t>
      </w:r>
      <w:r w:rsidR="0012253A" w:rsidRPr="0012253A">
        <w:rPr>
          <w:rFonts w:ascii="Arial" w:hAnsi="Arial" w:cs="Arial"/>
          <w:sz w:val="24"/>
          <w:szCs w:val="24"/>
        </w:rPr>
        <w:t>ERCOT is</w:t>
      </w:r>
      <w:r w:rsidR="000A4E49">
        <w:rPr>
          <w:rFonts w:ascii="Arial" w:hAnsi="Arial" w:cs="Arial"/>
          <w:sz w:val="24"/>
          <w:szCs w:val="24"/>
        </w:rPr>
        <w:t xml:space="preserve"> required to provide. N</w:t>
      </w:r>
      <w:r>
        <w:rPr>
          <w:rFonts w:ascii="Arial" w:hAnsi="Arial" w:cs="Arial"/>
          <w:sz w:val="24"/>
          <w:szCs w:val="24"/>
        </w:rPr>
        <w:t xml:space="preserve">arrow </w:t>
      </w:r>
      <w:r w:rsidR="000A4E4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search using filters or keywords.</w:t>
      </w:r>
    </w:p>
    <w:p w:rsidR="004460EB" w:rsidRPr="0012253A" w:rsidRDefault="004460EB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2216785"/>
            <wp:effectExtent l="57150" t="0" r="57150" b="1073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rch resul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78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1B1068" w:rsidRDefault="001B1068" w:rsidP="0012253A">
      <w:pPr>
        <w:rPr>
          <w:rFonts w:ascii="Arial" w:hAnsi="Arial" w:cs="Arial"/>
          <w:b/>
          <w:sz w:val="24"/>
          <w:szCs w:val="24"/>
        </w:rPr>
      </w:pPr>
    </w:p>
    <w:p w:rsidR="0012253A" w:rsidRDefault="0012253A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t>Topics</w:t>
      </w:r>
      <w:r w:rsidRPr="0012253A">
        <w:rPr>
          <w:rFonts w:ascii="Arial" w:hAnsi="Arial" w:cs="Arial"/>
          <w:sz w:val="24"/>
          <w:szCs w:val="24"/>
        </w:rPr>
        <w:t xml:space="preserve"> </w:t>
      </w:r>
      <w:r w:rsidR="00FF2624">
        <w:rPr>
          <w:rFonts w:ascii="Arial" w:hAnsi="Arial" w:cs="Arial"/>
          <w:sz w:val="24"/>
          <w:szCs w:val="24"/>
        </w:rPr>
        <w:t>–</w:t>
      </w:r>
      <w:r w:rsidRPr="0012253A">
        <w:rPr>
          <w:rFonts w:ascii="Arial" w:hAnsi="Arial" w:cs="Arial"/>
          <w:sz w:val="24"/>
          <w:szCs w:val="24"/>
        </w:rPr>
        <w:t xml:space="preserve"> </w:t>
      </w:r>
      <w:r w:rsidR="00B14972">
        <w:rPr>
          <w:rFonts w:ascii="Arial" w:hAnsi="Arial" w:cs="Arial"/>
          <w:sz w:val="24"/>
          <w:szCs w:val="24"/>
        </w:rPr>
        <w:t>Tags on data products that, when clicked, allows the user to see similar reports or information.</w:t>
      </w:r>
    </w:p>
    <w:p w:rsidR="004460EB" w:rsidRPr="0012253A" w:rsidRDefault="00511BA0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69147" cy="2274137"/>
            <wp:effectExtent l="57150" t="0" r="55880" b="1073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pics and rules in data details_callou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791" cy="2278563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253A" w:rsidRDefault="000A4E49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lastRenderedPageBreak/>
        <w:t>Data e</w:t>
      </w:r>
      <w:r w:rsidR="0012253A" w:rsidRPr="000A4E49">
        <w:rPr>
          <w:rFonts w:ascii="Arial" w:hAnsi="Arial" w:cs="Arial"/>
          <w:b/>
          <w:sz w:val="24"/>
          <w:szCs w:val="24"/>
        </w:rPr>
        <w:t>xport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>–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>Export</w:t>
      </w:r>
      <w:r w:rsidR="0012253A" w:rsidRPr="0012253A">
        <w:rPr>
          <w:rFonts w:ascii="Arial" w:hAnsi="Arial" w:cs="Arial"/>
          <w:sz w:val="24"/>
          <w:szCs w:val="24"/>
        </w:rPr>
        <w:t xml:space="preserve"> the full</w:t>
      </w:r>
      <w:r w:rsidR="003F1BF6">
        <w:rPr>
          <w:rFonts w:ascii="Arial" w:hAnsi="Arial" w:cs="Arial"/>
          <w:sz w:val="24"/>
          <w:szCs w:val="24"/>
        </w:rPr>
        <w:t xml:space="preserve"> EMIL or a subset of products in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 xml:space="preserve">an </w:t>
      </w:r>
      <w:r w:rsidR="0012253A" w:rsidRPr="0012253A">
        <w:rPr>
          <w:rFonts w:ascii="Arial" w:hAnsi="Arial" w:cs="Arial"/>
          <w:sz w:val="24"/>
          <w:szCs w:val="24"/>
        </w:rPr>
        <w:t>Excel</w:t>
      </w:r>
      <w:r w:rsidR="003F1BF6">
        <w:rPr>
          <w:rFonts w:ascii="Arial" w:hAnsi="Arial" w:cs="Arial"/>
          <w:sz w:val="24"/>
          <w:szCs w:val="24"/>
        </w:rPr>
        <w:t xml:space="preserve"> file</w:t>
      </w:r>
      <w:r w:rsidR="0012253A" w:rsidRPr="0012253A">
        <w:rPr>
          <w:rFonts w:ascii="Arial" w:hAnsi="Arial" w:cs="Arial"/>
          <w:sz w:val="24"/>
          <w:szCs w:val="24"/>
        </w:rPr>
        <w:t>.  </w:t>
      </w:r>
    </w:p>
    <w:p w:rsidR="004460EB" w:rsidRDefault="004460EB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41347" cy="1097280"/>
            <wp:effectExtent l="57150" t="0" r="50165" b="1219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rt full emil_callo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604" cy="11164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1BA0" w:rsidRDefault="00511BA0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0824" cy="1085240"/>
            <wp:effectExtent l="57150" t="0" r="61595" b="1149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ort partial emil_callo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425" cy="1127902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4460EB" w:rsidRPr="0012253A" w:rsidRDefault="004460EB" w:rsidP="0012253A">
      <w:pPr>
        <w:rPr>
          <w:rFonts w:ascii="Arial" w:hAnsi="Arial" w:cs="Arial"/>
          <w:sz w:val="24"/>
          <w:szCs w:val="24"/>
        </w:rPr>
      </w:pPr>
    </w:p>
    <w:p w:rsidR="0012253A" w:rsidRDefault="000A4E49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t>Data detail p</w:t>
      </w:r>
      <w:r w:rsidR="0012253A" w:rsidRPr="000A4E49">
        <w:rPr>
          <w:rFonts w:ascii="Arial" w:hAnsi="Arial" w:cs="Arial"/>
          <w:b/>
          <w:sz w:val="24"/>
          <w:szCs w:val="24"/>
        </w:rPr>
        <w:t>ages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>–</w:t>
      </w:r>
      <w:r w:rsidR="0012253A"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>Dive deeper into the details of a specific data product.</w:t>
      </w:r>
    </w:p>
    <w:p w:rsidR="00511BA0" w:rsidRPr="0012253A" w:rsidRDefault="00511BA0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3389630"/>
            <wp:effectExtent l="57150" t="0" r="57150" b="1155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ta details full with emil details o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963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70FB" w:rsidRDefault="000970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2253A" w:rsidRDefault="0012253A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lastRenderedPageBreak/>
        <w:t xml:space="preserve">Category </w:t>
      </w:r>
      <w:r w:rsidR="000A4E49" w:rsidRPr="000A4E49">
        <w:rPr>
          <w:rFonts w:ascii="Arial" w:hAnsi="Arial" w:cs="Arial"/>
          <w:b/>
          <w:sz w:val="24"/>
          <w:szCs w:val="24"/>
        </w:rPr>
        <w:t>p</w:t>
      </w:r>
      <w:r w:rsidRPr="000A4E49">
        <w:rPr>
          <w:rFonts w:ascii="Arial" w:hAnsi="Arial" w:cs="Arial"/>
          <w:b/>
          <w:sz w:val="24"/>
          <w:szCs w:val="24"/>
        </w:rPr>
        <w:t>ages</w:t>
      </w:r>
      <w:r w:rsidRPr="0012253A">
        <w:rPr>
          <w:rFonts w:ascii="Arial" w:hAnsi="Arial" w:cs="Arial"/>
          <w:sz w:val="24"/>
          <w:szCs w:val="24"/>
        </w:rPr>
        <w:t xml:space="preserve"> </w:t>
      </w:r>
      <w:r w:rsidR="003F1BF6">
        <w:rPr>
          <w:rFonts w:ascii="Arial" w:hAnsi="Arial" w:cs="Arial"/>
          <w:sz w:val="24"/>
          <w:szCs w:val="24"/>
        </w:rPr>
        <w:t>–</w:t>
      </w:r>
      <w:r w:rsidRPr="0012253A">
        <w:rPr>
          <w:rFonts w:ascii="Arial" w:hAnsi="Arial" w:cs="Arial"/>
          <w:sz w:val="24"/>
          <w:szCs w:val="24"/>
        </w:rPr>
        <w:t xml:space="preserve"> Navig</w:t>
      </w:r>
      <w:r w:rsidR="003F1BF6">
        <w:rPr>
          <w:rFonts w:ascii="Arial" w:hAnsi="Arial" w:cs="Arial"/>
          <w:sz w:val="24"/>
          <w:szCs w:val="24"/>
        </w:rPr>
        <w:t>ate directly to collections of reports and e</w:t>
      </w:r>
      <w:r w:rsidRPr="0012253A">
        <w:rPr>
          <w:rFonts w:ascii="Arial" w:hAnsi="Arial" w:cs="Arial"/>
          <w:sz w:val="24"/>
          <w:szCs w:val="24"/>
        </w:rPr>
        <w:t>xtracts.</w:t>
      </w:r>
    </w:p>
    <w:p w:rsidR="00511BA0" w:rsidRPr="0012253A" w:rsidRDefault="00511BA0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3075940"/>
            <wp:effectExtent l="57150" t="0" r="57150" b="1054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tegory pag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94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70FB" w:rsidRDefault="000970FB" w:rsidP="0012253A">
      <w:pPr>
        <w:rPr>
          <w:rFonts w:ascii="Arial" w:hAnsi="Arial" w:cs="Arial"/>
          <w:b/>
          <w:sz w:val="24"/>
          <w:szCs w:val="24"/>
        </w:rPr>
      </w:pPr>
    </w:p>
    <w:p w:rsidR="0012253A" w:rsidRDefault="0012253A" w:rsidP="0012253A">
      <w:pPr>
        <w:rPr>
          <w:rFonts w:ascii="Arial" w:hAnsi="Arial" w:cs="Arial"/>
          <w:sz w:val="24"/>
          <w:szCs w:val="24"/>
        </w:rPr>
      </w:pPr>
      <w:r w:rsidRPr="000A4E49">
        <w:rPr>
          <w:rFonts w:ascii="Arial" w:hAnsi="Arial" w:cs="Arial"/>
          <w:b/>
          <w:sz w:val="24"/>
          <w:szCs w:val="24"/>
        </w:rPr>
        <w:t>Links to ERCOT.com</w:t>
      </w:r>
      <w:r w:rsidRPr="0012253A">
        <w:rPr>
          <w:rFonts w:ascii="Arial" w:hAnsi="Arial" w:cs="Arial"/>
          <w:sz w:val="24"/>
          <w:szCs w:val="24"/>
        </w:rPr>
        <w:t xml:space="preserve"> - Jump </w:t>
      </w:r>
      <w:r w:rsidR="003F1BF6">
        <w:rPr>
          <w:rFonts w:ascii="Arial" w:hAnsi="Arial" w:cs="Arial"/>
          <w:sz w:val="24"/>
          <w:szCs w:val="24"/>
        </w:rPr>
        <w:t xml:space="preserve">to related </w:t>
      </w:r>
      <w:r w:rsidRPr="0012253A">
        <w:rPr>
          <w:rFonts w:ascii="Arial" w:hAnsi="Arial" w:cs="Arial"/>
          <w:sz w:val="24"/>
          <w:szCs w:val="24"/>
        </w:rPr>
        <w:t>sections of ERCOT.com.</w:t>
      </w:r>
    </w:p>
    <w:p w:rsidR="0012253A" w:rsidRDefault="00F25EA5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649605"/>
            <wp:effectExtent l="57150" t="0" r="57150" b="1123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eader full_callou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60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lumMod val="6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70FB" w:rsidRDefault="000970FB" w:rsidP="0012253A">
      <w:pPr>
        <w:rPr>
          <w:rFonts w:ascii="Arial" w:hAnsi="Arial" w:cs="Arial"/>
          <w:b/>
          <w:sz w:val="24"/>
          <w:szCs w:val="24"/>
        </w:rPr>
      </w:pPr>
    </w:p>
    <w:p w:rsidR="000970FB" w:rsidRDefault="000970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2253A" w:rsidRPr="0012253A" w:rsidRDefault="0012253A" w:rsidP="0012253A">
      <w:pPr>
        <w:rPr>
          <w:rFonts w:ascii="Arial" w:hAnsi="Arial" w:cs="Arial"/>
          <w:b/>
          <w:sz w:val="24"/>
          <w:szCs w:val="24"/>
        </w:rPr>
      </w:pPr>
      <w:r w:rsidRPr="0012253A">
        <w:rPr>
          <w:rFonts w:ascii="Arial" w:hAnsi="Arial" w:cs="Arial"/>
          <w:b/>
          <w:sz w:val="24"/>
          <w:szCs w:val="24"/>
        </w:rPr>
        <w:lastRenderedPageBreak/>
        <w:t>What isn't available in this sandbox release of MIS?</w:t>
      </w:r>
    </w:p>
    <w:p w:rsidR="0012253A" w:rsidRDefault="0012253A" w:rsidP="0012253A">
      <w:pPr>
        <w:rPr>
          <w:rFonts w:ascii="Arial" w:hAnsi="Arial" w:cs="Arial"/>
          <w:sz w:val="24"/>
          <w:szCs w:val="24"/>
        </w:rPr>
      </w:pPr>
      <w:r w:rsidRPr="0012253A">
        <w:rPr>
          <w:rFonts w:ascii="Arial" w:hAnsi="Arial" w:cs="Arial"/>
          <w:sz w:val="24"/>
          <w:szCs w:val="24"/>
        </w:rPr>
        <w:t>The</w:t>
      </w:r>
      <w:r w:rsidR="003F1BF6">
        <w:rPr>
          <w:rFonts w:ascii="Arial" w:hAnsi="Arial" w:cs="Arial"/>
          <w:sz w:val="24"/>
          <w:szCs w:val="24"/>
        </w:rPr>
        <w:t xml:space="preserve"> focus of the s</w:t>
      </w:r>
      <w:r w:rsidRPr="0012253A">
        <w:rPr>
          <w:rFonts w:ascii="Arial" w:hAnsi="Arial" w:cs="Arial"/>
          <w:sz w:val="24"/>
          <w:szCs w:val="24"/>
        </w:rPr>
        <w:t xml:space="preserve">andbox release is to get early feedback from stakeholders on the user interface. The </w:t>
      </w:r>
      <w:r w:rsidR="003F1BF6">
        <w:rPr>
          <w:rFonts w:ascii="Arial" w:hAnsi="Arial" w:cs="Arial"/>
          <w:sz w:val="24"/>
          <w:szCs w:val="24"/>
        </w:rPr>
        <w:t>Pr</w:t>
      </w:r>
      <w:r w:rsidRPr="0012253A">
        <w:rPr>
          <w:rFonts w:ascii="Arial" w:hAnsi="Arial" w:cs="Arial"/>
          <w:sz w:val="24"/>
          <w:szCs w:val="24"/>
        </w:rPr>
        <w:t>oduction Preview Release</w:t>
      </w:r>
      <w:r w:rsidR="003F1BF6">
        <w:rPr>
          <w:rFonts w:ascii="Arial" w:hAnsi="Arial" w:cs="Arial"/>
          <w:sz w:val="24"/>
          <w:szCs w:val="24"/>
        </w:rPr>
        <w:t xml:space="preserve"> planned for </w:t>
      </w:r>
      <w:r w:rsidR="00A8575E">
        <w:rPr>
          <w:rFonts w:ascii="Arial" w:hAnsi="Arial" w:cs="Arial"/>
          <w:sz w:val="24"/>
          <w:szCs w:val="24"/>
        </w:rPr>
        <w:t>September 2020</w:t>
      </w:r>
      <w:r w:rsidRPr="0012253A">
        <w:rPr>
          <w:rFonts w:ascii="Arial" w:hAnsi="Arial" w:cs="Arial"/>
          <w:sz w:val="24"/>
          <w:szCs w:val="24"/>
        </w:rPr>
        <w:t xml:space="preserve"> will provide an opportunity to test out the fully functional </w:t>
      </w:r>
      <w:r w:rsidR="003F1BF6">
        <w:rPr>
          <w:rFonts w:ascii="Arial" w:hAnsi="Arial" w:cs="Arial"/>
          <w:sz w:val="24"/>
          <w:szCs w:val="24"/>
        </w:rPr>
        <w:t>redesigned MIS.</w:t>
      </w:r>
    </w:p>
    <w:p w:rsidR="003F1BF6" w:rsidRPr="0012253A" w:rsidRDefault="003F1BF6" w:rsidP="001225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Currently, the MIS sandbox does not contain:</w:t>
      </w:r>
    </w:p>
    <w:p w:rsidR="003F1BF6" w:rsidRDefault="003F1BF6" w:rsidP="003F1BF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2253A" w:rsidRPr="0012253A">
        <w:rPr>
          <w:rFonts w:ascii="Arial" w:hAnsi="Arial" w:cs="Arial"/>
          <w:sz w:val="24"/>
          <w:szCs w:val="24"/>
        </w:rPr>
        <w:t>igital certificates</w:t>
      </w:r>
    </w:p>
    <w:p w:rsidR="0012253A" w:rsidRPr="003F1BF6" w:rsidRDefault="003F1BF6" w:rsidP="003F1BF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2253A" w:rsidRPr="003F1BF6">
        <w:rPr>
          <w:rFonts w:ascii="Arial" w:hAnsi="Arial" w:cs="Arial"/>
          <w:sz w:val="24"/>
          <w:szCs w:val="24"/>
        </w:rPr>
        <w:t>oles</w:t>
      </w:r>
    </w:p>
    <w:p w:rsidR="0012253A" w:rsidRDefault="0012253A" w:rsidP="0012253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253A">
        <w:rPr>
          <w:rFonts w:ascii="Arial" w:hAnsi="Arial" w:cs="Arial"/>
          <w:sz w:val="24"/>
          <w:szCs w:val="24"/>
        </w:rPr>
        <w:t>Pub</w:t>
      </w:r>
      <w:r w:rsidR="003F1BF6">
        <w:rPr>
          <w:rFonts w:ascii="Arial" w:hAnsi="Arial" w:cs="Arial"/>
          <w:sz w:val="24"/>
          <w:szCs w:val="24"/>
        </w:rPr>
        <w:t>lic, secure or c</w:t>
      </w:r>
      <w:r w:rsidRPr="0012253A">
        <w:rPr>
          <w:rFonts w:ascii="Arial" w:hAnsi="Arial" w:cs="Arial"/>
          <w:sz w:val="24"/>
          <w:szCs w:val="24"/>
        </w:rPr>
        <w:t>ertified data</w:t>
      </w:r>
    </w:p>
    <w:p w:rsidR="00002D14" w:rsidRPr="0012253A" w:rsidRDefault="00002D14" w:rsidP="0012253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02D14">
        <w:rPr>
          <w:rFonts w:ascii="Arial" w:hAnsi="Arial" w:cs="Arial"/>
          <w:sz w:val="24"/>
          <w:szCs w:val="24"/>
        </w:rPr>
        <w:t xml:space="preserve">Ability to display reports based </w:t>
      </w:r>
      <w:r>
        <w:rPr>
          <w:rFonts w:ascii="Arial" w:hAnsi="Arial" w:cs="Arial"/>
          <w:sz w:val="24"/>
          <w:szCs w:val="24"/>
        </w:rPr>
        <w:t>up</w:t>
      </w:r>
      <w:r w:rsidRPr="00002D14">
        <w:rPr>
          <w:rFonts w:ascii="Arial" w:hAnsi="Arial" w:cs="Arial"/>
          <w:sz w:val="24"/>
          <w:szCs w:val="24"/>
        </w:rPr>
        <w:t>on role or availability of data</w:t>
      </w:r>
    </w:p>
    <w:p w:rsidR="0012253A" w:rsidRPr="0012253A" w:rsidRDefault="003F1BF6" w:rsidP="0012253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Notices</w:t>
      </w:r>
      <w:r w:rsidR="0012253A" w:rsidRPr="0012253A">
        <w:rPr>
          <w:rFonts w:ascii="Arial" w:hAnsi="Arial" w:cs="Arial"/>
          <w:sz w:val="24"/>
          <w:szCs w:val="24"/>
        </w:rPr>
        <w:t> </w:t>
      </w:r>
    </w:p>
    <w:p w:rsidR="0012253A" w:rsidRDefault="003F1BF6" w:rsidP="0012253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a</w:t>
      </w:r>
      <w:r w:rsidR="0012253A" w:rsidRPr="0012253A">
        <w:rPr>
          <w:rFonts w:ascii="Arial" w:hAnsi="Arial" w:cs="Arial"/>
          <w:sz w:val="24"/>
          <w:szCs w:val="24"/>
        </w:rPr>
        <w:t>pplications</w:t>
      </w:r>
      <w:r>
        <w:rPr>
          <w:rFonts w:ascii="Arial" w:hAnsi="Arial" w:cs="Arial"/>
          <w:sz w:val="24"/>
          <w:szCs w:val="24"/>
        </w:rPr>
        <w:t xml:space="preserve"> (only </w:t>
      </w:r>
      <w:r w:rsidR="0012253A" w:rsidRPr="0012253A">
        <w:rPr>
          <w:rFonts w:ascii="Arial" w:hAnsi="Arial" w:cs="Arial"/>
          <w:sz w:val="24"/>
          <w:szCs w:val="24"/>
        </w:rPr>
        <w:t>placeholder links are available</w:t>
      </w:r>
      <w:r>
        <w:rPr>
          <w:rFonts w:ascii="Arial" w:hAnsi="Arial" w:cs="Arial"/>
          <w:sz w:val="24"/>
          <w:szCs w:val="24"/>
        </w:rPr>
        <w:t xml:space="preserve"> at this time)</w:t>
      </w:r>
      <w:r w:rsidR="0012253A" w:rsidRPr="0012253A">
        <w:rPr>
          <w:rFonts w:ascii="Arial" w:hAnsi="Arial" w:cs="Arial"/>
          <w:sz w:val="24"/>
          <w:szCs w:val="24"/>
        </w:rPr>
        <w:t> </w:t>
      </w:r>
    </w:p>
    <w:p w:rsidR="00307370" w:rsidRDefault="00307370" w:rsidP="00307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Some planning studies, such as INRs, are not available in the sandbox release. The team is working on display options</w:t>
      </w:r>
      <w:r w:rsidR="009A2DE1">
        <w:rPr>
          <w:rFonts w:ascii="Arial" w:hAnsi="Arial" w:cs="Arial"/>
          <w:sz w:val="24"/>
          <w:szCs w:val="24"/>
        </w:rPr>
        <w:t>. If you are a user of p</w:t>
      </w:r>
      <w:r>
        <w:rPr>
          <w:rFonts w:ascii="Arial" w:hAnsi="Arial" w:cs="Arial"/>
          <w:sz w:val="24"/>
          <w:szCs w:val="24"/>
        </w:rPr>
        <w:t xml:space="preserve">lanning information, please email </w:t>
      </w:r>
      <w:hyperlink r:id="rId15" w:history="1">
        <w:r w:rsidRPr="00DF6BE7">
          <w:rPr>
            <w:rStyle w:val="Hyperlink"/>
            <w:rFonts w:ascii="Arial" w:hAnsi="Arial" w:cs="Arial"/>
            <w:sz w:val="24"/>
            <w:szCs w:val="24"/>
          </w:rPr>
          <w:t>userexperience@ercot.com</w:t>
        </w:r>
      </w:hyperlink>
      <w:r>
        <w:rPr>
          <w:rFonts w:ascii="Arial" w:hAnsi="Arial" w:cs="Arial"/>
          <w:sz w:val="24"/>
          <w:szCs w:val="24"/>
        </w:rPr>
        <w:t xml:space="preserve"> so that your input can be considered.</w:t>
      </w:r>
    </w:p>
    <w:p w:rsidR="00A8575E" w:rsidRDefault="00A8575E" w:rsidP="006626FE">
      <w:pPr>
        <w:ind w:left="720"/>
        <w:rPr>
          <w:rFonts w:ascii="Arial" w:hAnsi="Arial" w:cs="Arial"/>
          <w:sz w:val="24"/>
          <w:szCs w:val="24"/>
        </w:rPr>
      </w:pPr>
    </w:p>
    <w:p w:rsidR="00A8575E" w:rsidRPr="0012253A" w:rsidRDefault="00A8575E" w:rsidP="00A857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about </w:t>
      </w:r>
      <w:r w:rsidRPr="0012253A">
        <w:rPr>
          <w:rFonts w:ascii="Arial" w:hAnsi="Arial" w:cs="Arial"/>
          <w:b/>
          <w:sz w:val="24"/>
          <w:szCs w:val="24"/>
        </w:rPr>
        <w:t>MIS</w:t>
      </w:r>
      <w:r>
        <w:rPr>
          <w:rFonts w:ascii="Arial" w:hAnsi="Arial" w:cs="Arial"/>
          <w:b/>
          <w:sz w:val="24"/>
          <w:szCs w:val="24"/>
        </w:rPr>
        <w:t xml:space="preserve"> isn’t changing</w:t>
      </w:r>
      <w:r w:rsidRPr="0012253A">
        <w:rPr>
          <w:rFonts w:ascii="Arial" w:hAnsi="Arial" w:cs="Arial"/>
          <w:b/>
          <w:sz w:val="24"/>
          <w:szCs w:val="24"/>
        </w:rPr>
        <w:t>?</w:t>
      </w:r>
    </w:p>
    <w:p w:rsidR="006626FE" w:rsidRDefault="006626FE" w:rsidP="006626F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 certificate access</w:t>
      </w:r>
    </w:p>
    <w:p w:rsidR="006626FE" w:rsidRDefault="006626FE" w:rsidP="006626F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reports or extracts will be removed</w:t>
      </w:r>
    </w:p>
    <w:p w:rsidR="006626FE" w:rsidRDefault="006626FE" w:rsidP="006626F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changes to applications accessed through MIS</w:t>
      </w:r>
    </w:p>
    <w:p w:rsidR="0012253A" w:rsidRPr="000970FB" w:rsidRDefault="006626FE" w:rsidP="000970F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API access will still be available</w:t>
      </w:r>
    </w:p>
    <w:sectPr w:rsidR="0012253A" w:rsidRPr="000970FB" w:rsidSect="001B10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8DF"/>
    <w:multiLevelType w:val="multilevel"/>
    <w:tmpl w:val="432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840B0"/>
    <w:multiLevelType w:val="multilevel"/>
    <w:tmpl w:val="A76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20AB3"/>
    <w:multiLevelType w:val="hybridMultilevel"/>
    <w:tmpl w:val="459C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3A"/>
    <w:rsid w:val="00002D14"/>
    <w:rsid w:val="000970FB"/>
    <w:rsid w:val="000A4E49"/>
    <w:rsid w:val="0012253A"/>
    <w:rsid w:val="001B1068"/>
    <w:rsid w:val="001B4E7D"/>
    <w:rsid w:val="00307370"/>
    <w:rsid w:val="00384AB0"/>
    <w:rsid w:val="003A227C"/>
    <w:rsid w:val="003F1BF6"/>
    <w:rsid w:val="004460EB"/>
    <w:rsid w:val="00511BA0"/>
    <w:rsid w:val="00582944"/>
    <w:rsid w:val="006626FE"/>
    <w:rsid w:val="009A2DE1"/>
    <w:rsid w:val="00A8575E"/>
    <w:rsid w:val="00B14972"/>
    <w:rsid w:val="00CD4F0E"/>
    <w:rsid w:val="00DC4BA6"/>
    <w:rsid w:val="00F25EA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56C48-7839-4A97-A0B4-D209F80A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userexperience@ercot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6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Julie</dc:creator>
  <cp:keywords/>
  <dc:description/>
  <cp:lastModifiedBy>House, Julie</cp:lastModifiedBy>
  <cp:revision>8</cp:revision>
  <dcterms:created xsi:type="dcterms:W3CDTF">2020-04-28T18:28:00Z</dcterms:created>
  <dcterms:modified xsi:type="dcterms:W3CDTF">2020-05-18T17:04:00Z</dcterms:modified>
</cp:coreProperties>
</file>