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630"/>
        <w:gridCol w:w="1350"/>
        <w:gridCol w:w="6750"/>
      </w:tblGrid>
      <w:tr w:rsidR="00067FE2" w14:paraId="309D9672" w14:textId="77777777" w:rsidTr="005858B5">
        <w:tc>
          <w:tcPr>
            <w:tcW w:w="1710" w:type="dxa"/>
            <w:tcBorders>
              <w:bottom w:val="single" w:sz="4" w:space="0" w:color="auto"/>
            </w:tcBorders>
            <w:shd w:val="clear" w:color="auto" w:fill="FFFFFF"/>
            <w:vAlign w:val="center"/>
          </w:tcPr>
          <w:p w14:paraId="2301281D" w14:textId="77777777" w:rsidR="00067FE2" w:rsidRDefault="00B815FD" w:rsidP="00573610">
            <w:pPr>
              <w:pStyle w:val="Header"/>
            </w:pPr>
            <w:r>
              <w:t>Key Topic</w:t>
            </w:r>
            <w:r w:rsidR="00573610">
              <w:t xml:space="preserve"> </w:t>
            </w:r>
            <w:r>
              <w:t xml:space="preserve">Concept (KTC) </w:t>
            </w:r>
            <w:r w:rsidR="00067FE2">
              <w:t>Number</w:t>
            </w:r>
          </w:p>
        </w:tc>
        <w:tc>
          <w:tcPr>
            <w:tcW w:w="630" w:type="dxa"/>
            <w:tcBorders>
              <w:bottom w:val="single" w:sz="4" w:space="0" w:color="auto"/>
            </w:tcBorders>
            <w:vAlign w:val="center"/>
          </w:tcPr>
          <w:p w14:paraId="7E6C938F" w14:textId="77777777" w:rsidR="00067FE2" w:rsidRPr="00073E79" w:rsidRDefault="00BF0DB2" w:rsidP="00D90D1A">
            <w:pPr>
              <w:pStyle w:val="Header"/>
              <w:jc w:val="center"/>
            </w:pPr>
            <w:r>
              <w:t>13</w:t>
            </w:r>
          </w:p>
        </w:tc>
        <w:tc>
          <w:tcPr>
            <w:tcW w:w="1350" w:type="dxa"/>
            <w:tcBorders>
              <w:bottom w:val="single" w:sz="4" w:space="0" w:color="auto"/>
            </w:tcBorders>
            <w:shd w:val="clear" w:color="auto" w:fill="FFFFFF"/>
            <w:vAlign w:val="center"/>
          </w:tcPr>
          <w:p w14:paraId="2665C98A" w14:textId="77777777" w:rsidR="00067FE2" w:rsidRPr="00073E79" w:rsidRDefault="00B815FD" w:rsidP="00F44236">
            <w:pPr>
              <w:pStyle w:val="Header"/>
            </w:pPr>
            <w:r w:rsidRPr="00073E79">
              <w:t>KTC</w:t>
            </w:r>
            <w:r w:rsidR="00067FE2" w:rsidRPr="00073E79">
              <w:t xml:space="preserve"> Title</w:t>
            </w:r>
          </w:p>
        </w:tc>
        <w:tc>
          <w:tcPr>
            <w:tcW w:w="6750" w:type="dxa"/>
            <w:tcBorders>
              <w:bottom w:val="single" w:sz="4" w:space="0" w:color="auto"/>
            </w:tcBorders>
            <w:vAlign w:val="center"/>
          </w:tcPr>
          <w:p w14:paraId="29F17EE3" w14:textId="77777777" w:rsidR="00067FE2" w:rsidRPr="00073E79" w:rsidRDefault="00421992" w:rsidP="00573610">
            <w:pPr>
              <w:pStyle w:val="Header"/>
            </w:pPr>
            <w:r>
              <w:t>Self-Limiting Issues R</w:t>
            </w:r>
            <w:r w:rsidR="00BF0DB2" w:rsidRPr="00BF0DB2">
              <w:t>elated to Interconnection Requests for Energy Storage Resources</w:t>
            </w:r>
          </w:p>
        </w:tc>
      </w:tr>
      <w:tr w:rsidR="00067FE2" w:rsidRPr="00E01925" w14:paraId="23C26B9D" w14:textId="77777777" w:rsidTr="0014561B">
        <w:trPr>
          <w:trHeight w:val="518"/>
        </w:trPr>
        <w:tc>
          <w:tcPr>
            <w:tcW w:w="2340" w:type="dxa"/>
            <w:gridSpan w:val="2"/>
            <w:shd w:val="clear" w:color="auto" w:fill="FFFFFF"/>
            <w:vAlign w:val="center"/>
          </w:tcPr>
          <w:p w14:paraId="28A14DEF" w14:textId="77777777" w:rsidR="00067FE2" w:rsidRPr="00073E79" w:rsidRDefault="00067FE2" w:rsidP="00F44236">
            <w:pPr>
              <w:pStyle w:val="Header"/>
              <w:rPr>
                <w:bCs w:val="0"/>
              </w:rPr>
            </w:pPr>
            <w:r w:rsidRPr="00073E79">
              <w:rPr>
                <w:bCs w:val="0"/>
              </w:rPr>
              <w:t>Date Posted</w:t>
            </w:r>
          </w:p>
        </w:tc>
        <w:tc>
          <w:tcPr>
            <w:tcW w:w="8100" w:type="dxa"/>
            <w:gridSpan w:val="2"/>
            <w:vAlign w:val="center"/>
          </w:tcPr>
          <w:p w14:paraId="4F379E58" w14:textId="7E65E7D3" w:rsidR="00067FE2" w:rsidRPr="00073E79" w:rsidRDefault="00615A46" w:rsidP="000730E5">
            <w:pPr>
              <w:pStyle w:val="NormalArial"/>
            </w:pPr>
            <w:r>
              <w:t>April 3, 2020</w:t>
            </w:r>
          </w:p>
        </w:tc>
      </w:tr>
      <w:tr w:rsidR="00067FE2" w14:paraId="133E975E"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74A7311C" w14:textId="77777777" w:rsidR="00067FE2" w:rsidRDefault="00067FE2" w:rsidP="00F44236">
            <w:pPr>
              <w:pStyle w:val="NormalArial"/>
            </w:pPr>
          </w:p>
        </w:tc>
        <w:tc>
          <w:tcPr>
            <w:tcW w:w="8100" w:type="dxa"/>
            <w:gridSpan w:val="2"/>
            <w:tcBorders>
              <w:top w:val="nil"/>
              <w:left w:val="nil"/>
              <w:bottom w:val="nil"/>
              <w:right w:val="nil"/>
            </w:tcBorders>
            <w:vAlign w:val="center"/>
          </w:tcPr>
          <w:p w14:paraId="4D13FF86" w14:textId="77777777" w:rsidR="00067FE2" w:rsidRDefault="00067FE2" w:rsidP="00F44236">
            <w:pPr>
              <w:pStyle w:val="NormalArial"/>
            </w:pPr>
          </w:p>
        </w:tc>
      </w:tr>
      <w:tr w:rsidR="009D17F0" w14:paraId="73173E0F"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6341A2E6" w14:textId="77777777" w:rsidR="009D17F0" w:rsidRDefault="00273AE9" w:rsidP="0066370F">
            <w:pPr>
              <w:pStyle w:val="Header"/>
            </w:pPr>
            <w:r>
              <w:t>Executive Summary</w:t>
            </w:r>
          </w:p>
        </w:tc>
        <w:tc>
          <w:tcPr>
            <w:tcW w:w="8100" w:type="dxa"/>
            <w:gridSpan w:val="2"/>
            <w:tcBorders>
              <w:top w:val="single" w:sz="4" w:space="0" w:color="auto"/>
            </w:tcBorders>
            <w:vAlign w:val="center"/>
          </w:tcPr>
          <w:p w14:paraId="681342C5" w14:textId="77777777" w:rsidR="00421992" w:rsidRDefault="00421992" w:rsidP="00421992">
            <w:pPr>
              <w:pStyle w:val="NormalArial"/>
              <w:spacing w:before="120" w:after="120"/>
              <w:rPr>
                <w:color w:val="000000"/>
              </w:rPr>
            </w:pPr>
            <w:r>
              <w:rPr>
                <w:color w:val="000000"/>
              </w:rPr>
              <w:t xml:space="preserve">A </w:t>
            </w:r>
            <w:r w:rsidR="003728E3">
              <w:rPr>
                <w:color w:val="000000"/>
              </w:rPr>
              <w:t>Self-Limiting generation site</w:t>
            </w:r>
            <w:r>
              <w:rPr>
                <w:color w:val="000000"/>
              </w:rPr>
              <w:t xml:space="preserve"> is described as a </w:t>
            </w:r>
            <w:r w:rsidR="003177E0">
              <w:rPr>
                <w:color w:val="000000"/>
              </w:rPr>
              <w:t xml:space="preserve">combination of </w:t>
            </w:r>
            <w:r w:rsidR="003728E3">
              <w:rPr>
                <w:color w:val="000000"/>
              </w:rPr>
              <w:t>one or more</w:t>
            </w:r>
            <w:r w:rsidR="003177E0">
              <w:rPr>
                <w:color w:val="000000"/>
              </w:rPr>
              <w:t xml:space="preserve"> Generation Resource</w:t>
            </w:r>
            <w:r w:rsidR="003728E3">
              <w:rPr>
                <w:color w:val="000000"/>
              </w:rPr>
              <w:t>s combined with</w:t>
            </w:r>
            <w:r>
              <w:rPr>
                <w:color w:val="000000"/>
              </w:rPr>
              <w:t xml:space="preserve"> </w:t>
            </w:r>
            <w:r w:rsidR="003177E0">
              <w:rPr>
                <w:color w:val="000000"/>
              </w:rPr>
              <w:t>e</w:t>
            </w:r>
            <w:r>
              <w:rPr>
                <w:color w:val="000000"/>
              </w:rPr>
              <w:t xml:space="preserve">nergy </w:t>
            </w:r>
            <w:r w:rsidR="003177E0">
              <w:rPr>
                <w:color w:val="000000"/>
              </w:rPr>
              <w:t>s</w:t>
            </w:r>
            <w:r w:rsidR="00DC1D21">
              <w:rPr>
                <w:color w:val="000000"/>
              </w:rPr>
              <w:t xml:space="preserve">torage </w:t>
            </w:r>
            <w:r w:rsidR="0056715B">
              <w:rPr>
                <w:color w:val="000000"/>
              </w:rPr>
              <w:t xml:space="preserve">system </w:t>
            </w:r>
            <w:r w:rsidR="00DC1D21">
              <w:rPr>
                <w:color w:val="000000"/>
              </w:rPr>
              <w:t>behind a single Point of I</w:t>
            </w:r>
            <w:r>
              <w:rPr>
                <w:color w:val="000000"/>
              </w:rPr>
              <w:t xml:space="preserve">nterconnection, where the sum of the capacity of the generation and </w:t>
            </w:r>
            <w:r w:rsidR="003177E0">
              <w:rPr>
                <w:color w:val="000000"/>
              </w:rPr>
              <w:t xml:space="preserve">the </w:t>
            </w:r>
            <w:r w:rsidR="0056715B">
              <w:rPr>
                <w:color w:val="000000"/>
              </w:rPr>
              <w:t xml:space="preserve">energy </w:t>
            </w:r>
            <w:r w:rsidR="003177E0">
              <w:rPr>
                <w:color w:val="000000"/>
              </w:rPr>
              <w:t>storage system</w:t>
            </w:r>
            <w:r>
              <w:rPr>
                <w:color w:val="000000"/>
              </w:rPr>
              <w:t xml:space="preserve"> is greater than </w:t>
            </w:r>
            <w:r w:rsidR="003177E0">
              <w:rPr>
                <w:color w:val="000000"/>
              </w:rPr>
              <w:t xml:space="preserve">either </w:t>
            </w:r>
            <w:r>
              <w:rPr>
                <w:color w:val="000000"/>
              </w:rPr>
              <w:t xml:space="preserve">the </w:t>
            </w:r>
            <w:r w:rsidR="003177E0">
              <w:rPr>
                <w:rFonts w:cs="Arial"/>
                <w:iCs/>
              </w:rPr>
              <w:t>maximum power export (</w:t>
            </w:r>
            <w:r w:rsidR="003177E0" w:rsidRPr="00BF0DB2">
              <w:rPr>
                <w:rFonts w:cs="Arial"/>
                <w:iCs/>
              </w:rPr>
              <w:t>Pmax</w:t>
            </w:r>
            <w:r w:rsidR="003177E0">
              <w:rPr>
                <w:rFonts w:cs="Arial"/>
                <w:iCs/>
              </w:rPr>
              <w:t>)</w:t>
            </w:r>
            <w:r w:rsidR="003177E0" w:rsidRPr="00BF0DB2">
              <w:rPr>
                <w:rFonts w:cs="Arial"/>
                <w:iCs/>
              </w:rPr>
              <w:t xml:space="preserve"> </w:t>
            </w:r>
            <w:r>
              <w:rPr>
                <w:color w:val="000000"/>
              </w:rPr>
              <w:t>rating as established in the Interconnection Agreement</w:t>
            </w:r>
            <w:r w:rsidR="003177E0">
              <w:rPr>
                <w:color w:val="000000"/>
              </w:rPr>
              <w:t>,</w:t>
            </w:r>
            <w:r>
              <w:rPr>
                <w:color w:val="000000"/>
              </w:rPr>
              <w:t xml:space="preserve"> or the i</w:t>
            </w:r>
            <w:r w:rsidR="003177E0">
              <w:rPr>
                <w:color w:val="000000"/>
              </w:rPr>
              <w:t xml:space="preserve">nverter rating. </w:t>
            </w:r>
            <w:r w:rsidR="0056715B">
              <w:rPr>
                <w:color w:val="000000"/>
              </w:rPr>
              <w:t>Similar consideration may also apply to maximum power withdrawal (Pmin).</w:t>
            </w:r>
          </w:p>
          <w:p w14:paraId="45F56B03" w14:textId="5614A15D" w:rsidR="0056715B" w:rsidRPr="00520C4C" w:rsidRDefault="00421992" w:rsidP="0056715B">
            <w:pPr>
              <w:pStyle w:val="NormalArial"/>
              <w:spacing w:before="120" w:after="120"/>
              <w:rPr>
                <w:color w:val="000000"/>
              </w:rPr>
            </w:pPr>
            <w:r>
              <w:rPr>
                <w:color w:val="000000"/>
              </w:rPr>
              <w:t xml:space="preserve">In these cases the Qualified Scheduling Entity (QSE) representing the </w:t>
            </w:r>
            <w:r w:rsidR="003728E3">
              <w:rPr>
                <w:color w:val="000000"/>
              </w:rPr>
              <w:t>Self-Limiting generation site</w:t>
            </w:r>
            <w:r w:rsidR="003177E0">
              <w:rPr>
                <w:color w:val="000000"/>
              </w:rPr>
              <w:t xml:space="preserve"> bears the responsibility of ensuring that energy exports from the </w:t>
            </w:r>
            <w:r w:rsidR="0056715B">
              <w:rPr>
                <w:color w:val="000000"/>
              </w:rPr>
              <w:t xml:space="preserve">generation site </w:t>
            </w:r>
            <w:r w:rsidR="003177E0">
              <w:rPr>
                <w:color w:val="000000"/>
              </w:rPr>
              <w:t>do not exceed the Pmax</w:t>
            </w:r>
            <w:r w:rsidR="0056715B">
              <w:rPr>
                <w:color w:val="000000"/>
              </w:rPr>
              <w:t xml:space="preserve"> and energy withdrawal from the grid does not ex</w:t>
            </w:r>
            <w:r w:rsidR="00977085">
              <w:rPr>
                <w:color w:val="000000"/>
              </w:rPr>
              <w:t>c</w:t>
            </w:r>
            <w:r w:rsidR="0056715B">
              <w:rPr>
                <w:color w:val="000000"/>
              </w:rPr>
              <w:t>eed the Pmin</w:t>
            </w:r>
            <w:r w:rsidR="003177E0">
              <w:rPr>
                <w:color w:val="000000"/>
              </w:rPr>
              <w:t>.</w:t>
            </w:r>
          </w:p>
        </w:tc>
      </w:tr>
      <w:tr w:rsidR="00032100" w14:paraId="2B40D852"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5DB4BBD6" w14:textId="77777777" w:rsidR="00032100" w:rsidRDefault="00032100" w:rsidP="00032100">
            <w:pPr>
              <w:pStyle w:val="Header"/>
            </w:pPr>
            <w:r>
              <w:t>Recommendation Description</w:t>
            </w:r>
          </w:p>
        </w:tc>
        <w:tc>
          <w:tcPr>
            <w:tcW w:w="8100" w:type="dxa"/>
            <w:gridSpan w:val="2"/>
            <w:tcBorders>
              <w:top w:val="single" w:sz="4" w:space="0" w:color="auto"/>
            </w:tcBorders>
            <w:vAlign w:val="center"/>
          </w:tcPr>
          <w:p w14:paraId="7996DA47" w14:textId="77777777" w:rsidR="009777EB" w:rsidRPr="00520C4C" w:rsidRDefault="00DC1D21" w:rsidP="00DC1D21">
            <w:pPr>
              <w:pStyle w:val="NormalArial"/>
              <w:spacing w:before="120" w:after="120"/>
              <w:rPr>
                <w:color w:val="000000"/>
              </w:rPr>
            </w:pPr>
            <w:r>
              <w:rPr>
                <w:color w:val="000000"/>
              </w:rPr>
              <w:t xml:space="preserve">QSEs should manage the performance of a </w:t>
            </w:r>
            <w:r w:rsidR="003728E3">
              <w:rPr>
                <w:color w:val="000000"/>
              </w:rPr>
              <w:t xml:space="preserve">Self-Limiting generation site </w:t>
            </w:r>
            <w:r>
              <w:rPr>
                <w:color w:val="000000"/>
              </w:rPr>
              <w:t>to as not to exceed the established Pmax or withdraw from the grid more than the established maximum withdrawal (Pmin).</w:t>
            </w:r>
          </w:p>
        </w:tc>
      </w:tr>
      <w:tr w:rsidR="00032100" w14:paraId="6D982BCC"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71B78572" w14:textId="77777777" w:rsidR="00032100" w:rsidRPr="00073E79" w:rsidRDefault="00032100" w:rsidP="00032100">
            <w:pPr>
              <w:pStyle w:val="Header"/>
            </w:pPr>
            <w:r w:rsidRPr="00073E79">
              <w:t xml:space="preserve">BESTF Discussion </w:t>
            </w:r>
          </w:p>
        </w:tc>
        <w:tc>
          <w:tcPr>
            <w:tcW w:w="8100" w:type="dxa"/>
            <w:gridSpan w:val="2"/>
            <w:tcBorders>
              <w:top w:val="single" w:sz="4" w:space="0" w:color="auto"/>
            </w:tcBorders>
            <w:vAlign w:val="center"/>
          </w:tcPr>
          <w:p w14:paraId="0B0DA633" w14:textId="77777777" w:rsidR="007B53B3" w:rsidRDefault="00CB03D4" w:rsidP="002A3531">
            <w:pPr>
              <w:pStyle w:val="NormalArial"/>
              <w:spacing w:before="120" w:after="120"/>
            </w:pPr>
            <w:r>
              <w:t>At the</w:t>
            </w:r>
            <w:r w:rsidR="00BF0DB2">
              <w:t xml:space="preserve"> </w:t>
            </w:r>
            <w:r w:rsidR="002A3531">
              <w:t xml:space="preserve">01/17/2020 and </w:t>
            </w:r>
            <w:r w:rsidR="00BF0DB2">
              <w:t>02/25/2020</w:t>
            </w:r>
            <w:r>
              <w:t xml:space="preserve"> meeting of the Battery Energy Storage Task Force (BESTF)</w:t>
            </w:r>
            <w:r w:rsidR="00DC1D21">
              <w:t>, E</w:t>
            </w:r>
            <w:r>
              <w:t xml:space="preserve">RCOT presented the outlines of a </w:t>
            </w:r>
            <w:hyperlink r:id="rId11" w:history="1">
              <w:r w:rsidRPr="00CB03D4">
                <w:rPr>
                  <w:rStyle w:val="Hyperlink"/>
                </w:rPr>
                <w:t>proposed approach</w:t>
              </w:r>
            </w:hyperlink>
            <w:r>
              <w:t xml:space="preserve"> for accommodating </w:t>
            </w:r>
            <w:r w:rsidR="003728E3">
              <w:rPr>
                <w:color w:val="000000"/>
              </w:rPr>
              <w:t>Self-Limiting generation site</w:t>
            </w:r>
            <w:r w:rsidR="003728E3">
              <w:t>s</w:t>
            </w:r>
            <w:r>
              <w:t xml:space="preserve">. </w:t>
            </w:r>
          </w:p>
          <w:p w14:paraId="28876771" w14:textId="092F31C6" w:rsidR="009C0863" w:rsidRPr="00BC3662" w:rsidRDefault="007B53B3" w:rsidP="002A3531">
            <w:pPr>
              <w:pStyle w:val="NormalArial"/>
              <w:spacing w:before="120" w:after="120"/>
            </w:pPr>
            <w:r>
              <w:t>On 03/13/20, the BESTF reached consensus on KTC 13.</w:t>
            </w:r>
            <w:r w:rsidR="00CB03D4">
              <w:t xml:space="preserve"> </w:t>
            </w:r>
          </w:p>
        </w:tc>
      </w:tr>
      <w:tr w:rsidR="00032100" w14:paraId="737048E5" w14:textId="77777777" w:rsidTr="0014561B">
        <w:trPr>
          <w:trHeight w:val="518"/>
        </w:trPr>
        <w:tc>
          <w:tcPr>
            <w:tcW w:w="2340" w:type="dxa"/>
            <w:gridSpan w:val="2"/>
            <w:tcBorders>
              <w:bottom w:val="single" w:sz="4" w:space="0" w:color="auto"/>
            </w:tcBorders>
            <w:shd w:val="clear" w:color="auto" w:fill="FFFFFF"/>
            <w:vAlign w:val="center"/>
          </w:tcPr>
          <w:p w14:paraId="01D51179" w14:textId="77777777" w:rsidR="00032100" w:rsidRDefault="00032100" w:rsidP="00032100">
            <w:pPr>
              <w:pStyle w:val="Header"/>
            </w:pPr>
            <w:r>
              <w:t>TAC Action Requested</w:t>
            </w:r>
          </w:p>
        </w:tc>
        <w:tc>
          <w:tcPr>
            <w:tcW w:w="8100" w:type="dxa"/>
            <w:gridSpan w:val="2"/>
            <w:tcBorders>
              <w:bottom w:val="single" w:sz="4" w:space="0" w:color="auto"/>
            </w:tcBorders>
            <w:vAlign w:val="center"/>
          </w:tcPr>
          <w:p w14:paraId="660BF2D8" w14:textId="267B8450" w:rsidR="00514E96" w:rsidRPr="00BC3662" w:rsidRDefault="00514E96" w:rsidP="00AA739F">
            <w:pPr>
              <w:pStyle w:val="NormalArial"/>
              <w:spacing w:before="120" w:after="120"/>
            </w:pPr>
          </w:p>
        </w:tc>
      </w:tr>
      <w:tr w:rsidR="00032100" w14:paraId="0E3EF401" w14:textId="77777777" w:rsidTr="0014561B">
        <w:trPr>
          <w:trHeight w:val="518"/>
        </w:trPr>
        <w:tc>
          <w:tcPr>
            <w:tcW w:w="2340" w:type="dxa"/>
            <w:gridSpan w:val="2"/>
            <w:tcBorders>
              <w:bottom w:val="single" w:sz="4" w:space="0" w:color="auto"/>
            </w:tcBorders>
            <w:shd w:val="clear" w:color="auto" w:fill="FFFFFF"/>
            <w:vAlign w:val="center"/>
          </w:tcPr>
          <w:p w14:paraId="35A976C6" w14:textId="77777777" w:rsidR="00032100" w:rsidRDefault="00032100" w:rsidP="00032100">
            <w:pPr>
              <w:pStyle w:val="Header"/>
            </w:pPr>
            <w:r>
              <w:t>TAC Action Summary</w:t>
            </w:r>
          </w:p>
        </w:tc>
        <w:tc>
          <w:tcPr>
            <w:tcW w:w="8100" w:type="dxa"/>
            <w:gridSpan w:val="2"/>
            <w:tcBorders>
              <w:bottom w:val="single" w:sz="4" w:space="0" w:color="auto"/>
            </w:tcBorders>
            <w:vAlign w:val="center"/>
          </w:tcPr>
          <w:p w14:paraId="413E4DE4" w14:textId="20051214" w:rsidR="00FC1CB1" w:rsidRPr="00BC3662" w:rsidRDefault="00615A46" w:rsidP="007334AB">
            <w:pPr>
              <w:pStyle w:val="NormalArial"/>
              <w:spacing w:before="120" w:after="120"/>
            </w:pPr>
            <w:r>
              <w:t>On 4/1/20, TAC approved KTC 13.</w:t>
            </w:r>
          </w:p>
        </w:tc>
      </w:tr>
    </w:tbl>
    <w:p w14:paraId="20238B7A" w14:textId="77777777" w:rsidR="000629A5" w:rsidRDefault="000629A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2125DC9" w14:textId="77777777">
        <w:trPr>
          <w:trHeight w:val="350"/>
        </w:trPr>
        <w:tc>
          <w:tcPr>
            <w:tcW w:w="10440" w:type="dxa"/>
            <w:tcBorders>
              <w:bottom w:val="single" w:sz="4" w:space="0" w:color="auto"/>
            </w:tcBorders>
            <w:shd w:val="clear" w:color="auto" w:fill="FFFFFF"/>
            <w:vAlign w:val="center"/>
          </w:tcPr>
          <w:p w14:paraId="0EAA9B3E" w14:textId="77777777" w:rsidR="009A3772" w:rsidRDefault="009A3772" w:rsidP="00782371">
            <w:pPr>
              <w:pStyle w:val="Header"/>
              <w:jc w:val="center"/>
            </w:pPr>
            <w:r>
              <w:t xml:space="preserve">Proposed </w:t>
            </w:r>
            <w:r w:rsidR="00B815FD">
              <w:t xml:space="preserve">KTC </w:t>
            </w:r>
            <w:r w:rsidR="00F235C3">
              <w:t>Recommendation</w:t>
            </w:r>
            <w:r w:rsidR="004A490A">
              <w:t xml:space="preserve"> </w:t>
            </w:r>
            <w:r w:rsidR="008F727F">
              <w:t>Language</w:t>
            </w:r>
          </w:p>
        </w:tc>
      </w:tr>
    </w:tbl>
    <w:p w14:paraId="55A4ADB4" w14:textId="77777777" w:rsidR="00BC2D06" w:rsidRPr="00957573" w:rsidRDefault="00BC2D06" w:rsidP="00BC2D06">
      <w:pPr>
        <w:ind w:left="360"/>
        <w:rPr>
          <w:rFonts w:ascii="Arial" w:hAnsi="Arial" w:cs="Arial"/>
        </w:rPr>
      </w:pPr>
    </w:p>
    <w:p w14:paraId="29A8A962" w14:textId="77777777" w:rsidR="004A490A" w:rsidRDefault="00B815FD" w:rsidP="00957573">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A84487" w:rsidRPr="00073E79">
        <w:rPr>
          <w:rFonts w:ascii="Arial" w:hAnsi="Arial" w:cs="Arial"/>
          <w:i/>
          <w:sz w:val="22"/>
          <w:szCs w:val="22"/>
        </w:rPr>
        <w:t xml:space="preserve">recommendation </w:t>
      </w:r>
      <w:r w:rsidRPr="00073E79">
        <w:rPr>
          <w:rFonts w:ascii="Arial" w:hAnsi="Arial" w:cs="Arial"/>
          <w:i/>
          <w:sz w:val="22"/>
          <w:szCs w:val="22"/>
        </w:rPr>
        <w:t>Language</w:t>
      </w:r>
      <w:r w:rsidR="004A490A" w:rsidRPr="00073E79">
        <w:rPr>
          <w:rFonts w:ascii="Arial" w:hAnsi="Arial" w:cs="Arial"/>
          <w:i/>
          <w:sz w:val="22"/>
          <w:szCs w:val="22"/>
        </w:rPr>
        <w:t xml:space="preserve"> for </w:t>
      </w:r>
      <w:r w:rsidR="0031655A" w:rsidRPr="00073E79">
        <w:rPr>
          <w:rFonts w:ascii="Arial" w:hAnsi="Arial" w:cs="Arial"/>
          <w:i/>
          <w:sz w:val="22"/>
          <w:szCs w:val="22"/>
        </w:rPr>
        <w:t xml:space="preserve">TAC </w:t>
      </w:r>
      <w:r w:rsidR="00627F3F">
        <w:rPr>
          <w:rFonts w:ascii="Arial" w:hAnsi="Arial" w:cs="Arial"/>
          <w:i/>
          <w:sz w:val="22"/>
          <w:szCs w:val="22"/>
        </w:rPr>
        <w:t>Approval</w:t>
      </w:r>
    </w:p>
    <w:p w14:paraId="4676EA05" w14:textId="76AC8997" w:rsidR="001A7A9B" w:rsidRDefault="00615A46" w:rsidP="00073E79">
      <w:pPr>
        <w:pStyle w:val="ListParagraph"/>
        <w:spacing w:before="120" w:after="120"/>
        <w:ind w:left="0"/>
        <w:contextualSpacing w:val="0"/>
        <w:rPr>
          <w:rFonts w:cs="Arial"/>
          <w:iCs/>
          <w:color w:val="auto"/>
        </w:rPr>
      </w:pPr>
      <w:r>
        <w:rPr>
          <w:rFonts w:cs="Arial"/>
          <w:iCs/>
          <w:color w:val="auto"/>
        </w:rPr>
        <w:t>None.</w:t>
      </w:r>
    </w:p>
    <w:p w14:paraId="5AFC9E5A" w14:textId="77777777" w:rsidR="00D05BB9" w:rsidRPr="00073E79" w:rsidRDefault="00D05BB9" w:rsidP="00073E79">
      <w:pPr>
        <w:pStyle w:val="ListParagraph"/>
        <w:spacing w:before="120" w:after="120"/>
        <w:ind w:left="0"/>
        <w:contextualSpacing w:val="0"/>
        <w:rPr>
          <w:rFonts w:cs="Arial"/>
          <w:iCs/>
          <w:color w:val="auto"/>
        </w:rPr>
      </w:pPr>
    </w:p>
    <w:p w14:paraId="2853C90D" w14:textId="77777777"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236AB" w:rsidRPr="00073E79">
        <w:rPr>
          <w:rFonts w:ascii="Arial" w:hAnsi="Arial" w:cs="Arial"/>
          <w:i/>
          <w:sz w:val="22"/>
          <w:szCs w:val="22"/>
        </w:rPr>
        <w:t xml:space="preserve"> </w:t>
      </w:r>
      <w:r w:rsidR="0031655A" w:rsidRPr="00073E79">
        <w:rPr>
          <w:rFonts w:ascii="Arial" w:hAnsi="Arial" w:cs="Arial"/>
          <w:i/>
          <w:sz w:val="22"/>
          <w:szCs w:val="22"/>
        </w:rPr>
        <w:t xml:space="preserve">Previously </w:t>
      </w:r>
      <w:r w:rsidR="00627F3F">
        <w:rPr>
          <w:rFonts w:ascii="Arial" w:hAnsi="Arial" w:cs="Arial"/>
          <w:i/>
          <w:sz w:val="22"/>
          <w:szCs w:val="22"/>
        </w:rPr>
        <w:t>APProved</w:t>
      </w:r>
      <w:r w:rsidR="006236AB" w:rsidRPr="00073E79">
        <w:rPr>
          <w:rFonts w:ascii="Arial" w:hAnsi="Arial" w:cs="Arial"/>
          <w:i/>
          <w:sz w:val="22"/>
          <w:szCs w:val="22"/>
        </w:rPr>
        <w:t xml:space="preserve"> by tac</w:t>
      </w:r>
    </w:p>
    <w:p w14:paraId="3B9C22B7" w14:textId="77777777" w:rsidR="00615A46" w:rsidRDefault="00615A46" w:rsidP="00615A46">
      <w:pPr>
        <w:pStyle w:val="ListParagraph"/>
        <w:numPr>
          <w:ilvl w:val="0"/>
          <w:numId w:val="50"/>
        </w:numPr>
        <w:spacing w:before="120" w:after="120"/>
        <w:contextualSpacing w:val="0"/>
        <w:rPr>
          <w:rFonts w:cs="Arial"/>
          <w:iCs/>
          <w:color w:val="auto"/>
        </w:rPr>
      </w:pPr>
      <w:r w:rsidRPr="00BF0DB2">
        <w:rPr>
          <w:rFonts w:cs="Arial"/>
          <w:iCs/>
          <w:color w:val="auto"/>
        </w:rPr>
        <w:t xml:space="preserve">Assumptions for Self-Limiting </w:t>
      </w:r>
      <w:r>
        <w:rPr>
          <w:rFonts w:cs="Arial"/>
          <w:iCs/>
          <w:color w:val="auto"/>
        </w:rPr>
        <w:t>generation site</w:t>
      </w:r>
    </w:p>
    <w:p w14:paraId="6FEC9ED1" w14:textId="77777777" w:rsidR="00615A46" w:rsidRPr="00BF0DB2" w:rsidRDefault="00615A46" w:rsidP="00615A46">
      <w:pPr>
        <w:pStyle w:val="ListParagraph"/>
        <w:numPr>
          <w:ilvl w:val="1"/>
          <w:numId w:val="50"/>
        </w:numPr>
        <w:spacing w:before="120" w:after="120"/>
        <w:rPr>
          <w:rFonts w:cs="Arial"/>
          <w:iCs/>
          <w:color w:val="auto"/>
        </w:rPr>
      </w:pPr>
      <w:r w:rsidRPr="00BF0DB2">
        <w:rPr>
          <w:rFonts w:cs="Arial"/>
          <w:iCs/>
          <w:color w:val="auto"/>
        </w:rPr>
        <w:lastRenderedPageBreak/>
        <w:t>The addition of energy storage</w:t>
      </w:r>
      <w:r>
        <w:rPr>
          <w:rFonts w:cs="Arial"/>
          <w:iCs/>
          <w:color w:val="auto"/>
        </w:rPr>
        <w:t xml:space="preserve"> system</w:t>
      </w:r>
      <w:r w:rsidRPr="00BF0DB2">
        <w:rPr>
          <w:rFonts w:cs="Arial"/>
          <w:iCs/>
          <w:color w:val="auto"/>
        </w:rPr>
        <w:t xml:space="preserve"> to an existing generation site that is not intended to increase amount of MW that can be injected at the </w:t>
      </w:r>
      <w:r>
        <w:rPr>
          <w:rFonts w:cs="Arial"/>
          <w:iCs/>
          <w:color w:val="auto"/>
        </w:rPr>
        <w:t>Point of Interconnection (</w:t>
      </w:r>
      <w:r w:rsidRPr="00BF0DB2">
        <w:rPr>
          <w:rFonts w:cs="Arial"/>
          <w:iCs/>
          <w:color w:val="auto"/>
        </w:rPr>
        <w:t>POI</w:t>
      </w:r>
      <w:r>
        <w:rPr>
          <w:rFonts w:cs="Arial"/>
          <w:iCs/>
          <w:color w:val="auto"/>
        </w:rPr>
        <w:t>)</w:t>
      </w:r>
      <w:r w:rsidRPr="00BF0DB2">
        <w:rPr>
          <w:rFonts w:cs="Arial"/>
          <w:iCs/>
          <w:color w:val="auto"/>
        </w:rPr>
        <w:t xml:space="preserve">. </w:t>
      </w:r>
      <w:r>
        <w:rPr>
          <w:rFonts w:cs="Arial"/>
          <w:iCs/>
          <w:color w:val="auto"/>
        </w:rPr>
        <w:t>The maximum power export rating (</w:t>
      </w:r>
      <w:r w:rsidRPr="00BF0DB2">
        <w:rPr>
          <w:rFonts w:cs="Arial"/>
          <w:iCs/>
          <w:color w:val="auto"/>
        </w:rPr>
        <w:t>Pmax</w:t>
      </w:r>
      <w:r>
        <w:rPr>
          <w:rFonts w:cs="Arial"/>
          <w:iCs/>
          <w:color w:val="auto"/>
        </w:rPr>
        <w:t>)</w:t>
      </w:r>
      <w:r w:rsidRPr="00BF0DB2">
        <w:rPr>
          <w:rFonts w:cs="Arial"/>
          <w:iCs/>
          <w:color w:val="auto"/>
        </w:rPr>
        <w:t xml:space="preserve"> at the POI</w:t>
      </w:r>
      <w:r>
        <w:rPr>
          <w:rFonts w:cs="Arial"/>
          <w:iCs/>
          <w:color w:val="auto"/>
        </w:rPr>
        <w:t xml:space="preserve"> as established </w:t>
      </w:r>
      <w:r w:rsidRPr="00BF0DB2">
        <w:rPr>
          <w:rFonts w:cs="Arial"/>
          <w:iCs/>
          <w:color w:val="auto"/>
        </w:rPr>
        <w:t xml:space="preserve">in the </w:t>
      </w:r>
      <w:r>
        <w:rPr>
          <w:rFonts w:cs="Arial"/>
          <w:iCs/>
          <w:color w:val="auto"/>
        </w:rPr>
        <w:t>Interconnection Agreement (</w:t>
      </w:r>
      <w:r w:rsidRPr="00BF0DB2">
        <w:rPr>
          <w:rFonts w:cs="Arial"/>
          <w:iCs/>
          <w:color w:val="auto"/>
        </w:rPr>
        <w:t>IA</w:t>
      </w:r>
      <w:r>
        <w:rPr>
          <w:rFonts w:cs="Arial"/>
          <w:iCs/>
          <w:color w:val="auto"/>
        </w:rPr>
        <w:t>)</w:t>
      </w:r>
      <w:r w:rsidRPr="00BF0DB2">
        <w:rPr>
          <w:rFonts w:cs="Arial"/>
          <w:iCs/>
          <w:color w:val="auto"/>
        </w:rPr>
        <w:t xml:space="preserve"> does not change. </w:t>
      </w:r>
    </w:p>
    <w:p w14:paraId="6395BE0C" w14:textId="77777777" w:rsidR="00615A46" w:rsidRPr="00BF0DB2" w:rsidRDefault="00615A46" w:rsidP="00615A46">
      <w:pPr>
        <w:pStyle w:val="ListParagraph"/>
        <w:numPr>
          <w:ilvl w:val="1"/>
          <w:numId w:val="50"/>
        </w:numPr>
        <w:spacing w:before="120" w:after="120"/>
        <w:rPr>
          <w:rFonts w:cs="Arial"/>
          <w:iCs/>
          <w:color w:val="auto"/>
        </w:rPr>
      </w:pPr>
      <w:r>
        <w:rPr>
          <w:rFonts w:cs="Arial"/>
          <w:iCs/>
          <w:color w:val="auto"/>
        </w:rPr>
        <w:t>N</w:t>
      </w:r>
      <w:r w:rsidRPr="00BF0DB2">
        <w:rPr>
          <w:rFonts w:cs="Arial"/>
          <w:iCs/>
          <w:color w:val="auto"/>
        </w:rPr>
        <w:t xml:space="preserve">ew energy storage </w:t>
      </w:r>
      <w:r>
        <w:rPr>
          <w:rFonts w:cs="Arial"/>
          <w:iCs/>
          <w:color w:val="auto"/>
        </w:rPr>
        <w:t>system</w:t>
      </w:r>
      <w:r w:rsidRPr="00BF0DB2">
        <w:rPr>
          <w:rFonts w:cs="Arial"/>
          <w:iCs/>
          <w:color w:val="auto"/>
        </w:rPr>
        <w:t xml:space="preserve"> </w:t>
      </w:r>
      <w:r>
        <w:rPr>
          <w:rFonts w:cs="Arial"/>
          <w:iCs/>
          <w:color w:val="auto"/>
        </w:rPr>
        <w:t xml:space="preserve">is </w:t>
      </w:r>
      <w:r w:rsidRPr="00BF0DB2">
        <w:rPr>
          <w:rFonts w:cs="Arial"/>
          <w:iCs/>
          <w:color w:val="auto"/>
        </w:rPr>
        <w:t xml:space="preserve">co-located with </w:t>
      </w:r>
      <w:r>
        <w:rPr>
          <w:rFonts w:cs="Arial"/>
          <w:iCs/>
          <w:color w:val="auto"/>
        </w:rPr>
        <w:t>one or more</w:t>
      </w:r>
      <w:r w:rsidRPr="00BF0DB2">
        <w:rPr>
          <w:rFonts w:cs="Arial"/>
          <w:iCs/>
          <w:color w:val="auto"/>
        </w:rPr>
        <w:t xml:space="preserve"> </w:t>
      </w:r>
      <w:r>
        <w:rPr>
          <w:rFonts w:cs="Arial"/>
          <w:iCs/>
          <w:color w:val="auto"/>
        </w:rPr>
        <w:t>G</w:t>
      </w:r>
      <w:r w:rsidRPr="00BF0DB2">
        <w:rPr>
          <w:rFonts w:cs="Arial"/>
          <w:iCs/>
          <w:color w:val="auto"/>
        </w:rPr>
        <w:t xml:space="preserve">eneration </w:t>
      </w:r>
      <w:r>
        <w:rPr>
          <w:rFonts w:cs="Arial"/>
          <w:iCs/>
          <w:color w:val="auto"/>
        </w:rPr>
        <w:t>Resources</w:t>
      </w:r>
      <w:r w:rsidRPr="00BF0DB2">
        <w:rPr>
          <w:rFonts w:cs="Arial"/>
          <w:iCs/>
          <w:color w:val="auto"/>
        </w:rPr>
        <w:t xml:space="preserve"> </w:t>
      </w:r>
      <w:r>
        <w:rPr>
          <w:rFonts w:cs="Arial"/>
          <w:iCs/>
          <w:color w:val="auto"/>
        </w:rPr>
        <w:t>where the</w:t>
      </w:r>
      <w:r w:rsidRPr="00BF0DB2">
        <w:rPr>
          <w:rFonts w:cs="Arial"/>
          <w:iCs/>
          <w:color w:val="auto"/>
        </w:rPr>
        <w:t xml:space="preserve"> Pmax in the IA </w:t>
      </w:r>
      <w:r>
        <w:rPr>
          <w:rFonts w:cs="Arial"/>
          <w:iCs/>
          <w:color w:val="auto"/>
        </w:rPr>
        <w:t xml:space="preserve">is </w:t>
      </w:r>
      <w:r w:rsidRPr="00BF0DB2">
        <w:rPr>
          <w:rFonts w:cs="Arial"/>
          <w:iCs/>
          <w:color w:val="auto"/>
        </w:rPr>
        <w:t xml:space="preserve">lower than </w:t>
      </w:r>
      <w:r>
        <w:rPr>
          <w:rFonts w:cs="Arial"/>
          <w:iCs/>
          <w:color w:val="auto"/>
        </w:rPr>
        <w:t xml:space="preserve">the </w:t>
      </w:r>
      <w:r w:rsidRPr="00BF0DB2">
        <w:rPr>
          <w:rFonts w:cs="Arial"/>
          <w:iCs/>
          <w:color w:val="auto"/>
        </w:rPr>
        <w:t>total installed MW capacity behind the POI.</w:t>
      </w:r>
    </w:p>
    <w:p w14:paraId="02A8B199" w14:textId="77777777" w:rsidR="00615A46" w:rsidRPr="00BF0DB2" w:rsidRDefault="00615A46" w:rsidP="00615A46">
      <w:pPr>
        <w:pStyle w:val="ListParagraph"/>
        <w:numPr>
          <w:ilvl w:val="1"/>
          <w:numId w:val="50"/>
        </w:numPr>
        <w:spacing w:before="120" w:after="120"/>
        <w:rPr>
          <w:rFonts w:cs="Arial"/>
          <w:iCs/>
          <w:color w:val="auto"/>
        </w:rPr>
      </w:pPr>
      <w:r>
        <w:rPr>
          <w:rFonts w:cs="Arial"/>
          <w:iCs/>
          <w:color w:val="auto"/>
        </w:rPr>
        <w:t>Total i</w:t>
      </w:r>
      <w:r w:rsidRPr="00BF0DB2">
        <w:rPr>
          <w:rFonts w:cs="Arial"/>
          <w:iCs/>
          <w:color w:val="auto"/>
        </w:rPr>
        <w:t xml:space="preserve">nstalled AC/DC MW capacity behind the POI may exceed </w:t>
      </w:r>
      <w:r>
        <w:rPr>
          <w:rFonts w:cs="Arial"/>
          <w:iCs/>
          <w:color w:val="auto"/>
        </w:rPr>
        <w:t xml:space="preserve">either the </w:t>
      </w:r>
      <w:r w:rsidRPr="00BF0DB2">
        <w:rPr>
          <w:rFonts w:cs="Arial"/>
          <w:iCs/>
          <w:color w:val="auto"/>
        </w:rPr>
        <w:t xml:space="preserve">inverter rating or the </w:t>
      </w:r>
      <w:r>
        <w:rPr>
          <w:rFonts w:cs="Arial"/>
          <w:iCs/>
          <w:color w:val="auto"/>
        </w:rPr>
        <w:t xml:space="preserve">Pmax in the </w:t>
      </w:r>
      <w:r w:rsidRPr="00BF0DB2">
        <w:rPr>
          <w:rFonts w:cs="Arial"/>
          <w:iCs/>
          <w:color w:val="auto"/>
        </w:rPr>
        <w:t xml:space="preserve">IA, but the power injected into ERCOT grid will always be limited to the Pmax in the IA.  </w:t>
      </w:r>
    </w:p>
    <w:p w14:paraId="1CB1E8E4" w14:textId="77777777" w:rsidR="00615A46" w:rsidRDefault="00615A46" w:rsidP="00615A46">
      <w:pPr>
        <w:pStyle w:val="ListParagraph"/>
        <w:numPr>
          <w:ilvl w:val="1"/>
          <w:numId w:val="50"/>
        </w:numPr>
        <w:spacing w:before="120" w:after="120"/>
        <w:rPr>
          <w:rFonts w:cs="Arial"/>
          <w:iCs/>
          <w:color w:val="auto"/>
        </w:rPr>
      </w:pPr>
      <w:r w:rsidRPr="00BF0DB2">
        <w:rPr>
          <w:rFonts w:cs="Arial"/>
          <w:iCs/>
          <w:color w:val="auto"/>
        </w:rPr>
        <w:t xml:space="preserve">As a part of </w:t>
      </w:r>
      <w:r>
        <w:rPr>
          <w:rFonts w:cs="Arial"/>
          <w:iCs/>
          <w:color w:val="auto"/>
        </w:rPr>
        <w:t>the Generation Interconnection (</w:t>
      </w:r>
      <w:r w:rsidRPr="00BF0DB2">
        <w:rPr>
          <w:rFonts w:cs="Arial"/>
          <w:iCs/>
          <w:color w:val="auto"/>
        </w:rPr>
        <w:t>GINR</w:t>
      </w:r>
      <w:r>
        <w:rPr>
          <w:rFonts w:cs="Arial"/>
          <w:iCs/>
          <w:color w:val="auto"/>
        </w:rPr>
        <w:t>)</w:t>
      </w:r>
      <w:r w:rsidRPr="00BF0DB2">
        <w:rPr>
          <w:rFonts w:cs="Arial"/>
          <w:iCs/>
          <w:color w:val="auto"/>
        </w:rPr>
        <w:t xml:space="preserve"> process, </w:t>
      </w:r>
      <w:r>
        <w:rPr>
          <w:rFonts w:cs="Arial"/>
          <w:iCs/>
          <w:color w:val="auto"/>
        </w:rPr>
        <w:t xml:space="preserve">the </w:t>
      </w:r>
      <w:r w:rsidRPr="00BF0DB2">
        <w:rPr>
          <w:rFonts w:cs="Arial"/>
          <w:iCs/>
          <w:color w:val="auto"/>
        </w:rPr>
        <w:t xml:space="preserve">Interconnecting Entity (IE) shall provide </w:t>
      </w:r>
      <w:r>
        <w:rPr>
          <w:rFonts w:cs="Arial"/>
          <w:iCs/>
          <w:color w:val="auto"/>
        </w:rPr>
        <w:t xml:space="preserve">to ERCOT </w:t>
      </w:r>
      <w:r w:rsidRPr="00BF0DB2">
        <w:rPr>
          <w:rFonts w:cs="Arial"/>
          <w:iCs/>
          <w:color w:val="auto"/>
        </w:rPr>
        <w:t>all details of the physically-limiting elements (e.g. inverters</w:t>
      </w:r>
      <w:r>
        <w:rPr>
          <w:rFonts w:cs="Arial"/>
          <w:iCs/>
          <w:color w:val="auto"/>
        </w:rPr>
        <w:t>, Generation Step-Up transformers etc.</w:t>
      </w:r>
      <w:r w:rsidRPr="00BF0DB2">
        <w:rPr>
          <w:rFonts w:cs="Arial"/>
          <w:iCs/>
          <w:color w:val="auto"/>
        </w:rPr>
        <w:t xml:space="preserve">) and/or </w:t>
      </w:r>
      <w:r>
        <w:rPr>
          <w:rFonts w:cs="Arial"/>
          <w:iCs/>
          <w:color w:val="auto"/>
        </w:rPr>
        <w:t xml:space="preserve">the </w:t>
      </w:r>
      <w:r w:rsidRPr="00BF0DB2">
        <w:rPr>
          <w:rFonts w:cs="Arial"/>
          <w:iCs/>
          <w:color w:val="auto"/>
        </w:rPr>
        <w:t>controller</w:t>
      </w:r>
      <w:r>
        <w:rPr>
          <w:rFonts w:cs="Arial"/>
          <w:iCs/>
          <w:color w:val="auto"/>
        </w:rPr>
        <w:t>(s)</w:t>
      </w:r>
      <w:r w:rsidRPr="00BF0DB2">
        <w:rPr>
          <w:rFonts w:cs="Arial"/>
          <w:iCs/>
          <w:color w:val="auto"/>
        </w:rPr>
        <w:t xml:space="preserve"> </w:t>
      </w:r>
      <w:r>
        <w:rPr>
          <w:rFonts w:cs="Arial"/>
          <w:iCs/>
          <w:color w:val="auto"/>
        </w:rPr>
        <w:t xml:space="preserve">settings at the combined facility </w:t>
      </w:r>
      <w:r w:rsidRPr="00BF0DB2">
        <w:rPr>
          <w:rFonts w:cs="Arial"/>
          <w:iCs/>
          <w:color w:val="auto"/>
        </w:rPr>
        <w:t xml:space="preserve">that will enforce the limit. </w:t>
      </w:r>
      <w:r>
        <w:rPr>
          <w:rFonts w:cs="Arial"/>
          <w:iCs/>
          <w:color w:val="auto"/>
        </w:rPr>
        <w:t xml:space="preserve">A </w:t>
      </w:r>
      <w:r w:rsidRPr="00BF0DB2">
        <w:rPr>
          <w:rFonts w:cs="Arial"/>
          <w:iCs/>
          <w:color w:val="auto"/>
        </w:rPr>
        <w:t>TSP may install additional schemes to ensure adequate protection.</w:t>
      </w:r>
    </w:p>
    <w:p w14:paraId="7040300B" w14:textId="77777777" w:rsidR="00615A46" w:rsidRPr="0034557E" w:rsidRDefault="00615A46" w:rsidP="00615A46">
      <w:pPr>
        <w:pStyle w:val="ListParagraph"/>
        <w:numPr>
          <w:ilvl w:val="1"/>
          <w:numId w:val="50"/>
        </w:numPr>
        <w:spacing w:before="120" w:after="120"/>
        <w:rPr>
          <w:rFonts w:cs="Arial"/>
          <w:iCs/>
          <w:color w:val="auto"/>
        </w:rPr>
      </w:pPr>
      <w:r w:rsidRPr="0034557E">
        <w:rPr>
          <w:rFonts w:cs="Arial"/>
          <w:iCs/>
          <w:color w:val="auto"/>
        </w:rPr>
        <w:t xml:space="preserve">Analogous assumptions and requirements apply for a Self-limiting generation site that </w:t>
      </w:r>
      <w:r>
        <w:rPr>
          <w:rFonts w:cs="Arial"/>
          <w:iCs/>
          <w:color w:val="auto"/>
        </w:rPr>
        <w:t>intends</w:t>
      </w:r>
      <w:r w:rsidRPr="0034557E">
        <w:rPr>
          <w:rFonts w:cs="Arial"/>
          <w:iCs/>
          <w:color w:val="auto"/>
        </w:rPr>
        <w:t xml:space="preserve"> </w:t>
      </w:r>
      <w:r>
        <w:rPr>
          <w:rFonts w:cs="Arial"/>
          <w:iCs/>
          <w:color w:val="auto"/>
        </w:rPr>
        <w:t>to l</w:t>
      </w:r>
      <w:r w:rsidRPr="0034557E">
        <w:rPr>
          <w:rFonts w:cs="Arial"/>
          <w:iCs/>
          <w:color w:val="auto"/>
        </w:rPr>
        <w:t>imit the energy withdrawal from the grid</w:t>
      </w:r>
      <w:r>
        <w:rPr>
          <w:rFonts w:cs="Arial"/>
          <w:iCs/>
          <w:color w:val="auto"/>
        </w:rPr>
        <w:t xml:space="preserve"> to a certain Pmin which is less than total withdrawal capability of the Self-limiting generation site</w:t>
      </w:r>
      <w:r w:rsidRPr="0034557E">
        <w:rPr>
          <w:rFonts w:cs="Arial"/>
          <w:iCs/>
          <w:color w:val="auto"/>
        </w:rPr>
        <w:t xml:space="preserve">. </w:t>
      </w:r>
    </w:p>
    <w:p w14:paraId="69801632" w14:textId="77777777" w:rsidR="00615A46" w:rsidRDefault="00615A46" w:rsidP="00615A46">
      <w:pPr>
        <w:pStyle w:val="ListParagraph"/>
        <w:numPr>
          <w:ilvl w:val="0"/>
          <w:numId w:val="50"/>
        </w:numPr>
        <w:spacing w:before="120" w:after="120"/>
        <w:rPr>
          <w:rFonts w:cs="Arial"/>
          <w:iCs/>
          <w:color w:val="auto"/>
        </w:rPr>
      </w:pPr>
      <w:r w:rsidRPr="00BF0DB2">
        <w:rPr>
          <w:rFonts w:cs="Arial"/>
          <w:iCs/>
          <w:color w:val="auto"/>
        </w:rPr>
        <w:t xml:space="preserve">Compliance and Monitoring program for Self-Limiting </w:t>
      </w:r>
      <w:r>
        <w:rPr>
          <w:rFonts w:cs="Arial"/>
          <w:iCs/>
          <w:color w:val="auto"/>
        </w:rPr>
        <w:t>generation site</w:t>
      </w:r>
    </w:p>
    <w:p w14:paraId="71E07445" w14:textId="77777777" w:rsidR="00615A46" w:rsidRDefault="00615A46" w:rsidP="00615A46">
      <w:pPr>
        <w:pStyle w:val="ListParagraph"/>
        <w:spacing w:before="120" w:after="120"/>
        <w:rPr>
          <w:rFonts w:cs="Arial"/>
          <w:iCs/>
          <w:color w:val="auto"/>
        </w:rPr>
      </w:pPr>
    </w:p>
    <w:p w14:paraId="4AD981CA" w14:textId="77777777" w:rsidR="00615A46" w:rsidRPr="00BF0DB2" w:rsidRDefault="00615A46" w:rsidP="00615A46">
      <w:pPr>
        <w:pStyle w:val="ListParagraph"/>
        <w:numPr>
          <w:ilvl w:val="1"/>
          <w:numId w:val="50"/>
        </w:numPr>
        <w:spacing w:before="120" w:after="120"/>
        <w:rPr>
          <w:rFonts w:cs="Arial"/>
          <w:iCs/>
          <w:color w:val="auto"/>
        </w:rPr>
      </w:pPr>
      <w:r w:rsidRPr="00BF0DB2">
        <w:rPr>
          <w:rFonts w:cs="Arial"/>
          <w:iCs/>
          <w:color w:val="auto"/>
        </w:rPr>
        <w:t xml:space="preserve">During commissioning, the IE will be required to demonstrate that </w:t>
      </w:r>
      <w:r>
        <w:rPr>
          <w:rFonts w:cs="Arial"/>
          <w:iCs/>
          <w:color w:val="auto"/>
        </w:rPr>
        <w:t>it has</w:t>
      </w:r>
      <w:r w:rsidRPr="00BF0DB2">
        <w:rPr>
          <w:rFonts w:cs="Arial"/>
          <w:iCs/>
          <w:color w:val="auto"/>
        </w:rPr>
        <w:t xml:space="preserve"> installed a generation limiting scheme that ensures the </w:t>
      </w:r>
      <w:r>
        <w:rPr>
          <w:color w:val="000000"/>
        </w:rPr>
        <w:t>Self-Limiting generation site</w:t>
      </w:r>
      <w:r>
        <w:rPr>
          <w:rFonts w:cs="Arial"/>
          <w:iCs/>
          <w:color w:val="auto"/>
        </w:rPr>
        <w:t>’s</w:t>
      </w:r>
      <w:r w:rsidRPr="00BF0DB2" w:rsidDel="0024428E">
        <w:rPr>
          <w:rFonts w:cs="Arial"/>
          <w:iCs/>
          <w:color w:val="auto"/>
        </w:rPr>
        <w:t xml:space="preserve"> </w:t>
      </w:r>
      <w:r w:rsidRPr="00BF0DB2">
        <w:rPr>
          <w:rFonts w:cs="Arial"/>
          <w:iCs/>
          <w:color w:val="auto"/>
        </w:rPr>
        <w:t xml:space="preserve">output will not exceed </w:t>
      </w:r>
      <w:r>
        <w:rPr>
          <w:rFonts w:cs="Arial"/>
          <w:iCs/>
          <w:color w:val="auto"/>
        </w:rPr>
        <w:t>its</w:t>
      </w:r>
      <w:r w:rsidRPr="00BF0DB2">
        <w:rPr>
          <w:rFonts w:cs="Arial"/>
          <w:iCs/>
          <w:color w:val="auto"/>
        </w:rPr>
        <w:t xml:space="preserve"> </w:t>
      </w:r>
      <w:r>
        <w:rPr>
          <w:rFonts w:cs="Arial"/>
          <w:iCs/>
          <w:color w:val="auto"/>
        </w:rPr>
        <w:t xml:space="preserve">total </w:t>
      </w:r>
      <w:r w:rsidRPr="00BF0DB2">
        <w:rPr>
          <w:rFonts w:cs="Arial"/>
          <w:iCs/>
          <w:color w:val="auto"/>
        </w:rPr>
        <w:t>Pmax</w:t>
      </w:r>
      <w:r>
        <w:rPr>
          <w:rFonts w:cs="Arial"/>
          <w:iCs/>
          <w:color w:val="auto"/>
        </w:rPr>
        <w:t xml:space="preserve"> and/or withdrawal will not exceed its total Pmin. Such generation limiting scheme can be in the form of an attestation from the QSE operating the </w:t>
      </w:r>
      <w:r>
        <w:rPr>
          <w:color w:val="000000"/>
        </w:rPr>
        <w:t>Self-Limiting generation site describing the scheme or control system functionality</w:t>
      </w:r>
      <w:r>
        <w:rPr>
          <w:rFonts w:cs="Arial"/>
          <w:iCs/>
          <w:color w:val="auto"/>
        </w:rPr>
        <w:t xml:space="preserve">. </w:t>
      </w:r>
    </w:p>
    <w:p w14:paraId="1554ECA4" w14:textId="77777777" w:rsidR="00615A46" w:rsidRPr="00BF0DB2" w:rsidRDefault="00615A46" w:rsidP="00615A46">
      <w:pPr>
        <w:pStyle w:val="ListParagraph"/>
        <w:numPr>
          <w:ilvl w:val="1"/>
          <w:numId w:val="50"/>
        </w:numPr>
        <w:spacing w:before="120" w:after="120"/>
        <w:rPr>
          <w:rFonts w:cs="Arial"/>
          <w:iCs/>
          <w:color w:val="auto"/>
        </w:rPr>
      </w:pPr>
      <w:r>
        <w:rPr>
          <w:rFonts w:cs="Arial"/>
          <w:iCs/>
          <w:color w:val="auto"/>
        </w:rPr>
        <w:t xml:space="preserve">The </w:t>
      </w:r>
      <w:r w:rsidRPr="00BF0DB2">
        <w:rPr>
          <w:rFonts w:cs="Arial"/>
          <w:iCs/>
          <w:color w:val="auto"/>
        </w:rPr>
        <w:t>Pmax</w:t>
      </w:r>
      <w:r>
        <w:rPr>
          <w:rFonts w:cs="Arial"/>
          <w:iCs/>
          <w:color w:val="auto"/>
        </w:rPr>
        <w:t xml:space="preserve"> and Pmin</w:t>
      </w:r>
      <w:r w:rsidRPr="00BF0DB2">
        <w:rPr>
          <w:rFonts w:cs="Arial"/>
          <w:iCs/>
          <w:color w:val="auto"/>
        </w:rPr>
        <w:t xml:space="preserve"> of the Self-Limiting generation site shall be provided to ERCOT</w:t>
      </w:r>
      <w:r>
        <w:rPr>
          <w:rFonts w:cs="Arial"/>
          <w:iCs/>
          <w:color w:val="auto"/>
        </w:rPr>
        <w:t>.</w:t>
      </w:r>
    </w:p>
    <w:p w14:paraId="76070347" w14:textId="77777777" w:rsidR="00615A46" w:rsidRPr="00BF0DB2" w:rsidRDefault="00615A46" w:rsidP="00615A46">
      <w:pPr>
        <w:pStyle w:val="ListParagraph"/>
        <w:numPr>
          <w:ilvl w:val="1"/>
          <w:numId w:val="50"/>
        </w:numPr>
        <w:spacing w:before="120" w:after="120"/>
        <w:rPr>
          <w:rFonts w:cs="Arial"/>
          <w:iCs/>
          <w:color w:val="auto"/>
        </w:rPr>
      </w:pPr>
      <w:r w:rsidRPr="00BF0DB2">
        <w:rPr>
          <w:rFonts w:cs="Arial"/>
          <w:iCs/>
          <w:color w:val="auto"/>
        </w:rPr>
        <w:t>After-the-fact review and reporting and/or “</w:t>
      </w:r>
      <w:r>
        <w:rPr>
          <w:rFonts w:cs="Arial"/>
          <w:iCs/>
          <w:color w:val="auto"/>
        </w:rPr>
        <w:t>r</w:t>
      </w:r>
      <w:r w:rsidRPr="00BF0DB2">
        <w:rPr>
          <w:rFonts w:cs="Arial"/>
          <w:iCs/>
          <w:color w:val="auto"/>
        </w:rPr>
        <w:t xml:space="preserve">eal-time alarms” will be implemented by ERCOT to monitor </w:t>
      </w:r>
      <w:r>
        <w:rPr>
          <w:rFonts w:cs="Arial"/>
          <w:iCs/>
          <w:color w:val="auto"/>
        </w:rPr>
        <w:t xml:space="preserve">its </w:t>
      </w:r>
      <w:r w:rsidRPr="00BF0DB2">
        <w:rPr>
          <w:rFonts w:cs="Arial"/>
          <w:iCs/>
          <w:color w:val="auto"/>
        </w:rPr>
        <w:t>generation</w:t>
      </w:r>
      <w:r>
        <w:rPr>
          <w:rFonts w:cs="Arial"/>
          <w:iCs/>
          <w:color w:val="auto"/>
        </w:rPr>
        <w:t xml:space="preserve"> and withdrawal</w:t>
      </w:r>
      <w:r w:rsidRPr="00BF0DB2">
        <w:rPr>
          <w:rFonts w:cs="Arial"/>
          <w:iCs/>
          <w:color w:val="auto"/>
        </w:rPr>
        <w:t xml:space="preserve"> levels </w:t>
      </w:r>
      <w:r>
        <w:rPr>
          <w:rFonts w:cs="Arial"/>
          <w:iCs/>
          <w:color w:val="auto"/>
        </w:rPr>
        <w:t>compared to</w:t>
      </w:r>
      <w:r w:rsidRPr="00BF0DB2">
        <w:rPr>
          <w:rFonts w:cs="Arial"/>
          <w:iCs/>
          <w:color w:val="auto"/>
        </w:rPr>
        <w:t xml:space="preserve"> </w:t>
      </w:r>
      <w:r>
        <w:rPr>
          <w:rFonts w:cs="Arial"/>
          <w:iCs/>
          <w:color w:val="auto"/>
        </w:rPr>
        <w:t xml:space="preserve">its </w:t>
      </w:r>
      <w:r w:rsidRPr="00BF0DB2">
        <w:rPr>
          <w:rFonts w:cs="Arial"/>
          <w:iCs/>
          <w:color w:val="auto"/>
        </w:rPr>
        <w:t>self-limiting Pmax</w:t>
      </w:r>
      <w:r>
        <w:rPr>
          <w:rFonts w:cs="Arial"/>
          <w:iCs/>
          <w:color w:val="auto"/>
        </w:rPr>
        <w:t xml:space="preserve"> and Pmin.</w:t>
      </w:r>
    </w:p>
    <w:p w14:paraId="0615A160" w14:textId="77777777" w:rsidR="00615A46" w:rsidRDefault="00615A46" w:rsidP="00615A46">
      <w:pPr>
        <w:pStyle w:val="ListParagraph"/>
        <w:numPr>
          <w:ilvl w:val="1"/>
          <w:numId w:val="50"/>
        </w:numPr>
        <w:spacing w:before="120" w:after="120"/>
        <w:rPr>
          <w:rFonts w:cs="Arial"/>
          <w:iCs/>
          <w:color w:val="auto"/>
        </w:rPr>
      </w:pPr>
      <w:r>
        <w:rPr>
          <w:rFonts w:cs="Arial"/>
          <w:iCs/>
          <w:color w:val="auto"/>
        </w:rPr>
        <w:t xml:space="preserve">A </w:t>
      </w:r>
      <w:r>
        <w:rPr>
          <w:color w:val="000000"/>
        </w:rPr>
        <w:t xml:space="preserve">Self-Limiting generation site </w:t>
      </w:r>
      <w:r w:rsidRPr="00BF0DB2">
        <w:rPr>
          <w:rFonts w:cs="Arial"/>
          <w:iCs/>
          <w:color w:val="auto"/>
        </w:rPr>
        <w:t xml:space="preserve">that exceeds its </w:t>
      </w:r>
      <w:r>
        <w:rPr>
          <w:rFonts w:cs="Arial"/>
          <w:iCs/>
          <w:color w:val="auto"/>
        </w:rPr>
        <w:t xml:space="preserve">established and studied </w:t>
      </w:r>
      <w:r w:rsidRPr="00BF0DB2">
        <w:rPr>
          <w:rFonts w:cs="Arial"/>
          <w:iCs/>
          <w:color w:val="auto"/>
        </w:rPr>
        <w:t xml:space="preserve">IA Pmax (max injection) or operates below its </w:t>
      </w:r>
      <w:r>
        <w:rPr>
          <w:rFonts w:cs="Arial"/>
          <w:iCs/>
          <w:color w:val="auto"/>
        </w:rPr>
        <w:t xml:space="preserve">established and studied </w:t>
      </w:r>
      <w:r w:rsidRPr="00BF0DB2">
        <w:rPr>
          <w:rFonts w:cs="Arial"/>
          <w:iCs/>
          <w:color w:val="auto"/>
        </w:rPr>
        <w:t>Pmin (max</w:t>
      </w:r>
      <w:r>
        <w:rPr>
          <w:rFonts w:cs="Arial"/>
          <w:iCs/>
          <w:color w:val="auto"/>
        </w:rPr>
        <w:t>imum</w:t>
      </w:r>
      <w:r w:rsidRPr="00BF0DB2">
        <w:rPr>
          <w:rFonts w:cs="Arial"/>
          <w:iCs/>
          <w:color w:val="auto"/>
        </w:rPr>
        <w:t xml:space="preserve"> withdrawal</w:t>
      </w:r>
      <w:r>
        <w:rPr>
          <w:rFonts w:cs="Arial"/>
          <w:iCs/>
          <w:color w:val="auto"/>
        </w:rPr>
        <w:t xml:space="preserve"> from the grid</w:t>
      </w:r>
      <w:r w:rsidRPr="00BF0DB2">
        <w:rPr>
          <w:rFonts w:cs="Arial"/>
          <w:iCs/>
          <w:color w:val="auto"/>
        </w:rPr>
        <w:t xml:space="preserve">) shall </w:t>
      </w:r>
      <w:r>
        <w:rPr>
          <w:rFonts w:cs="Arial"/>
          <w:iCs/>
          <w:color w:val="auto"/>
        </w:rPr>
        <w:t>be reported to the Public Utility Commission of Texas (PUCT) and will additionally be required</w:t>
      </w:r>
      <w:r w:rsidRPr="00BF0DB2">
        <w:rPr>
          <w:rFonts w:cs="Arial"/>
          <w:iCs/>
          <w:color w:val="auto"/>
        </w:rPr>
        <w:t xml:space="preserve"> to go through the interconnection process </w:t>
      </w:r>
      <w:r>
        <w:rPr>
          <w:rFonts w:cs="Arial"/>
          <w:iCs/>
          <w:color w:val="auto"/>
        </w:rPr>
        <w:t xml:space="preserve">again </w:t>
      </w:r>
      <w:r w:rsidRPr="00BF0DB2">
        <w:rPr>
          <w:rFonts w:cs="Arial"/>
          <w:iCs/>
          <w:color w:val="auto"/>
        </w:rPr>
        <w:t xml:space="preserve">for its total installed MW capacity. </w:t>
      </w:r>
      <w:r>
        <w:rPr>
          <w:rFonts w:cs="Arial"/>
          <w:iCs/>
          <w:color w:val="auto"/>
        </w:rPr>
        <w:t xml:space="preserve">ERCOT will use meter data from the generation site for final determination of violation of Self-Limiting Pmax or Pmin.  </w:t>
      </w:r>
    </w:p>
    <w:p w14:paraId="06DC869E" w14:textId="77777777" w:rsidR="00615A46" w:rsidRPr="00BF0DB2" w:rsidRDefault="00615A46" w:rsidP="00615A46">
      <w:pPr>
        <w:pStyle w:val="ListParagraph"/>
        <w:spacing w:before="120" w:after="120"/>
        <w:ind w:left="1440"/>
        <w:rPr>
          <w:rFonts w:cs="Arial"/>
          <w:iCs/>
          <w:color w:val="auto"/>
        </w:rPr>
      </w:pPr>
    </w:p>
    <w:p w14:paraId="55250B5A" w14:textId="77777777" w:rsidR="00615A46" w:rsidRDefault="00615A46" w:rsidP="00615A46">
      <w:pPr>
        <w:pStyle w:val="ListParagraph"/>
        <w:numPr>
          <w:ilvl w:val="0"/>
          <w:numId w:val="50"/>
        </w:numPr>
        <w:spacing w:before="120" w:after="120"/>
        <w:rPr>
          <w:rFonts w:cs="Arial"/>
          <w:iCs/>
          <w:color w:val="auto"/>
        </w:rPr>
      </w:pPr>
      <w:r w:rsidRPr="00BF0DB2">
        <w:rPr>
          <w:rFonts w:cs="Arial"/>
          <w:iCs/>
          <w:color w:val="auto"/>
        </w:rPr>
        <w:t>Real-Time Telemetry and COP requirements</w:t>
      </w:r>
    </w:p>
    <w:p w14:paraId="09315F21" w14:textId="77777777" w:rsidR="00615A46" w:rsidRPr="00BF0DB2" w:rsidRDefault="00615A46" w:rsidP="00615A46">
      <w:pPr>
        <w:pStyle w:val="ListParagraph"/>
        <w:numPr>
          <w:ilvl w:val="1"/>
          <w:numId w:val="50"/>
        </w:numPr>
        <w:spacing w:before="120" w:after="120"/>
        <w:rPr>
          <w:rFonts w:cs="Arial"/>
          <w:iCs/>
          <w:color w:val="auto"/>
        </w:rPr>
      </w:pPr>
      <w:r w:rsidRPr="00BF0DB2">
        <w:rPr>
          <w:rFonts w:cs="Arial"/>
          <w:iCs/>
          <w:color w:val="auto"/>
        </w:rPr>
        <w:t xml:space="preserve">QSEs </w:t>
      </w:r>
      <w:r>
        <w:rPr>
          <w:rFonts w:cs="Arial"/>
          <w:iCs/>
          <w:color w:val="auto"/>
        </w:rPr>
        <w:t>shall</w:t>
      </w:r>
      <w:r w:rsidRPr="00BF0DB2">
        <w:rPr>
          <w:rFonts w:cs="Arial"/>
          <w:iCs/>
          <w:color w:val="auto"/>
        </w:rPr>
        <w:t xml:space="preserve"> be responsible for limiting their combined COP HSL</w:t>
      </w:r>
      <w:r>
        <w:rPr>
          <w:rFonts w:cs="Arial"/>
          <w:iCs/>
          <w:color w:val="auto"/>
        </w:rPr>
        <w:t xml:space="preserve"> and LSL</w:t>
      </w:r>
      <w:r w:rsidRPr="00BF0DB2">
        <w:rPr>
          <w:rFonts w:cs="Arial"/>
          <w:iCs/>
          <w:color w:val="auto"/>
        </w:rPr>
        <w:t xml:space="preserve">, </w:t>
      </w:r>
      <w:r>
        <w:rPr>
          <w:rFonts w:cs="Arial"/>
          <w:iCs/>
          <w:color w:val="auto"/>
        </w:rPr>
        <w:t>t</w:t>
      </w:r>
      <w:r w:rsidRPr="00BF0DB2">
        <w:rPr>
          <w:rFonts w:cs="Arial"/>
          <w:iCs/>
          <w:color w:val="auto"/>
        </w:rPr>
        <w:t>elemetered HSL</w:t>
      </w:r>
      <w:r>
        <w:rPr>
          <w:rFonts w:cs="Arial"/>
          <w:iCs/>
          <w:color w:val="auto"/>
        </w:rPr>
        <w:t xml:space="preserve"> and LSL</w:t>
      </w:r>
      <w:r w:rsidRPr="00BF0DB2">
        <w:rPr>
          <w:rFonts w:cs="Arial"/>
          <w:iCs/>
          <w:color w:val="auto"/>
        </w:rPr>
        <w:t>, and total generation</w:t>
      </w:r>
      <w:r>
        <w:rPr>
          <w:rFonts w:cs="Arial"/>
          <w:iCs/>
          <w:color w:val="auto"/>
        </w:rPr>
        <w:t xml:space="preserve"> exports</w:t>
      </w:r>
      <w:r w:rsidRPr="00BF0DB2">
        <w:rPr>
          <w:rFonts w:cs="Arial"/>
          <w:iCs/>
          <w:color w:val="auto"/>
        </w:rPr>
        <w:t xml:space="preserve"> into</w:t>
      </w:r>
      <w:r>
        <w:rPr>
          <w:rFonts w:cs="Arial"/>
          <w:iCs/>
          <w:color w:val="auto"/>
        </w:rPr>
        <w:t xml:space="preserve"> or </w:t>
      </w:r>
      <w:r>
        <w:rPr>
          <w:rFonts w:cs="Arial"/>
          <w:iCs/>
          <w:color w:val="auto"/>
        </w:rPr>
        <w:lastRenderedPageBreak/>
        <w:t>withdrawals from</w:t>
      </w:r>
      <w:r w:rsidRPr="00BF0DB2">
        <w:rPr>
          <w:rFonts w:cs="Arial"/>
          <w:iCs/>
          <w:color w:val="auto"/>
        </w:rPr>
        <w:t xml:space="preserve"> </w:t>
      </w:r>
      <w:r>
        <w:rPr>
          <w:rFonts w:cs="Arial"/>
          <w:iCs/>
          <w:color w:val="auto"/>
        </w:rPr>
        <w:t xml:space="preserve">the </w:t>
      </w:r>
      <w:r w:rsidRPr="00BF0DB2">
        <w:rPr>
          <w:rFonts w:cs="Arial"/>
          <w:iCs/>
          <w:color w:val="auto"/>
        </w:rPr>
        <w:t xml:space="preserve">ERCOT grid </w:t>
      </w:r>
      <w:r>
        <w:rPr>
          <w:rFonts w:cs="Arial"/>
          <w:iCs/>
          <w:color w:val="auto"/>
        </w:rPr>
        <w:t>in order</w:t>
      </w:r>
      <w:r w:rsidRPr="00BF0DB2">
        <w:rPr>
          <w:rFonts w:cs="Arial"/>
          <w:iCs/>
          <w:color w:val="auto"/>
        </w:rPr>
        <w:t xml:space="preserve"> </w:t>
      </w:r>
      <w:r>
        <w:rPr>
          <w:rFonts w:cs="Arial"/>
          <w:iCs/>
          <w:color w:val="auto"/>
        </w:rPr>
        <w:t xml:space="preserve">to avoid </w:t>
      </w:r>
      <w:r w:rsidRPr="00BF0DB2">
        <w:rPr>
          <w:rFonts w:cs="Arial"/>
          <w:iCs/>
          <w:color w:val="auto"/>
        </w:rPr>
        <w:t>exceed</w:t>
      </w:r>
      <w:r>
        <w:rPr>
          <w:rFonts w:cs="Arial"/>
          <w:iCs/>
          <w:color w:val="auto"/>
        </w:rPr>
        <w:t>ing</w:t>
      </w:r>
      <w:r w:rsidRPr="00BF0DB2">
        <w:rPr>
          <w:rFonts w:cs="Arial"/>
          <w:iCs/>
          <w:color w:val="auto"/>
        </w:rPr>
        <w:t xml:space="preserve"> their IA Pmax or operat</w:t>
      </w:r>
      <w:r>
        <w:rPr>
          <w:rFonts w:cs="Arial"/>
          <w:iCs/>
          <w:color w:val="auto"/>
        </w:rPr>
        <w:t>ing</w:t>
      </w:r>
      <w:r w:rsidRPr="00BF0DB2">
        <w:rPr>
          <w:rFonts w:cs="Arial"/>
          <w:iCs/>
          <w:color w:val="auto"/>
        </w:rPr>
        <w:t xml:space="preserve"> below their Pmin</w:t>
      </w:r>
      <w:r>
        <w:rPr>
          <w:rFonts w:cs="Arial"/>
          <w:iCs/>
          <w:color w:val="auto"/>
        </w:rPr>
        <w:t>.</w:t>
      </w:r>
    </w:p>
    <w:p w14:paraId="461B29E3" w14:textId="77777777" w:rsidR="00615A46" w:rsidRDefault="00615A46" w:rsidP="00615A46">
      <w:pPr>
        <w:pStyle w:val="ListParagraph"/>
        <w:numPr>
          <w:ilvl w:val="1"/>
          <w:numId w:val="50"/>
        </w:numPr>
        <w:spacing w:before="120" w:after="120"/>
        <w:rPr>
          <w:rFonts w:cs="Arial"/>
          <w:iCs/>
          <w:color w:val="auto"/>
        </w:rPr>
      </w:pPr>
      <w:r w:rsidRPr="00BF0DB2">
        <w:rPr>
          <w:rFonts w:cs="Arial"/>
          <w:iCs/>
          <w:color w:val="auto"/>
        </w:rPr>
        <w:t xml:space="preserve">QSEs are responsible for bringing additional </w:t>
      </w:r>
      <w:r>
        <w:rPr>
          <w:rFonts w:cs="Arial"/>
          <w:iCs/>
          <w:color w:val="auto"/>
        </w:rPr>
        <w:t xml:space="preserve">generating </w:t>
      </w:r>
      <w:r w:rsidRPr="00BF0DB2">
        <w:rPr>
          <w:rFonts w:cs="Arial"/>
          <w:iCs/>
          <w:color w:val="auto"/>
        </w:rPr>
        <w:t>unit(s)</w:t>
      </w:r>
      <w:r>
        <w:rPr>
          <w:rFonts w:cs="Arial"/>
          <w:iCs/>
          <w:color w:val="auto"/>
        </w:rPr>
        <w:t xml:space="preserve"> or any reactive power compensation equipment</w:t>
      </w:r>
      <w:r w:rsidRPr="00BF0DB2">
        <w:rPr>
          <w:rFonts w:cs="Arial"/>
          <w:iCs/>
          <w:color w:val="auto"/>
        </w:rPr>
        <w:t xml:space="preserve"> online to provide VSS if the Energy Storage System (ESS) alone is not capable of meeting </w:t>
      </w:r>
      <w:r>
        <w:rPr>
          <w:rFonts w:cs="Arial"/>
          <w:iCs/>
          <w:color w:val="auto"/>
        </w:rPr>
        <w:t xml:space="preserve">the </w:t>
      </w:r>
      <w:r w:rsidRPr="00BF0DB2">
        <w:rPr>
          <w:rFonts w:cs="Arial"/>
          <w:iCs/>
          <w:color w:val="auto"/>
        </w:rPr>
        <w:t xml:space="preserve">reactive power requirement at the POI (leading/ lagging power factor of 0.95). </w:t>
      </w:r>
    </w:p>
    <w:p w14:paraId="1B22CC73" w14:textId="77777777" w:rsidR="00615A46" w:rsidRPr="00BF0DB2" w:rsidRDefault="00615A46" w:rsidP="00615A46">
      <w:pPr>
        <w:pStyle w:val="ListParagraph"/>
        <w:spacing w:before="120" w:after="120"/>
        <w:ind w:left="1440"/>
        <w:rPr>
          <w:rFonts w:cs="Arial"/>
          <w:iCs/>
          <w:color w:val="auto"/>
        </w:rPr>
      </w:pPr>
    </w:p>
    <w:p w14:paraId="210A093B" w14:textId="77777777" w:rsidR="00615A46" w:rsidRDefault="00615A46" w:rsidP="00615A46">
      <w:pPr>
        <w:pStyle w:val="ListParagraph"/>
        <w:numPr>
          <w:ilvl w:val="0"/>
          <w:numId w:val="50"/>
        </w:numPr>
        <w:spacing w:before="120" w:after="120"/>
        <w:rPr>
          <w:rFonts w:cs="Arial"/>
          <w:iCs/>
          <w:color w:val="auto"/>
        </w:rPr>
      </w:pPr>
      <w:r w:rsidRPr="00BF0DB2">
        <w:rPr>
          <w:rFonts w:cs="Arial"/>
          <w:iCs/>
          <w:color w:val="auto"/>
        </w:rPr>
        <w:t xml:space="preserve">GINR Pmax study for </w:t>
      </w:r>
      <w:r>
        <w:rPr>
          <w:rFonts w:cs="Arial"/>
          <w:iCs/>
          <w:color w:val="auto"/>
        </w:rPr>
        <w:t xml:space="preserve">a </w:t>
      </w:r>
      <w:r w:rsidRPr="00BF0DB2">
        <w:rPr>
          <w:rFonts w:cs="Arial"/>
          <w:iCs/>
          <w:color w:val="auto"/>
        </w:rPr>
        <w:t>DC</w:t>
      </w:r>
      <w:r>
        <w:rPr>
          <w:rFonts w:cs="Arial"/>
          <w:iCs/>
          <w:color w:val="auto"/>
        </w:rPr>
        <w:t>-</w:t>
      </w:r>
      <w:r w:rsidRPr="00BF0DB2">
        <w:rPr>
          <w:rFonts w:cs="Arial"/>
          <w:iCs/>
          <w:color w:val="auto"/>
        </w:rPr>
        <w:t>Coupled Resource</w:t>
      </w:r>
      <w:r>
        <w:rPr>
          <w:rFonts w:cs="Arial"/>
          <w:iCs/>
          <w:color w:val="auto"/>
        </w:rPr>
        <w:t xml:space="preserve"> (Example)</w:t>
      </w:r>
    </w:p>
    <w:p w14:paraId="1910F1C8" w14:textId="77777777" w:rsidR="00615A46" w:rsidRDefault="00615A46" w:rsidP="00615A46">
      <w:pPr>
        <w:pStyle w:val="ListParagraph"/>
        <w:spacing w:before="120" w:after="120"/>
        <w:rPr>
          <w:rFonts w:cs="Arial"/>
          <w:iCs/>
          <w:color w:val="auto"/>
        </w:rPr>
      </w:pPr>
    </w:p>
    <w:p w14:paraId="3A1834DD" w14:textId="77777777" w:rsidR="00615A46" w:rsidRPr="00746DDB" w:rsidRDefault="00615A46" w:rsidP="00615A46">
      <w:pPr>
        <w:pStyle w:val="ListParagraph"/>
        <w:numPr>
          <w:ilvl w:val="1"/>
          <w:numId w:val="50"/>
        </w:numPr>
        <w:spacing w:before="120" w:after="120"/>
        <w:rPr>
          <w:rFonts w:cs="Arial"/>
          <w:iCs/>
          <w:color w:val="auto"/>
        </w:rPr>
      </w:pPr>
      <w:r>
        <w:rPr>
          <w:rFonts w:cs="Arial"/>
          <w:iCs/>
          <w:color w:val="auto"/>
        </w:rPr>
        <w:t xml:space="preserve">An </w:t>
      </w:r>
      <w:r w:rsidRPr="00BF0DB2">
        <w:rPr>
          <w:rFonts w:cs="Arial"/>
          <w:iCs/>
          <w:color w:val="auto"/>
        </w:rPr>
        <w:t xml:space="preserve">IE wants to add </w:t>
      </w:r>
      <w:r>
        <w:rPr>
          <w:rFonts w:cs="Arial"/>
          <w:iCs/>
          <w:color w:val="auto"/>
        </w:rPr>
        <w:t xml:space="preserve">a </w:t>
      </w:r>
      <w:r w:rsidRPr="00746DDB">
        <w:rPr>
          <w:rFonts w:cs="Arial"/>
          <w:iCs/>
          <w:color w:val="auto"/>
        </w:rPr>
        <w:t xml:space="preserve">new DC-Coupled Resource by installing 250 MW of PV and 200 MW of </w:t>
      </w:r>
      <w:r>
        <w:rPr>
          <w:rFonts w:cs="Arial"/>
          <w:iCs/>
          <w:color w:val="auto"/>
        </w:rPr>
        <w:t>energy storage</w:t>
      </w:r>
      <w:r w:rsidRPr="00746DDB">
        <w:rPr>
          <w:rFonts w:cs="Arial"/>
          <w:iCs/>
          <w:color w:val="auto"/>
        </w:rPr>
        <w:t xml:space="preserve"> connected to ERCOT grid using shared inverters with </w:t>
      </w:r>
      <w:r>
        <w:rPr>
          <w:rFonts w:cs="Arial"/>
          <w:iCs/>
          <w:color w:val="auto"/>
        </w:rPr>
        <w:t>a</w:t>
      </w:r>
      <w:r w:rsidRPr="00746DDB">
        <w:rPr>
          <w:rFonts w:cs="Arial"/>
          <w:iCs/>
          <w:color w:val="auto"/>
        </w:rPr>
        <w:t xml:space="preserve"> total rating of 250 MW </w:t>
      </w:r>
    </w:p>
    <w:p w14:paraId="4DB0C665" w14:textId="77777777" w:rsidR="00615A46" w:rsidRPr="00BF0DB2" w:rsidRDefault="00615A46" w:rsidP="00615A46">
      <w:pPr>
        <w:pStyle w:val="ListParagraph"/>
        <w:numPr>
          <w:ilvl w:val="1"/>
          <w:numId w:val="50"/>
        </w:numPr>
        <w:spacing w:before="120" w:after="120"/>
        <w:rPr>
          <w:rFonts w:cs="Arial"/>
          <w:iCs/>
          <w:color w:val="auto"/>
        </w:rPr>
      </w:pPr>
      <w:r>
        <w:rPr>
          <w:rFonts w:cs="Arial"/>
          <w:iCs/>
          <w:color w:val="auto"/>
        </w:rPr>
        <w:t>The i</w:t>
      </w:r>
      <w:r w:rsidRPr="00BF0DB2">
        <w:rPr>
          <w:rFonts w:cs="Arial"/>
          <w:iCs/>
          <w:color w:val="auto"/>
        </w:rPr>
        <w:t xml:space="preserve">nverter rating will ensure 250 MW will be the maximum this facility can </w:t>
      </w:r>
      <w:r>
        <w:rPr>
          <w:rFonts w:cs="Arial"/>
          <w:iCs/>
          <w:color w:val="auto"/>
        </w:rPr>
        <w:t>export to the</w:t>
      </w:r>
      <w:r w:rsidRPr="00BF0DB2">
        <w:rPr>
          <w:rFonts w:cs="Arial"/>
          <w:iCs/>
          <w:color w:val="auto"/>
        </w:rPr>
        <w:t xml:space="preserve"> ERCOT grid</w:t>
      </w:r>
    </w:p>
    <w:p w14:paraId="11B7EECE" w14:textId="77777777" w:rsidR="00615A46" w:rsidRPr="00BF0DB2" w:rsidRDefault="00615A46" w:rsidP="00615A46">
      <w:pPr>
        <w:pStyle w:val="ListParagraph"/>
        <w:numPr>
          <w:ilvl w:val="1"/>
          <w:numId w:val="50"/>
        </w:numPr>
        <w:spacing w:before="120" w:after="120"/>
        <w:rPr>
          <w:rFonts w:cs="Arial"/>
          <w:iCs/>
          <w:color w:val="auto"/>
        </w:rPr>
      </w:pPr>
      <w:r w:rsidRPr="00BF0DB2">
        <w:rPr>
          <w:rFonts w:cs="Arial"/>
          <w:iCs/>
          <w:color w:val="auto"/>
        </w:rPr>
        <w:t xml:space="preserve">Under today’s rules, </w:t>
      </w:r>
      <w:r>
        <w:rPr>
          <w:rFonts w:cs="Arial"/>
          <w:iCs/>
          <w:color w:val="auto"/>
        </w:rPr>
        <w:t xml:space="preserve">the </w:t>
      </w:r>
      <w:r w:rsidRPr="00BF0DB2">
        <w:rPr>
          <w:rFonts w:cs="Arial"/>
          <w:iCs/>
          <w:color w:val="auto"/>
        </w:rPr>
        <w:t xml:space="preserve">GINR process requires registration and studies for this facility at 450 MW Pmax </w:t>
      </w:r>
    </w:p>
    <w:p w14:paraId="58510DB5" w14:textId="77777777" w:rsidR="00615A46" w:rsidRPr="00BF0DB2" w:rsidRDefault="00615A46" w:rsidP="00615A46">
      <w:pPr>
        <w:pStyle w:val="ListParagraph"/>
        <w:numPr>
          <w:ilvl w:val="1"/>
          <w:numId w:val="50"/>
        </w:numPr>
        <w:spacing w:before="120" w:after="120"/>
        <w:rPr>
          <w:rFonts w:cs="Arial"/>
          <w:iCs/>
          <w:color w:val="auto"/>
        </w:rPr>
      </w:pPr>
      <w:r>
        <w:rPr>
          <w:rFonts w:cs="Arial"/>
          <w:iCs/>
          <w:color w:val="auto"/>
        </w:rPr>
        <w:t>The objective of this proposal is to allow the IE</w:t>
      </w:r>
      <w:r w:rsidRPr="00BF0DB2">
        <w:rPr>
          <w:rFonts w:cs="Arial"/>
          <w:iCs/>
          <w:color w:val="auto"/>
        </w:rPr>
        <w:t xml:space="preserve"> to register this facility at 250 MW Pmax and </w:t>
      </w:r>
      <w:r>
        <w:rPr>
          <w:rFonts w:cs="Arial"/>
          <w:iCs/>
          <w:color w:val="auto"/>
        </w:rPr>
        <w:t xml:space="preserve">have </w:t>
      </w:r>
      <w:r w:rsidRPr="00BF0DB2">
        <w:rPr>
          <w:rFonts w:cs="Arial"/>
          <w:iCs/>
          <w:color w:val="auto"/>
        </w:rPr>
        <w:t xml:space="preserve">the GINR studies conducted at 250 MW. </w:t>
      </w:r>
    </w:p>
    <w:p w14:paraId="3887AD6C" w14:textId="77777777" w:rsidR="00615A46" w:rsidRDefault="00615A46" w:rsidP="00615A46">
      <w:pPr>
        <w:pStyle w:val="ListParagraph"/>
        <w:numPr>
          <w:ilvl w:val="1"/>
          <w:numId w:val="50"/>
        </w:numPr>
        <w:spacing w:before="120" w:after="120"/>
        <w:rPr>
          <w:rFonts w:cs="Arial"/>
          <w:iCs/>
          <w:color w:val="auto"/>
        </w:rPr>
      </w:pPr>
      <w:r w:rsidRPr="00BF0DB2">
        <w:rPr>
          <w:rFonts w:cs="Arial"/>
          <w:iCs/>
          <w:color w:val="auto"/>
        </w:rPr>
        <w:t xml:space="preserve">Reactive </w:t>
      </w:r>
      <w:r>
        <w:rPr>
          <w:rFonts w:cs="Arial"/>
          <w:iCs/>
          <w:color w:val="auto"/>
        </w:rPr>
        <w:t>requirements</w:t>
      </w:r>
      <w:r w:rsidRPr="00BF0DB2">
        <w:rPr>
          <w:rFonts w:cs="Arial"/>
          <w:iCs/>
          <w:color w:val="auto"/>
        </w:rPr>
        <w:t xml:space="preserve"> </w:t>
      </w:r>
      <w:r>
        <w:rPr>
          <w:rFonts w:cs="Arial"/>
          <w:iCs/>
          <w:color w:val="auto"/>
        </w:rPr>
        <w:t>would</w:t>
      </w:r>
      <w:r w:rsidRPr="00BF0DB2">
        <w:rPr>
          <w:rFonts w:cs="Arial"/>
          <w:iCs/>
          <w:color w:val="auto"/>
        </w:rPr>
        <w:t xml:space="preserve"> be based on 250 MW Pmax</w:t>
      </w:r>
      <w:r>
        <w:rPr>
          <w:rFonts w:cs="Arial"/>
          <w:iCs/>
          <w:color w:val="auto"/>
        </w:rPr>
        <w:t xml:space="preserve"> under this proposal.</w:t>
      </w:r>
    </w:p>
    <w:p w14:paraId="4814EBD0" w14:textId="77777777" w:rsidR="00615A46" w:rsidRPr="00BF0DB2" w:rsidRDefault="00615A46" w:rsidP="00615A46">
      <w:pPr>
        <w:pStyle w:val="ListParagraph"/>
        <w:spacing w:before="120" w:after="120"/>
        <w:ind w:left="1440"/>
        <w:rPr>
          <w:rFonts w:cs="Arial"/>
          <w:iCs/>
          <w:color w:val="auto"/>
        </w:rPr>
      </w:pPr>
    </w:p>
    <w:p w14:paraId="65A773C3" w14:textId="77777777" w:rsidR="00615A46" w:rsidRDefault="00615A46" w:rsidP="00615A46">
      <w:pPr>
        <w:pStyle w:val="ListParagraph"/>
        <w:numPr>
          <w:ilvl w:val="0"/>
          <w:numId w:val="50"/>
        </w:numPr>
        <w:spacing w:before="120" w:after="120"/>
        <w:rPr>
          <w:rFonts w:cs="Arial"/>
          <w:iCs/>
          <w:color w:val="auto"/>
        </w:rPr>
      </w:pPr>
      <w:r w:rsidRPr="00BF0DB2">
        <w:rPr>
          <w:rFonts w:cs="Arial"/>
          <w:iCs/>
          <w:color w:val="auto"/>
        </w:rPr>
        <w:t>Resource Adequacy Reporting</w:t>
      </w:r>
    </w:p>
    <w:p w14:paraId="6410DA93" w14:textId="77777777" w:rsidR="00615A46" w:rsidRPr="00BF0DB2" w:rsidRDefault="00615A46" w:rsidP="00615A46">
      <w:pPr>
        <w:pStyle w:val="ListParagraph"/>
        <w:numPr>
          <w:ilvl w:val="1"/>
          <w:numId w:val="50"/>
        </w:numPr>
        <w:spacing w:before="120" w:after="120"/>
        <w:rPr>
          <w:rFonts w:cs="Arial"/>
          <w:iCs/>
          <w:color w:val="auto"/>
        </w:rPr>
      </w:pPr>
      <w:r w:rsidRPr="00746DDB">
        <w:rPr>
          <w:rFonts w:cs="Arial"/>
          <w:iCs/>
          <w:color w:val="auto"/>
        </w:rPr>
        <w:t xml:space="preserve">Resource Adequacy reporting should consider </w:t>
      </w:r>
      <w:r>
        <w:rPr>
          <w:rFonts w:cs="Arial"/>
          <w:iCs/>
          <w:color w:val="auto"/>
        </w:rPr>
        <w:t>the</w:t>
      </w:r>
      <w:r w:rsidRPr="00A64E52">
        <w:rPr>
          <w:color w:val="000000"/>
        </w:rPr>
        <w:t xml:space="preserve"> </w:t>
      </w:r>
      <w:r>
        <w:rPr>
          <w:color w:val="000000"/>
        </w:rPr>
        <w:t>Self-Limiting generation site’s</w:t>
      </w:r>
      <w:r w:rsidRPr="00746DDB">
        <w:rPr>
          <w:rFonts w:cs="Arial"/>
          <w:iCs/>
          <w:color w:val="auto"/>
        </w:rPr>
        <w:t xml:space="preserve"> Pmax. </w:t>
      </w:r>
    </w:p>
    <w:p w14:paraId="759E3854" w14:textId="77777777" w:rsidR="00615A46" w:rsidRPr="00746DDB" w:rsidRDefault="00615A46" w:rsidP="00615A46">
      <w:pPr>
        <w:pStyle w:val="ListParagraph"/>
        <w:numPr>
          <w:ilvl w:val="1"/>
          <w:numId w:val="50"/>
        </w:numPr>
        <w:spacing w:before="120" w:after="120"/>
        <w:rPr>
          <w:rFonts w:cs="Arial"/>
          <w:iCs/>
          <w:color w:val="auto"/>
        </w:rPr>
      </w:pPr>
      <w:r w:rsidRPr="00746DDB">
        <w:rPr>
          <w:rFonts w:cs="Arial"/>
          <w:iCs/>
          <w:color w:val="auto"/>
        </w:rPr>
        <w:t xml:space="preserve">QSE shall provide </w:t>
      </w:r>
      <w:r>
        <w:rPr>
          <w:rFonts w:cs="Arial"/>
          <w:iCs/>
          <w:color w:val="auto"/>
        </w:rPr>
        <w:t xml:space="preserve">to </w:t>
      </w:r>
      <w:r w:rsidRPr="00746DDB">
        <w:rPr>
          <w:rFonts w:cs="Arial"/>
          <w:iCs/>
          <w:color w:val="auto"/>
        </w:rPr>
        <w:t xml:space="preserve">ERCOT </w:t>
      </w:r>
      <w:r>
        <w:rPr>
          <w:rFonts w:cs="Arial"/>
          <w:iCs/>
          <w:color w:val="auto"/>
        </w:rPr>
        <w:t xml:space="preserve">the </w:t>
      </w:r>
      <w:r w:rsidRPr="00746DDB">
        <w:rPr>
          <w:rFonts w:cs="Arial"/>
          <w:iCs/>
          <w:color w:val="auto"/>
        </w:rPr>
        <w:t xml:space="preserve">generation site’s self-limited Pmax. </w:t>
      </w:r>
    </w:p>
    <w:p w14:paraId="51E3E32E" w14:textId="77777777" w:rsidR="00615A46" w:rsidRDefault="00615A46" w:rsidP="00615A46">
      <w:pPr>
        <w:pStyle w:val="ListParagraph"/>
        <w:numPr>
          <w:ilvl w:val="1"/>
          <w:numId w:val="50"/>
        </w:numPr>
        <w:spacing w:before="120" w:after="120"/>
        <w:rPr>
          <w:rFonts w:cs="Arial"/>
          <w:iCs/>
          <w:color w:val="auto"/>
        </w:rPr>
      </w:pPr>
      <w:r w:rsidRPr="00BF0DB2">
        <w:rPr>
          <w:rFonts w:cs="Arial"/>
          <w:iCs/>
          <w:color w:val="auto"/>
        </w:rPr>
        <w:t>ERCOT together with the Supply Analysis Working Group (SAWG) will develop a methodology to account for self-limiting generation site in resource adequacy reports</w:t>
      </w:r>
      <w:r>
        <w:rPr>
          <w:rFonts w:cs="Arial"/>
          <w:iCs/>
          <w:color w:val="auto"/>
        </w:rPr>
        <w:t>, including the CDR and SARA.</w:t>
      </w:r>
    </w:p>
    <w:p w14:paraId="2E8F2E82" w14:textId="77777777" w:rsidR="00615A46" w:rsidRDefault="00615A46" w:rsidP="00615A46">
      <w:pPr>
        <w:pStyle w:val="ListParagraph"/>
        <w:spacing w:before="120" w:after="120"/>
        <w:ind w:left="1440"/>
        <w:rPr>
          <w:rFonts w:cs="Arial"/>
          <w:iCs/>
          <w:color w:val="auto"/>
        </w:rPr>
      </w:pPr>
    </w:p>
    <w:p w14:paraId="45F8000D" w14:textId="77777777" w:rsidR="00615A46" w:rsidRDefault="00615A46" w:rsidP="00615A46">
      <w:pPr>
        <w:pStyle w:val="ListParagraph"/>
        <w:numPr>
          <w:ilvl w:val="0"/>
          <w:numId w:val="50"/>
        </w:numPr>
        <w:spacing w:before="120" w:after="120"/>
        <w:rPr>
          <w:rFonts w:cs="Arial"/>
          <w:iCs/>
          <w:color w:val="auto"/>
        </w:rPr>
      </w:pPr>
      <w:r w:rsidRPr="00BF0DB2">
        <w:rPr>
          <w:rFonts w:cs="Arial"/>
          <w:iCs/>
          <w:color w:val="auto"/>
        </w:rPr>
        <w:t>GINR Process</w:t>
      </w:r>
      <w:r>
        <w:rPr>
          <w:rFonts w:cs="Arial"/>
          <w:iCs/>
          <w:color w:val="auto"/>
        </w:rPr>
        <w:t xml:space="preserve">: </w:t>
      </w:r>
      <w:r w:rsidRPr="00BF0DB2">
        <w:rPr>
          <w:rFonts w:cs="Arial"/>
          <w:iCs/>
          <w:color w:val="auto"/>
        </w:rPr>
        <w:t xml:space="preserve"> Adding </w:t>
      </w:r>
      <w:r>
        <w:rPr>
          <w:rFonts w:cs="Arial"/>
          <w:iCs/>
          <w:color w:val="auto"/>
        </w:rPr>
        <w:t>an ESS</w:t>
      </w:r>
      <w:r w:rsidRPr="00BF0DB2">
        <w:rPr>
          <w:rFonts w:cs="Arial"/>
          <w:iCs/>
          <w:color w:val="auto"/>
        </w:rPr>
        <w:t xml:space="preserve"> to </w:t>
      </w:r>
      <w:r>
        <w:rPr>
          <w:rFonts w:cs="Arial"/>
          <w:iCs/>
          <w:color w:val="auto"/>
        </w:rPr>
        <w:t xml:space="preserve">an </w:t>
      </w:r>
      <w:r w:rsidRPr="00BF0DB2">
        <w:rPr>
          <w:rFonts w:cs="Arial"/>
          <w:iCs/>
          <w:color w:val="auto"/>
        </w:rPr>
        <w:t>existing PV</w:t>
      </w:r>
      <w:r>
        <w:rPr>
          <w:rFonts w:cs="Arial"/>
          <w:iCs/>
          <w:color w:val="auto"/>
        </w:rPr>
        <w:t xml:space="preserve">GR or  </w:t>
      </w:r>
      <w:r w:rsidRPr="00BF0DB2">
        <w:rPr>
          <w:rFonts w:cs="Arial"/>
          <w:iCs/>
          <w:color w:val="auto"/>
        </w:rPr>
        <w:t>WGR site and sharing the existing inverter (DC-Coupled) - No Grid Charging</w:t>
      </w:r>
    </w:p>
    <w:p w14:paraId="5626CFDC" w14:textId="77777777" w:rsidR="00615A46" w:rsidRDefault="00615A46" w:rsidP="00615A46">
      <w:pPr>
        <w:pStyle w:val="ListParagraph"/>
        <w:spacing w:before="120" w:after="120"/>
        <w:rPr>
          <w:rFonts w:cs="Arial"/>
          <w:iCs/>
          <w:color w:val="auto"/>
        </w:rPr>
      </w:pPr>
    </w:p>
    <w:p w14:paraId="2A00FC4C" w14:textId="77777777" w:rsidR="00615A46" w:rsidRDefault="00615A46" w:rsidP="00615A46">
      <w:pPr>
        <w:pStyle w:val="ListParagraph"/>
        <w:spacing w:before="120" w:after="120"/>
        <w:ind w:left="1440"/>
        <w:rPr>
          <w:rFonts w:cs="Arial"/>
          <w:iCs/>
          <w:color w:val="auto"/>
        </w:rPr>
      </w:pPr>
      <w:r>
        <w:rPr>
          <w:rFonts w:cs="Arial"/>
          <w:iCs/>
          <w:color w:val="auto"/>
        </w:rPr>
        <w:t>The GINR Process for adding an ESS</w:t>
      </w:r>
      <w:r w:rsidRPr="00BF0DB2">
        <w:rPr>
          <w:rFonts w:cs="Arial"/>
          <w:iCs/>
          <w:color w:val="auto"/>
        </w:rPr>
        <w:t xml:space="preserve"> to </w:t>
      </w:r>
      <w:r>
        <w:rPr>
          <w:rFonts w:cs="Arial"/>
          <w:iCs/>
          <w:color w:val="auto"/>
        </w:rPr>
        <w:t xml:space="preserve">an </w:t>
      </w:r>
      <w:r w:rsidRPr="00BF0DB2">
        <w:rPr>
          <w:rFonts w:cs="Arial"/>
          <w:iCs/>
          <w:color w:val="auto"/>
        </w:rPr>
        <w:t xml:space="preserve">existing PV/WGR site and sharing the existing inverter (DC-Coupled) </w:t>
      </w:r>
      <w:r>
        <w:rPr>
          <w:rFonts w:cs="Arial"/>
          <w:iCs/>
          <w:color w:val="auto"/>
        </w:rPr>
        <w:t xml:space="preserve">without the ability to charge the ESS from ERCOT grid is described in Appendix B, </w:t>
      </w:r>
      <w:r>
        <w:rPr>
          <w:rFonts w:cs="Arial"/>
          <w:iCs/>
          <w:color w:val="auto"/>
        </w:rPr>
        <w:fldChar w:fldCharType="begin"/>
      </w:r>
      <w:r>
        <w:rPr>
          <w:rFonts w:cs="Arial"/>
          <w:iCs/>
          <w:color w:val="auto"/>
        </w:rPr>
        <w:instrText xml:space="preserve"> REF _Ref33621289 \h  \* MERGEFORMAT </w:instrText>
      </w:r>
      <w:r>
        <w:rPr>
          <w:rFonts w:cs="Arial"/>
          <w:iCs/>
          <w:color w:val="auto"/>
        </w:rPr>
      </w:r>
      <w:r>
        <w:rPr>
          <w:rFonts w:cs="Arial"/>
          <w:iCs/>
          <w:color w:val="auto"/>
        </w:rPr>
        <w:fldChar w:fldCharType="separate"/>
      </w:r>
      <w:r w:rsidRPr="002F0A2E">
        <w:rPr>
          <w:rFonts w:cs="Arial"/>
          <w:iCs/>
          <w:color w:val="auto"/>
        </w:rPr>
        <w:t>Table 1 Generation Interconnection Process for Swim Lanes</w:t>
      </w:r>
      <w:r>
        <w:rPr>
          <w:rFonts w:cs="Arial"/>
          <w:iCs/>
          <w:color w:val="auto"/>
        </w:rPr>
        <w:fldChar w:fldCharType="end"/>
      </w:r>
      <w:r>
        <w:rPr>
          <w:rFonts w:cs="Arial"/>
          <w:iCs/>
          <w:color w:val="auto"/>
        </w:rPr>
        <w:t xml:space="preserve">, under Column C. The average estimated timeline for the GINR process is described under Appendix A, </w:t>
      </w:r>
      <w:r>
        <w:rPr>
          <w:rFonts w:cs="Arial"/>
          <w:iCs/>
          <w:color w:val="auto"/>
        </w:rPr>
        <w:fldChar w:fldCharType="begin"/>
      </w:r>
      <w:r>
        <w:rPr>
          <w:rFonts w:cs="Arial"/>
          <w:iCs/>
          <w:color w:val="auto"/>
        </w:rPr>
        <w:instrText xml:space="preserve"> REF _Ref33620451 \h </w:instrText>
      </w:r>
      <w:r>
        <w:rPr>
          <w:rFonts w:cs="Arial"/>
          <w:iCs/>
          <w:color w:val="auto"/>
        </w:rPr>
      </w:r>
      <w:r>
        <w:rPr>
          <w:rFonts w:cs="Arial"/>
          <w:iCs/>
          <w:color w:val="auto"/>
        </w:rPr>
        <w:fldChar w:fldCharType="separate"/>
      </w:r>
      <w:r w:rsidRPr="002F0A2E">
        <w:rPr>
          <w:rFonts w:cs="Arial"/>
          <w:iCs/>
          <w:color w:val="auto"/>
        </w:rPr>
        <w:t>Figure 1 GINR Process Timeline</w:t>
      </w:r>
      <w:r>
        <w:rPr>
          <w:rFonts w:cs="Arial"/>
          <w:iCs/>
          <w:color w:val="auto"/>
        </w:rPr>
        <w:fldChar w:fldCharType="end"/>
      </w:r>
      <w:r>
        <w:rPr>
          <w:rFonts w:cs="Arial"/>
          <w:iCs/>
          <w:color w:val="auto"/>
        </w:rPr>
        <w:t xml:space="preserve">. </w:t>
      </w:r>
      <w:r w:rsidRPr="00BF0DB2">
        <w:rPr>
          <w:rFonts w:cs="Arial"/>
          <w:iCs/>
          <w:color w:val="auto"/>
        </w:rPr>
        <w:t xml:space="preserve"> </w:t>
      </w:r>
    </w:p>
    <w:p w14:paraId="02DBAD21" w14:textId="77777777" w:rsidR="00615A46" w:rsidRDefault="00615A46" w:rsidP="00615A46">
      <w:pPr>
        <w:pStyle w:val="ListParagraph"/>
        <w:spacing w:before="120" w:after="120"/>
        <w:rPr>
          <w:rFonts w:cs="Arial"/>
          <w:iCs/>
          <w:color w:val="auto"/>
        </w:rPr>
      </w:pPr>
    </w:p>
    <w:p w14:paraId="408D8356" w14:textId="77777777" w:rsidR="00615A46" w:rsidRDefault="00615A46" w:rsidP="00615A46">
      <w:pPr>
        <w:pStyle w:val="ListParagraph"/>
        <w:numPr>
          <w:ilvl w:val="0"/>
          <w:numId w:val="50"/>
        </w:numPr>
        <w:spacing w:before="120" w:after="120"/>
        <w:rPr>
          <w:rFonts w:cs="Arial"/>
          <w:iCs/>
          <w:color w:val="auto"/>
        </w:rPr>
      </w:pPr>
      <w:r w:rsidRPr="00BF0DB2">
        <w:rPr>
          <w:rFonts w:cs="Arial"/>
          <w:iCs/>
          <w:color w:val="auto"/>
        </w:rPr>
        <w:t xml:space="preserve">GINR Process- Adding </w:t>
      </w:r>
      <w:r>
        <w:rPr>
          <w:rFonts w:cs="Arial"/>
          <w:iCs/>
          <w:color w:val="auto"/>
        </w:rPr>
        <w:t>an ESS</w:t>
      </w:r>
      <w:r w:rsidRPr="00BF0DB2">
        <w:rPr>
          <w:rFonts w:cs="Arial"/>
          <w:iCs/>
          <w:color w:val="auto"/>
        </w:rPr>
        <w:t xml:space="preserve"> to </w:t>
      </w:r>
      <w:r>
        <w:rPr>
          <w:rFonts w:cs="Arial"/>
          <w:iCs/>
          <w:color w:val="auto"/>
        </w:rPr>
        <w:t xml:space="preserve">an </w:t>
      </w:r>
      <w:r w:rsidRPr="00BF0DB2">
        <w:rPr>
          <w:rFonts w:cs="Arial"/>
          <w:iCs/>
          <w:color w:val="auto"/>
        </w:rPr>
        <w:t xml:space="preserve">existing PV/WGR site and sharing the existing inverter (DC-Coupled)(Column B) </w:t>
      </w:r>
      <w:r>
        <w:rPr>
          <w:rFonts w:cs="Arial"/>
          <w:iCs/>
          <w:color w:val="auto"/>
        </w:rPr>
        <w:t>–</w:t>
      </w:r>
      <w:r w:rsidRPr="00BF0DB2">
        <w:rPr>
          <w:rFonts w:cs="Arial"/>
          <w:iCs/>
          <w:color w:val="auto"/>
        </w:rPr>
        <w:t xml:space="preserve"> With Grid Charging</w:t>
      </w:r>
    </w:p>
    <w:p w14:paraId="0FF44480" w14:textId="77777777" w:rsidR="00615A46" w:rsidRDefault="00615A46" w:rsidP="00615A46">
      <w:pPr>
        <w:pStyle w:val="ListParagraph"/>
        <w:spacing w:before="120" w:after="120"/>
        <w:rPr>
          <w:rFonts w:cs="Arial"/>
          <w:iCs/>
          <w:color w:val="auto"/>
        </w:rPr>
      </w:pPr>
    </w:p>
    <w:p w14:paraId="28F4AD35" w14:textId="77777777" w:rsidR="00615A46" w:rsidRDefault="00615A46" w:rsidP="00615A46">
      <w:pPr>
        <w:pStyle w:val="ListParagraph"/>
        <w:spacing w:before="120" w:after="120"/>
        <w:ind w:left="1440"/>
        <w:rPr>
          <w:rFonts w:cs="Arial"/>
          <w:iCs/>
          <w:color w:val="auto"/>
        </w:rPr>
      </w:pPr>
      <w:r>
        <w:rPr>
          <w:rFonts w:cs="Arial"/>
          <w:iCs/>
          <w:color w:val="auto"/>
        </w:rPr>
        <w:t>The GINR Process for adding an ESS</w:t>
      </w:r>
      <w:r w:rsidRPr="00BF0DB2">
        <w:rPr>
          <w:rFonts w:cs="Arial"/>
          <w:iCs/>
          <w:color w:val="auto"/>
        </w:rPr>
        <w:t xml:space="preserve"> to </w:t>
      </w:r>
      <w:r>
        <w:rPr>
          <w:rFonts w:cs="Arial"/>
          <w:iCs/>
          <w:color w:val="auto"/>
        </w:rPr>
        <w:t xml:space="preserve">an </w:t>
      </w:r>
      <w:r w:rsidRPr="00BF0DB2">
        <w:rPr>
          <w:rFonts w:cs="Arial"/>
          <w:iCs/>
          <w:color w:val="auto"/>
        </w:rPr>
        <w:t>existing PV</w:t>
      </w:r>
      <w:r>
        <w:rPr>
          <w:rFonts w:cs="Arial"/>
          <w:iCs/>
          <w:color w:val="auto"/>
        </w:rPr>
        <w:t xml:space="preserve">GR or </w:t>
      </w:r>
      <w:r w:rsidRPr="00BF0DB2">
        <w:rPr>
          <w:rFonts w:cs="Arial"/>
          <w:iCs/>
          <w:color w:val="auto"/>
        </w:rPr>
        <w:t xml:space="preserve">WGR site and sharing the existing inverter (DC-Coupled) </w:t>
      </w:r>
      <w:r>
        <w:rPr>
          <w:rFonts w:cs="Arial"/>
          <w:iCs/>
          <w:color w:val="auto"/>
        </w:rPr>
        <w:t xml:space="preserve">with the ability to charge </w:t>
      </w:r>
      <w:bookmarkStart w:id="0" w:name="_GoBack"/>
      <w:bookmarkEnd w:id="0"/>
      <w:r>
        <w:rPr>
          <w:rFonts w:cs="Arial"/>
          <w:iCs/>
          <w:color w:val="auto"/>
        </w:rPr>
        <w:t xml:space="preserve">the ESS from ERCOT grid is described in Appendix B, </w:t>
      </w:r>
      <w:r>
        <w:rPr>
          <w:rFonts w:cs="Arial"/>
          <w:iCs/>
          <w:color w:val="auto"/>
        </w:rPr>
        <w:fldChar w:fldCharType="begin"/>
      </w:r>
      <w:r>
        <w:rPr>
          <w:rFonts w:cs="Arial"/>
          <w:iCs/>
          <w:color w:val="auto"/>
        </w:rPr>
        <w:instrText xml:space="preserve"> REF _Ref33621289 \h </w:instrText>
      </w:r>
      <w:r>
        <w:rPr>
          <w:rFonts w:cs="Arial"/>
          <w:iCs/>
          <w:color w:val="auto"/>
        </w:rPr>
      </w:r>
      <w:r>
        <w:rPr>
          <w:rFonts w:cs="Arial"/>
          <w:iCs/>
          <w:color w:val="auto"/>
        </w:rPr>
        <w:fldChar w:fldCharType="separate"/>
      </w:r>
      <w:r>
        <w:t xml:space="preserve">Table </w:t>
      </w:r>
      <w:r>
        <w:rPr>
          <w:noProof/>
        </w:rPr>
        <w:t>1</w:t>
      </w:r>
      <w:r w:rsidRPr="00E06390">
        <w:t xml:space="preserve"> </w:t>
      </w:r>
      <w:r w:rsidRPr="009C6AFC">
        <w:t xml:space="preserve">Generation </w:t>
      </w:r>
      <w:r w:rsidRPr="009C6AFC">
        <w:lastRenderedPageBreak/>
        <w:t>Interconnection Process for Swim Lanes</w:t>
      </w:r>
      <w:r>
        <w:rPr>
          <w:rFonts w:cs="Arial"/>
          <w:iCs/>
          <w:color w:val="auto"/>
        </w:rPr>
        <w:fldChar w:fldCharType="end"/>
      </w:r>
      <w:r>
        <w:rPr>
          <w:rFonts w:cs="Arial"/>
          <w:iCs/>
          <w:color w:val="auto"/>
        </w:rPr>
        <w:t xml:space="preserve"> under Column B. The average estimated timeline for the GINR process is described under Appendix A, </w:t>
      </w:r>
      <w:r>
        <w:rPr>
          <w:rFonts w:cs="Arial"/>
          <w:iCs/>
          <w:color w:val="auto"/>
        </w:rPr>
        <w:fldChar w:fldCharType="begin"/>
      </w:r>
      <w:r>
        <w:rPr>
          <w:rFonts w:cs="Arial"/>
          <w:iCs/>
          <w:color w:val="auto"/>
        </w:rPr>
        <w:instrText xml:space="preserve"> REF _Ref33620731 \h </w:instrText>
      </w:r>
      <w:r>
        <w:rPr>
          <w:rFonts w:cs="Arial"/>
          <w:iCs/>
          <w:color w:val="auto"/>
        </w:rPr>
      </w:r>
      <w:r>
        <w:rPr>
          <w:rFonts w:cs="Arial"/>
          <w:iCs/>
          <w:color w:val="auto"/>
        </w:rPr>
        <w:fldChar w:fldCharType="separate"/>
      </w:r>
      <w:r>
        <w:t xml:space="preserve">Figure </w:t>
      </w:r>
      <w:r>
        <w:rPr>
          <w:noProof/>
        </w:rPr>
        <w:t>2</w:t>
      </w:r>
      <w:r>
        <w:t xml:space="preserve"> </w:t>
      </w:r>
      <w:r w:rsidRPr="00CF5BA7">
        <w:t>GINR Process Timeline</w:t>
      </w:r>
      <w:r>
        <w:rPr>
          <w:rFonts w:cs="Arial"/>
          <w:iCs/>
          <w:color w:val="auto"/>
        </w:rPr>
        <w:fldChar w:fldCharType="end"/>
      </w:r>
      <w:r>
        <w:rPr>
          <w:rFonts w:cs="Arial"/>
          <w:iCs/>
          <w:color w:val="auto"/>
        </w:rPr>
        <w:t xml:space="preserve">. </w:t>
      </w:r>
      <w:r w:rsidRPr="00BF0DB2">
        <w:rPr>
          <w:rFonts w:cs="Arial"/>
          <w:iCs/>
          <w:color w:val="auto"/>
        </w:rPr>
        <w:t xml:space="preserve"> </w:t>
      </w:r>
    </w:p>
    <w:p w14:paraId="4DA58167" w14:textId="77777777" w:rsidR="00615A46" w:rsidRDefault="00615A46" w:rsidP="00615A46">
      <w:pPr>
        <w:pStyle w:val="ListParagraph"/>
        <w:spacing w:before="120" w:after="120"/>
        <w:rPr>
          <w:rFonts w:cs="Arial"/>
          <w:iCs/>
          <w:color w:val="auto"/>
        </w:rPr>
      </w:pPr>
    </w:p>
    <w:p w14:paraId="61621A44" w14:textId="77777777" w:rsidR="00615A46" w:rsidRDefault="00615A46" w:rsidP="00615A46">
      <w:pPr>
        <w:pStyle w:val="ListParagraph"/>
        <w:numPr>
          <w:ilvl w:val="0"/>
          <w:numId w:val="50"/>
        </w:numPr>
        <w:spacing w:before="120" w:after="120"/>
        <w:rPr>
          <w:rFonts w:cs="Arial"/>
          <w:iCs/>
          <w:color w:val="auto"/>
        </w:rPr>
      </w:pPr>
      <w:r w:rsidRPr="00BF0DB2">
        <w:rPr>
          <w:rFonts w:cs="Arial"/>
          <w:iCs/>
          <w:color w:val="auto"/>
        </w:rPr>
        <w:t xml:space="preserve">GINR Process- Adding </w:t>
      </w:r>
      <w:r>
        <w:rPr>
          <w:rFonts w:cs="Arial"/>
          <w:iCs/>
          <w:color w:val="auto"/>
        </w:rPr>
        <w:t>an ESS</w:t>
      </w:r>
      <w:r w:rsidRPr="00BF0DB2">
        <w:rPr>
          <w:rFonts w:cs="Arial"/>
          <w:iCs/>
          <w:color w:val="auto"/>
        </w:rPr>
        <w:t xml:space="preserve"> to existing thermal </w:t>
      </w:r>
      <w:r>
        <w:rPr>
          <w:rFonts w:cs="Arial"/>
          <w:iCs/>
          <w:color w:val="auto"/>
        </w:rPr>
        <w:t xml:space="preserve">generation </w:t>
      </w:r>
      <w:r w:rsidRPr="00BF0DB2">
        <w:rPr>
          <w:rFonts w:cs="Arial"/>
          <w:iCs/>
          <w:color w:val="auto"/>
        </w:rPr>
        <w:t xml:space="preserve">site (AC Coupled) </w:t>
      </w:r>
    </w:p>
    <w:p w14:paraId="0B969858" w14:textId="77777777" w:rsidR="00615A46" w:rsidRDefault="00615A46" w:rsidP="00615A46">
      <w:pPr>
        <w:pStyle w:val="ListParagraph"/>
        <w:spacing w:before="120" w:after="120"/>
        <w:rPr>
          <w:rFonts w:cs="Arial"/>
          <w:iCs/>
          <w:color w:val="auto"/>
        </w:rPr>
      </w:pPr>
    </w:p>
    <w:p w14:paraId="2B5F2231" w14:textId="77777777" w:rsidR="00615A46" w:rsidRDefault="00615A46" w:rsidP="00615A46">
      <w:pPr>
        <w:pStyle w:val="ListParagraph"/>
        <w:spacing w:before="120" w:after="120"/>
        <w:ind w:left="1440"/>
        <w:rPr>
          <w:rFonts w:cs="Arial"/>
          <w:iCs/>
          <w:color w:val="auto"/>
        </w:rPr>
      </w:pPr>
      <w:r>
        <w:rPr>
          <w:rFonts w:cs="Arial"/>
          <w:iCs/>
          <w:color w:val="auto"/>
        </w:rPr>
        <w:t>The GINR Process for adding an ESS</w:t>
      </w:r>
      <w:r w:rsidRPr="00BF0DB2">
        <w:rPr>
          <w:rFonts w:cs="Arial"/>
          <w:iCs/>
          <w:color w:val="auto"/>
        </w:rPr>
        <w:t xml:space="preserve"> to </w:t>
      </w:r>
      <w:r>
        <w:rPr>
          <w:rFonts w:cs="Arial"/>
          <w:iCs/>
          <w:color w:val="auto"/>
        </w:rPr>
        <w:t>an</w:t>
      </w:r>
      <w:r w:rsidRPr="00BF0DB2">
        <w:rPr>
          <w:rFonts w:cs="Arial"/>
          <w:iCs/>
          <w:color w:val="auto"/>
        </w:rPr>
        <w:t xml:space="preserve"> existing thermal site (AC Coupled)</w:t>
      </w:r>
      <w:r>
        <w:rPr>
          <w:rFonts w:cs="Arial"/>
          <w:iCs/>
          <w:color w:val="auto"/>
        </w:rPr>
        <w:t xml:space="preserve"> with the ability to charge the ESS from the ERCOT grid is described in Appendix B, </w:t>
      </w:r>
      <w:r>
        <w:rPr>
          <w:rFonts w:cs="Arial"/>
          <w:iCs/>
          <w:color w:val="auto"/>
        </w:rPr>
        <w:fldChar w:fldCharType="begin"/>
      </w:r>
      <w:r>
        <w:rPr>
          <w:rFonts w:cs="Arial"/>
          <w:iCs/>
          <w:color w:val="auto"/>
        </w:rPr>
        <w:instrText xml:space="preserve"> REF _Ref33621289 \h </w:instrText>
      </w:r>
      <w:r>
        <w:rPr>
          <w:rFonts w:cs="Arial"/>
          <w:iCs/>
          <w:color w:val="auto"/>
        </w:rPr>
      </w:r>
      <w:r>
        <w:rPr>
          <w:rFonts w:cs="Arial"/>
          <w:iCs/>
          <w:color w:val="auto"/>
        </w:rPr>
        <w:fldChar w:fldCharType="separate"/>
      </w:r>
      <w:r>
        <w:t xml:space="preserve">Table </w:t>
      </w:r>
      <w:r>
        <w:rPr>
          <w:noProof/>
        </w:rPr>
        <w:t>1</w:t>
      </w:r>
      <w:r w:rsidRPr="00E06390">
        <w:t xml:space="preserve"> </w:t>
      </w:r>
      <w:r w:rsidRPr="009C6AFC">
        <w:t>Generation Interconnection Process for Swim Lanes</w:t>
      </w:r>
      <w:r>
        <w:rPr>
          <w:rFonts w:cs="Arial"/>
          <w:iCs/>
          <w:color w:val="auto"/>
        </w:rPr>
        <w:fldChar w:fldCharType="end"/>
      </w:r>
      <w:r>
        <w:rPr>
          <w:rFonts w:cs="Arial"/>
          <w:iCs/>
          <w:color w:val="auto"/>
        </w:rPr>
        <w:t xml:space="preserve"> under Column A. The average estimated timeline for the GINR process is described under Appendix A, </w:t>
      </w:r>
      <w:r>
        <w:rPr>
          <w:rFonts w:cs="Arial"/>
          <w:iCs/>
          <w:color w:val="auto"/>
        </w:rPr>
        <w:fldChar w:fldCharType="begin"/>
      </w:r>
      <w:r>
        <w:rPr>
          <w:rFonts w:cs="Arial"/>
          <w:iCs/>
          <w:color w:val="auto"/>
        </w:rPr>
        <w:instrText xml:space="preserve"> REF _Ref33620810 \h </w:instrText>
      </w:r>
      <w:r>
        <w:rPr>
          <w:rFonts w:cs="Arial"/>
          <w:iCs/>
          <w:color w:val="auto"/>
        </w:rPr>
      </w:r>
      <w:r>
        <w:rPr>
          <w:rFonts w:cs="Arial"/>
          <w:iCs/>
          <w:color w:val="auto"/>
        </w:rPr>
        <w:fldChar w:fldCharType="separate"/>
      </w:r>
      <w:r>
        <w:t xml:space="preserve">Figure </w:t>
      </w:r>
      <w:r>
        <w:rPr>
          <w:noProof/>
        </w:rPr>
        <w:t>3</w:t>
      </w:r>
      <w:r>
        <w:t xml:space="preserve"> </w:t>
      </w:r>
      <w:r w:rsidRPr="00753F4D">
        <w:t>GINR Process Timeline</w:t>
      </w:r>
      <w:r>
        <w:rPr>
          <w:rFonts w:cs="Arial"/>
          <w:iCs/>
          <w:color w:val="auto"/>
        </w:rPr>
        <w:fldChar w:fldCharType="end"/>
      </w:r>
      <w:r>
        <w:rPr>
          <w:rFonts w:cs="Arial"/>
          <w:iCs/>
          <w:color w:val="auto"/>
        </w:rPr>
        <w:t xml:space="preserve">. </w:t>
      </w:r>
      <w:r w:rsidRPr="00BF0DB2">
        <w:rPr>
          <w:rFonts w:cs="Arial"/>
          <w:iCs/>
          <w:color w:val="auto"/>
        </w:rPr>
        <w:t xml:space="preserve"> </w:t>
      </w:r>
    </w:p>
    <w:p w14:paraId="7BAF6A71" w14:textId="77777777" w:rsidR="00615A46" w:rsidRDefault="00615A46" w:rsidP="00615A46">
      <w:pPr>
        <w:pStyle w:val="ListParagraph"/>
        <w:spacing w:before="120" w:after="120"/>
        <w:rPr>
          <w:rFonts w:cs="Arial"/>
          <w:iCs/>
          <w:color w:val="auto"/>
        </w:rPr>
      </w:pPr>
    </w:p>
    <w:p w14:paraId="13937D8B" w14:textId="77777777" w:rsidR="00615A46" w:rsidRDefault="00615A46" w:rsidP="00615A46">
      <w:pPr>
        <w:pStyle w:val="ListParagraph"/>
        <w:numPr>
          <w:ilvl w:val="0"/>
          <w:numId w:val="50"/>
        </w:numPr>
        <w:spacing w:before="120" w:after="120"/>
        <w:rPr>
          <w:rFonts w:cs="Arial"/>
          <w:iCs/>
          <w:color w:val="auto"/>
        </w:rPr>
      </w:pPr>
      <w:r w:rsidRPr="00BF0DB2">
        <w:rPr>
          <w:rFonts w:cs="Arial"/>
          <w:iCs/>
          <w:color w:val="auto"/>
        </w:rPr>
        <w:t xml:space="preserve">GINR Process- Adding </w:t>
      </w:r>
      <w:r>
        <w:rPr>
          <w:rFonts w:cs="Arial"/>
          <w:iCs/>
          <w:color w:val="auto"/>
        </w:rPr>
        <w:t>an ESS</w:t>
      </w:r>
      <w:r w:rsidRPr="00BF0DB2">
        <w:rPr>
          <w:rFonts w:cs="Arial"/>
          <w:iCs/>
          <w:color w:val="auto"/>
        </w:rPr>
        <w:t xml:space="preserve"> to existing PV/WGR site (AC Coupled)</w:t>
      </w:r>
    </w:p>
    <w:p w14:paraId="1C440727" w14:textId="77777777" w:rsidR="00615A46" w:rsidRDefault="00615A46" w:rsidP="00615A46">
      <w:pPr>
        <w:pStyle w:val="ListParagraph"/>
        <w:spacing w:before="120" w:after="120"/>
        <w:rPr>
          <w:rFonts w:cs="Arial"/>
          <w:iCs/>
          <w:color w:val="auto"/>
        </w:rPr>
      </w:pPr>
    </w:p>
    <w:p w14:paraId="78D32BD8" w14:textId="77777777" w:rsidR="00615A46" w:rsidRDefault="00615A46" w:rsidP="00615A46">
      <w:pPr>
        <w:pStyle w:val="ListParagraph"/>
        <w:spacing w:before="120" w:after="120"/>
        <w:ind w:left="1440"/>
        <w:rPr>
          <w:rFonts w:cs="Arial"/>
          <w:iCs/>
          <w:color w:val="auto"/>
        </w:rPr>
      </w:pPr>
      <w:r>
        <w:rPr>
          <w:rFonts w:cs="Arial"/>
          <w:iCs/>
          <w:color w:val="auto"/>
        </w:rPr>
        <w:t>The GINR Process for adding an ESS</w:t>
      </w:r>
      <w:r w:rsidRPr="00BF0DB2">
        <w:rPr>
          <w:rFonts w:cs="Arial"/>
          <w:iCs/>
          <w:color w:val="auto"/>
        </w:rPr>
        <w:t xml:space="preserve"> to </w:t>
      </w:r>
      <w:r>
        <w:rPr>
          <w:rFonts w:cs="Arial"/>
          <w:iCs/>
          <w:color w:val="auto"/>
        </w:rPr>
        <w:t xml:space="preserve">an </w:t>
      </w:r>
      <w:r w:rsidRPr="00BF0DB2">
        <w:rPr>
          <w:rFonts w:cs="Arial"/>
          <w:iCs/>
          <w:color w:val="auto"/>
        </w:rPr>
        <w:t>existing thermal site (AC Coupled)</w:t>
      </w:r>
      <w:r>
        <w:rPr>
          <w:rFonts w:cs="Arial"/>
          <w:iCs/>
          <w:color w:val="auto"/>
        </w:rPr>
        <w:t xml:space="preserve"> with the ability to charge the ESs from ERCOT grid is described in Appendix B, </w:t>
      </w:r>
      <w:r>
        <w:rPr>
          <w:rFonts w:cs="Arial"/>
          <w:iCs/>
          <w:color w:val="auto"/>
        </w:rPr>
        <w:fldChar w:fldCharType="begin"/>
      </w:r>
      <w:r>
        <w:rPr>
          <w:rFonts w:cs="Arial"/>
          <w:iCs/>
          <w:color w:val="auto"/>
        </w:rPr>
        <w:instrText xml:space="preserve"> REF _Ref33621289 \h </w:instrText>
      </w:r>
      <w:r>
        <w:rPr>
          <w:rFonts w:cs="Arial"/>
          <w:iCs/>
          <w:color w:val="auto"/>
        </w:rPr>
      </w:r>
      <w:r>
        <w:rPr>
          <w:rFonts w:cs="Arial"/>
          <w:iCs/>
          <w:color w:val="auto"/>
        </w:rPr>
        <w:fldChar w:fldCharType="separate"/>
      </w:r>
      <w:r>
        <w:t xml:space="preserve">Table </w:t>
      </w:r>
      <w:r>
        <w:rPr>
          <w:noProof/>
        </w:rPr>
        <w:t>1</w:t>
      </w:r>
      <w:r w:rsidRPr="00E06390">
        <w:t xml:space="preserve"> </w:t>
      </w:r>
      <w:r w:rsidRPr="009C6AFC">
        <w:t>Generation Interconnection Process for Swim Lanes</w:t>
      </w:r>
      <w:r>
        <w:rPr>
          <w:rFonts w:cs="Arial"/>
          <w:iCs/>
          <w:color w:val="auto"/>
        </w:rPr>
        <w:fldChar w:fldCharType="end"/>
      </w:r>
      <w:r>
        <w:rPr>
          <w:rFonts w:cs="Arial"/>
          <w:iCs/>
          <w:color w:val="auto"/>
        </w:rPr>
        <w:t xml:space="preserve"> Column A. The average estimated timeline for the GINR process is described under Appendix A, </w:t>
      </w:r>
      <w:r>
        <w:rPr>
          <w:rFonts w:cs="Arial"/>
          <w:iCs/>
          <w:color w:val="auto"/>
        </w:rPr>
        <w:fldChar w:fldCharType="begin"/>
      </w:r>
      <w:r>
        <w:rPr>
          <w:rFonts w:cs="Arial"/>
          <w:iCs/>
          <w:color w:val="auto"/>
        </w:rPr>
        <w:instrText xml:space="preserve"> REF _Ref33620810 \h </w:instrText>
      </w:r>
      <w:r>
        <w:rPr>
          <w:rFonts w:cs="Arial"/>
          <w:iCs/>
          <w:color w:val="auto"/>
        </w:rPr>
      </w:r>
      <w:r>
        <w:rPr>
          <w:rFonts w:cs="Arial"/>
          <w:iCs/>
          <w:color w:val="auto"/>
        </w:rPr>
        <w:fldChar w:fldCharType="separate"/>
      </w:r>
      <w:r>
        <w:t xml:space="preserve">Figure </w:t>
      </w:r>
      <w:r>
        <w:rPr>
          <w:noProof/>
        </w:rPr>
        <w:t>3</w:t>
      </w:r>
      <w:r>
        <w:t xml:space="preserve"> </w:t>
      </w:r>
      <w:r w:rsidRPr="00753F4D">
        <w:t>GINR Process Timeline</w:t>
      </w:r>
      <w:r>
        <w:rPr>
          <w:rFonts w:cs="Arial"/>
          <w:iCs/>
          <w:color w:val="auto"/>
        </w:rPr>
        <w:fldChar w:fldCharType="end"/>
      </w:r>
      <w:r>
        <w:rPr>
          <w:rFonts w:cs="Arial"/>
          <w:iCs/>
          <w:color w:val="auto"/>
        </w:rPr>
        <w:t xml:space="preserve">. </w:t>
      </w:r>
      <w:r w:rsidRPr="00BF0DB2">
        <w:rPr>
          <w:rFonts w:cs="Arial"/>
          <w:iCs/>
          <w:color w:val="auto"/>
        </w:rPr>
        <w:t xml:space="preserve"> </w:t>
      </w:r>
    </w:p>
    <w:p w14:paraId="58460503" w14:textId="77777777" w:rsidR="00615A46" w:rsidRDefault="00615A46" w:rsidP="00615A46">
      <w:pPr>
        <w:pStyle w:val="ListParagraph"/>
        <w:spacing w:before="120" w:after="120"/>
        <w:rPr>
          <w:rFonts w:cs="Arial"/>
          <w:iCs/>
          <w:color w:val="auto"/>
        </w:rPr>
      </w:pPr>
    </w:p>
    <w:p w14:paraId="113B348F" w14:textId="77777777" w:rsidR="00615A46" w:rsidRDefault="00615A46" w:rsidP="00615A46">
      <w:pPr>
        <w:pStyle w:val="ListParagraph"/>
        <w:numPr>
          <w:ilvl w:val="0"/>
          <w:numId w:val="50"/>
        </w:numPr>
        <w:spacing w:before="120" w:after="120"/>
        <w:rPr>
          <w:rFonts w:cs="Arial"/>
          <w:iCs/>
          <w:color w:val="auto"/>
        </w:rPr>
      </w:pPr>
      <w:r w:rsidRPr="00BF0DB2">
        <w:rPr>
          <w:rFonts w:cs="Arial"/>
          <w:iCs/>
          <w:color w:val="auto"/>
        </w:rPr>
        <w:t>GINR Process - Ne</w:t>
      </w:r>
      <w:r>
        <w:rPr>
          <w:rFonts w:cs="Arial"/>
          <w:iCs/>
          <w:color w:val="auto"/>
        </w:rPr>
        <w:t xml:space="preserve">w DC-Coupled Resource </w:t>
      </w:r>
    </w:p>
    <w:p w14:paraId="275C1E14" w14:textId="77777777" w:rsidR="00615A46" w:rsidRDefault="00615A46" w:rsidP="00615A46">
      <w:pPr>
        <w:pStyle w:val="ListParagraph"/>
        <w:spacing w:before="120" w:after="120"/>
        <w:rPr>
          <w:rFonts w:cs="Arial"/>
          <w:iCs/>
          <w:color w:val="auto"/>
        </w:rPr>
      </w:pPr>
    </w:p>
    <w:p w14:paraId="13FAADB9" w14:textId="77777777" w:rsidR="00615A46" w:rsidRPr="00AC0BA0" w:rsidRDefault="00615A46" w:rsidP="00615A46">
      <w:pPr>
        <w:pStyle w:val="ListParagraph"/>
        <w:spacing w:before="120" w:after="120"/>
        <w:ind w:left="1440"/>
      </w:pPr>
      <w:r>
        <w:rPr>
          <w:rFonts w:cs="Arial"/>
          <w:iCs/>
          <w:color w:val="auto"/>
        </w:rPr>
        <w:t>The GINR Process for adding a n</w:t>
      </w:r>
      <w:r w:rsidRPr="00BF0DB2">
        <w:rPr>
          <w:rFonts w:cs="Arial"/>
          <w:iCs/>
          <w:color w:val="auto"/>
        </w:rPr>
        <w:t>ew DC</w:t>
      </w:r>
      <w:r>
        <w:rPr>
          <w:rFonts w:cs="Arial"/>
          <w:iCs/>
          <w:color w:val="auto"/>
        </w:rPr>
        <w:t>-</w:t>
      </w:r>
      <w:r w:rsidRPr="00BF0DB2">
        <w:rPr>
          <w:rFonts w:cs="Arial"/>
          <w:iCs/>
          <w:color w:val="auto"/>
        </w:rPr>
        <w:t>Coupled Resource</w:t>
      </w:r>
      <w:r>
        <w:rPr>
          <w:rFonts w:cs="Arial"/>
          <w:iCs/>
          <w:color w:val="auto"/>
        </w:rPr>
        <w:t xml:space="preserve"> is described in Appendix B, </w:t>
      </w:r>
      <w:r>
        <w:rPr>
          <w:rFonts w:cs="Arial"/>
          <w:iCs/>
          <w:color w:val="auto"/>
        </w:rPr>
        <w:fldChar w:fldCharType="begin"/>
      </w:r>
      <w:r>
        <w:rPr>
          <w:rFonts w:cs="Arial"/>
          <w:iCs/>
          <w:color w:val="auto"/>
        </w:rPr>
        <w:instrText xml:space="preserve"> REF _Ref33621289 \h </w:instrText>
      </w:r>
      <w:r>
        <w:rPr>
          <w:rFonts w:cs="Arial"/>
          <w:iCs/>
          <w:color w:val="auto"/>
        </w:rPr>
      </w:r>
      <w:r>
        <w:rPr>
          <w:rFonts w:cs="Arial"/>
          <w:iCs/>
          <w:color w:val="auto"/>
        </w:rPr>
        <w:fldChar w:fldCharType="separate"/>
      </w:r>
      <w:r>
        <w:t xml:space="preserve">Table </w:t>
      </w:r>
      <w:r>
        <w:rPr>
          <w:noProof/>
        </w:rPr>
        <w:t>1</w:t>
      </w:r>
      <w:r w:rsidRPr="00E06390">
        <w:t xml:space="preserve"> </w:t>
      </w:r>
      <w:r w:rsidRPr="009C6AFC">
        <w:t>Generation Interconnection Process for Swim Lanes</w:t>
      </w:r>
      <w:r>
        <w:rPr>
          <w:rFonts w:cs="Arial"/>
          <w:iCs/>
          <w:color w:val="auto"/>
        </w:rPr>
        <w:fldChar w:fldCharType="end"/>
      </w:r>
      <w:r>
        <w:rPr>
          <w:rFonts w:cs="Arial"/>
          <w:iCs/>
          <w:color w:val="auto"/>
        </w:rPr>
        <w:t xml:space="preserve"> under Column G. The average estimated timeline for the GINR process is described under Appendix A, </w:t>
      </w:r>
      <w:r>
        <w:rPr>
          <w:rFonts w:cs="Arial"/>
          <w:iCs/>
          <w:color w:val="auto"/>
        </w:rPr>
        <w:fldChar w:fldCharType="begin"/>
      </w:r>
      <w:r>
        <w:rPr>
          <w:rFonts w:cs="Arial"/>
          <w:iCs/>
          <w:color w:val="auto"/>
        </w:rPr>
        <w:instrText xml:space="preserve"> REF _Ref33621071 \h </w:instrText>
      </w:r>
      <w:r>
        <w:rPr>
          <w:rFonts w:cs="Arial"/>
          <w:iCs/>
          <w:color w:val="auto"/>
        </w:rPr>
      </w:r>
      <w:r>
        <w:rPr>
          <w:rFonts w:cs="Arial"/>
          <w:iCs/>
          <w:color w:val="auto"/>
        </w:rPr>
        <w:fldChar w:fldCharType="separate"/>
      </w:r>
      <w:r>
        <w:t xml:space="preserve">Figure </w:t>
      </w:r>
      <w:r>
        <w:rPr>
          <w:noProof/>
        </w:rPr>
        <w:t>4</w:t>
      </w:r>
      <w:r>
        <w:t xml:space="preserve"> </w:t>
      </w:r>
      <w:r w:rsidRPr="008F5924">
        <w:t>GINR Process Timeline</w:t>
      </w:r>
      <w:r>
        <w:rPr>
          <w:rFonts w:cs="Arial"/>
          <w:iCs/>
          <w:color w:val="auto"/>
        </w:rPr>
        <w:fldChar w:fldCharType="end"/>
      </w:r>
      <w:r>
        <w:rPr>
          <w:rFonts w:cs="Arial"/>
          <w:iCs/>
          <w:color w:val="auto"/>
        </w:rPr>
        <w:fldChar w:fldCharType="begin"/>
      </w:r>
      <w:r>
        <w:rPr>
          <w:rFonts w:cs="Arial"/>
          <w:iCs/>
          <w:color w:val="auto"/>
        </w:rPr>
        <w:instrText xml:space="preserve"> REF _Ref33620810 \h </w:instrText>
      </w:r>
      <w:r>
        <w:rPr>
          <w:rFonts w:cs="Arial"/>
          <w:iCs/>
          <w:color w:val="auto"/>
        </w:rPr>
      </w:r>
      <w:r>
        <w:rPr>
          <w:rFonts w:cs="Arial"/>
          <w:iCs/>
          <w:color w:val="auto"/>
        </w:rPr>
        <w:fldChar w:fldCharType="end"/>
      </w:r>
      <w:r>
        <w:rPr>
          <w:rFonts w:cs="Arial"/>
          <w:iCs/>
          <w:color w:val="auto"/>
        </w:rPr>
        <w:t xml:space="preserve">. </w:t>
      </w:r>
      <w:r w:rsidRPr="00BF0DB2">
        <w:rPr>
          <w:rFonts w:cs="Arial"/>
          <w:iCs/>
          <w:color w:val="auto"/>
        </w:rPr>
        <w:t xml:space="preserve"> </w:t>
      </w:r>
    </w:p>
    <w:p w14:paraId="12E75E7D" w14:textId="77777777" w:rsidR="00615A46" w:rsidRDefault="00615A46" w:rsidP="00615A46">
      <w:pPr>
        <w:pStyle w:val="ListParagraph"/>
        <w:spacing w:before="120" w:after="120"/>
        <w:rPr>
          <w:rFonts w:cs="Arial"/>
          <w:iCs/>
          <w:color w:val="auto"/>
        </w:rPr>
      </w:pPr>
    </w:p>
    <w:p w14:paraId="51209170" w14:textId="77777777" w:rsidR="00615A46" w:rsidRDefault="00615A46" w:rsidP="00615A46">
      <w:pPr>
        <w:pStyle w:val="ListParagraph"/>
        <w:numPr>
          <w:ilvl w:val="0"/>
          <w:numId w:val="50"/>
        </w:numPr>
        <w:spacing w:before="120" w:after="120"/>
        <w:rPr>
          <w:rFonts w:cs="Arial"/>
          <w:iCs/>
          <w:color w:val="auto"/>
        </w:rPr>
      </w:pPr>
      <w:r w:rsidRPr="00BF0DB2">
        <w:rPr>
          <w:rFonts w:cs="Arial"/>
          <w:iCs/>
          <w:color w:val="auto"/>
        </w:rPr>
        <w:t>GINR Process - New AC</w:t>
      </w:r>
      <w:r>
        <w:rPr>
          <w:rFonts w:cs="Arial"/>
          <w:iCs/>
          <w:color w:val="auto"/>
        </w:rPr>
        <w:t>-</w:t>
      </w:r>
      <w:r w:rsidRPr="00BF0DB2">
        <w:rPr>
          <w:rFonts w:cs="Arial"/>
          <w:iCs/>
          <w:color w:val="auto"/>
        </w:rPr>
        <w:t>Coupled Resource (Column H)</w:t>
      </w:r>
    </w:p>
    <w:p w14:paraId="69786015" w14:textId="77777777" w:rsidR="00615A46" w:rsidRDefault="00615A46" w:rsidP="00615A46">
      <w:pPr>
        <w:pStyle w:val="ListParagraph"/>
        <w:spacing w:before="120" w:after="120"/>
        <w:rPr>
          <w:rFonts w:cs="Arial"/>
          <w:iCs/>
          <w:color w:val="auto"/>
        </w:rPr>
      </w:pPr>
    </w:p>
    <w:p w14:paraId="3154AFD8" w14:textId="29B53D0B" w:rsidR="00BF0DB2" w:rsidRDefault="00615A46" w:rsidP="00DC5A7E">
      <w:pPr>
        <w:pStyle w:val="ListParagraph"/>
        <w:spacing w:before="120" w:after="120"/>
        <w:ind w:left="1440"/>
        <w:contextualSpacing w:val="0"/>
        <w:rPr>
          <w:rFonts w:cs="Arial"/>
          <w:iCs/>
          <w:color w:val="auto"/>
        </w:rPr>
      </w:pPr>
      <w:r>
        <w:rPr>
          <w:rFonts w:cs="Arial"/>
          <w:iCs/>
          <w:color w:val="auto"/>
        </w:rPr>
        <w:t>The GINR Process for adding a n</w:t>
      </w:r>
      <w:r w:rsidRPr="00BF0DB2">
        <w:rPr>
          <w:rFonts w:cs="Arial"/>
          <w:iCs/>
          <w:color w:val="auto"/>
        </w:rPr>
        <w:t>ew AC</w:t>
      </w:r>
      <w:r>
        <w:rPr>
          <w:rFonts w:cs="Arial"/>
          <w:iCs/>
          <w:color w:val="auto"/>
        </w:rPr>
        <w:t>-</w:t>
      </w:r>
      <w:r w:rsidRPr="00BF0DB2">
        <w:rPr>
          <w:rFonts w:cs="Arial"/>
          <w:iCs/>
          <w:color w:val="auto"/>
        </w:rPr>
        <w:t xml:space="preserve">Coupled Resource </w:t>
      </w:r>
      <w:r>
        <w:rPr>
          <w:rFonts w:cs="Arial"/>
          <w:iCs/>
          <w:color w:val="auto"/>
        </w:rPr>
        <w:t xml:space="preserve">is described in Appendix B, </w:t>
      </w:r>
      <w:r>
        <w:rPr>
          <w:rFonts w:cs="Arial"/>
          <w:iCs/>
          <w:color w:val="auto"/>
        </w:rPr>
        <w:fldChar w:fldCharType="begin"/>
      </w:r>
      <w:r>
        <w:rPr>
          <w:rFonts w:cs="Arial"/>
          <w:iCs/>
          <w:color w:val="auto"/>
        </w:rPr>
        <w:instrText xml:space="preserve"> REF _Ref33621289 \h </w:instrText>
      </w:r>
      <w:r>
        <w:rPr>
          <w:rFonts w:cs="Arial"/>
          <w:iCs/>
          <w:color w:val="auto"/>
        </w:rPr>
      </w:r>
      <w:r>
        <w:rPr>
          <w:rFonts w:cs="Arial"/>
          <w:iCs/>
          <w:color w:val="auto"/>
        </w:rPr>
        <w:fldChar w:fldCharType="separate"/>
      </w:r>
      <w:r>
        <w:t xml:space="preserve">Table </w:t>
      </w:r>
      <w:r>
        <w:rPr>
          <w:noProof/>
        </w:rPr>
        <w:t>1</w:t>
      </w:r>
      <w:r w:rsidRPr="00E06390">
        <w:t xml:space="preserve"> </w:t>
      </w:r>
      <w:r w:rsidRPr="009C6AFC">
        <w:t>Generation Interconnection Process for Swim Lanes</w:t>
      </w:r>
      <w:r>
        <w:rPr>
          <w:rFonts w:cs="Arial"/>
          <w:iCs/>
          <w:color w:val="auto"/>
        </w:rPr>
        <w:fldChar w:fldCharType="end"/>
      </w:r>
      <w:r>
        <w:rPr>
          <w:rFonts w:cs="Arial"/>
          <w:iCs/>
          <w:color w:val="auto"/>
        </w:rPr>
        <w:t xml:space="preserve"> under Column H. The average estimated timeline for the GINR process is described under Appendix A, </w:t>
      </w:r>
      <w:r>
        <w:rPr>
          <w:rFonts w:cs="Arial"/>
          <w:iCs/>
          <w:color w:val="auto"/>
        </w:rPr>
        <w:fldChar w:fldCharType="begin"/>
      </w:r>
      <w:r>
        <w:rPr>
          <w:rFonts w:cs="Arial"/>
          <w:iCs/>
          <w:color w:val="auto"/>
        </w:rPr>
        <w:instrText xml:space="preserve"> REF _Ref33621116 \h </w:instrText>
      </w:r>
      <w:r>
        <w:rPr>
          <w:rFonts w:cs="Arial"/>
          <w:iCs/>
          <w:color w:val="auto"/>
        </w:rPr>
      </w:r>
      <w:r>
        <w:rPr>
          <w:rFonts w:cs="Arial"/>
          <w:iCs/>
          <w:color w:val="auto"/>
        </w:rPr>
        <w:fldChar w:fldCharType="separate"/>
      </w:r>
      <w:r>
        <w:t xml:space="preserve">Figure </w:t>
      </w:r>
      <w:r>
        <w:rPr>
          <w:noProof/>
        </w:rPr>
        <w:t>5</w:t>
      </w:r>
      <w:r>
        <w:t xml:space="preserve"> </w:t>
      </w:r>
      <w:r w:rsidRPr="00F738A5">
        <w:t>GINR Process Timeline</w:t>
      </w:r>
      <w:r>
        <w:rPr>
          <w:rFonts w:cs="Arial"/>
          <w:iCs/>
          <w:color w:val="auto"/>
        </w:rPr>
        <w:fldChar w:fldCharType="end"/>
      </w:r>
    </w:p>
    <w:p w14:paraId="18EACD2F" w14:textId="77777777" w:rsidR="0031655A" w:rsidRPr="00073E79" w:rsidRDefault="0031655A" w:rsidP="0031655A">
      <w:pPr>
        <w:ind w:left="360" w:hanging="360"/>
        <w:rPr>
          <w:rFonts w:ascii="Arial" w:hAnsi="Arial" w:cs="Arial"/>
          <w:sz w:val="22"/>
          <w:szCs w:val="22"/>
        </w:rPr>
      </w:pPr>
    </w:p>
    <w:p w14:paraId="02CE4424" w14:textId="77777777" w:rsidR="0031655A" w:rsidRDefault="00B815FD" w:rsidP="0031655A">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85CC4" w:rsidRPr="00073E79">
        <w:rPr>
          <w:rFonts w:ascii="Arial" w:hAnsi="Arial" w:cs="Arial"/>
          <w:i/>
          <w:sz w:val="22"/>
          <w:szCs w:val="22"/>
        </w:rPr>
        <w:t xml:space="preserve"> IN DISCUSSION AT BES</w:t>
      </w:r>
      <w:r w:rsidR="0031655A" w:rsidRPr="00073E79">
        <w:rPr>
          <w:rFonts w:ascii="Arial" w:hAnsi="Arial" w:cs="Arial"/>
          <w:i/>
          <w:sz w:val="22"/>
          <w:szCs w:val="22"/>
        </w:rPr>
        <w:t>TF</w:t>
      </w:r>
    </w:p>
    <w:p w14:paraId="3B82F862" w14:textId="77777777" w:rsidR="007B53B3" w:rsidRDefault="007B53B3" w:rsidP="007B53B3">
      <w:pPr>
        <w:pStyle w:val="ListParagraph"/>
        <w:spacing w:before="120" w:after="120"/>
        <w:ind w:left="0"/>
        <w:contextualSpacing w:val="0"/>
        <w:rPr>
          <w:rFonts w:cs="Arial"/>
          <w:iCs/>
          <w:color w:val="auto"/>
        </w:rPr>
      </w:pPr>
      <w:r>
        <w:rPr>
          <w:rFonts w:cs="Arial"/>
          <w:iCs/>
          <w:color w:val="auto"/>
        </w:rPr>
        <w:t>None.</w:t>
      </w:r>
    </w:p>
    <w:p w14:paraId="5D1E5C69" w14:textId="77777777" w:rsidR="007B53B3" w:rsidRDefault="007B53B3" w:rsidP="007B53B3">
      <w:pPr>
        <w:pStyle w:val="ListParagraph"/>
        <w:spacing w:before="120" w:after="120"/>
        <w:ind w:left="0"/>
        <w:contextualSpacing w:val="0"/>
        <w:rPr>
          <w:rFonts w:cs="Arial"/>
          <w:iCs/>
          <w:color w:val="auto"/>
        </w:rPr>
      </w:pPr>
    </w:p>
    <w:p w14:paraId="019695F5" w14:textId="77777777" w:rsidR="004A490A" w:rsidRPr="00073E79" w:rsidRDefault="004A490A" w:rsidP="00957573">
      <w:pPr>
        <w:pStyle w:val="Heading1"/>
        <w:ind w:left="360" w:hanging="360"/>
        <w:rPr>
          <w:rFonts w:ascii="Arial" w:hAnsi="Arial" w:cs="Arial"/>
          <w:i/>
          <w:sz w:val="22"/>
          <w:szCs w:val="22"/>
        </w:rPr>
      </w:pPr>
      <w:r w:rsidRPr="00073E79">
        <w:rPr>
          <w:rFonts w:ascii="Arial" w:hAnsi="Arial" w:cs="Arial"/>
          <w:i/>
          <w:sz w:val="22"/>
          <w:szCs w:val="22"/>
        </w:rPr>
        <w:t>Future Decision Points and</w:t>
      </w:r>
      <w:r w:rsidR="00685CC4" w:rsidRPr="00073E79">
        <w:rPr>
          <w:rFonts w:ascii="Arial" w:hAnsi="Arial" w:cs="Arial"/>
          <w:i/>
          <w:sz w:val="22"/>
          <w:szCs w:val="22"/>
        </w:rPr>
        <w:t xml:space="preserve"> Issues for Developing Key topic/</w:t>
      </w:r>
      <w:r w:rsidR="00573610" w:rsidRPr="00073E79">
        <w:rPr>
          <w:rFonts w:ascii="Arial" w:hAnsi="Arial" w:cs="Arial"/>
          <w:i/>
          <w:sz w:val="22"/>
          <w:szCs w:val="22"/>
        </w:rPr>
        <w:t>Concept recommendation Language</w:t>
      </w:r>
    </w:p>
    <w:p w14:paraId="090380B2" w14:textId="77777777" w:rsidR="00BE67D9" w:rsidRPr="007B53B3" w:rsidRDefault="00514E96" w:rsidP="007B53B3">
      <w:pPr>
        <w:pStyle w:val="ListParagraph"/>
        <w:spacing w:before="120" w:after="120"/>
        <w:ind w:left="0"/>
        <w:contextualSpacing w:val="0"/>
        <w:rPr>
          <w:rFonts w:cs="Arial"/>
          <w:iCs/>
          <w:color w:val="auto"/>
        </w:rPr>
      </w:pPr>
      <w:r w:rsidRPr="007B53B3">
        <w:rPr>
          <w:rFonts w:cs="Arial"/>
          <w:iCs/>
          <w:color w:val="auto"/>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14:paraId="02F87423" w14:textId="77777777" w:rsidTr="0050618E">
        <w:trPr>
          <w:cantSplit/>
          <w:trHeight w:val="432"/>
        </w:trPr>
        <w:tc>
          <w:tcPr>
            <w:tcW w:w="2880" w:type="dxa"/>
            <w:shd w:val="clear" w:color="auto" w:fill="FFFFFF"/>
            <w:vAlign w:val="center"/>
          </w:tcPr>
          <w:p w14:paraId="666CD1FA" w14:textId="77777777" w:rsidR="004A490A" w:rsidRPr="00B93CA0" w:rsidRDefault="004A490A" w:rsidP="0050618E">
            <w:pPr>
              <w:pStyle w:val="Header"/>
              <w:rPr>
                <w:bCs w:val="0"/>
              </w:rPr>
            </w:pPr>
            <w:r>
              <w:rPr>
                <w:bCs w:val="0"/>
              </w:rPr>
              <w:lastRenderedPageBreak/>
              <w:t>Applicable Protocol Section</w:t>
            </w:r>
            <w:r w:rsidR="00293403">
              <w:rPr>
                <w:bCs w:val="0"/>
              </w:rPr>
              <w:t>(s)</w:t>
            </w:r>
          </w:p>
        </w:tc>
        <w:tc>
          <w:tcPr>
            <w:tcW w:w="7560" w:type="dxa"/>
            <w:vAlign w:val="center"/>
          </w:tcPr>
          <w:p w14:paraId="77C05AB1" w14:textId="77777777" w:rsidR="004A490A" w:rsidRDefault="004A490A" w:rsidP="0050618E">
            <w:pPr>
              <w:pStyle w:val="NormalArial"/>
            </w:pPr>
          </w:p>
          <w:p w14:paraId="29642BFE" w14:textId="4B402D15" w:rsidR="00DC5A7E" w:rsidRDefault="00DC5A7E" w:rsidP="00383B4E">
            <w:pPr>
              <w:pStyle w:val="NormalArial"/>
            </w:pPr>
          </w:p>
          <w:p w14:paraId="7837050E" w14:textId="77777777" w:rsidR="00DC5A7E" w:rsidRPr="00DC5A7E" w:rsidRDefault="00DC5A7E" w:rsidP="00DC5A7E"/>
          <w:p w14:paraId="780E588A" w14:textId="5967A523" w:rsidR="004A490A" w:rsidRPr="00DC5A7E" w:rsidRDefault="004A490A" w:rsidP="00DC5A7E"/>
        </w:tc>
      </w:tr>
      <w:tr w:rsidR="004A490A" w14:paraId="5395EF65" w14:textId="77777777" w:rsidTr="00273AE9">
        <w:trPr>
          <w:cantSplit/>
          <w:trHeight w:val="782"/>
        </w:trPr>
        <w:tc>
          <w:tcPr>
            <w:tcW w:w="2880" w:type="dxa"/>
            <w:shd w:val="clear" w:color="auto" w:fill="FFFFFF"/>
            <w:vAlign w:val="center"/>
          </w:tcPr>
          <w:p w14:paraId="108C136C" w14:textId="77777777" w:rsidR="004A490A" w:rsidRPr="00B93CA0" w:rsidRDefault="004A490A" w:rsidP="0050618E">
            <w:pPr>
              <w:pStyle w:val="Header"/>
              <w:rPr>
                <w:bCs w:val="0"/>
              </w:rPr>
            </w:pPr>
            <w:r>
              <w:rPr>
                <w:bCs w:val="0"/>
              </w:rPr>
              <w:t>Impacted System</w:t>
            </w:r>
            <w:r w:rsidR="00293403">
              <w:rPr>
                <w:bCs w:val="0"/>
              </w:rPr>
              <w:t xml:space="preserve">(s) </w:t>
            </w:r>
            <w:r>
              <w:rPr>
                <w:bCs w:val="0"/>
              </w:rPr>
              <w:t>/</w:t>
            </w:r>
            <w:r w:rsidR="00293403">
              <w:rPr>
                <w:bCs w:val="0"/>
              </w:rPr>
              <w:t xml:space="preserve"> </w:t>
            </w:r>
            <w:r>
              <w:rPr>
                <w:bCs w:val="0"/>
              </w:rPr>
              <w:t>Application</w:t>
            </w:r>
            <w:r w:rsidR="00293403">
              <w:rPr>
                <w:bCs w:val="0"/>
              </w:rPr>
              <w:t>(s)</w:t>
            </w:r>
          </w:p>
        </w:tc>
        <w:tc>
          <w:tcPr>
            <w:tcW w:w="7560" w:type="dxa"/>
            <w:vAlign w:val="center"/>
          </w:tcPr>
          <w:p w14:paraId="68D1CC42" w14:textId="77777777" w:rsidR="004A490A" w:rsidRPr="00D1439B" w:rsidRDefault="004A490A" w:rsidP="00BC7ACB">
            <w:pPr>
              <w:pStyle w:val="NormalArial"/>
              <w:rPr>
                <w:color w:val="FF0000"/>
              </w:rPr>
            </w:pPr>
          </w:p>
        </w:tc>
      </w:tr>
    </w:tbl>
    <w:p w14:paraId="3A0DD35A" w14:textId="77777777" w:rsidR="004A490A" w:rsidRDefault="004A490A" w:rsidP="00BC2D06"/>
    <w:p w14:paraId="4EAFD566" w14:textId="77777777" w:rsidR="00B15817" w:rsidRDefault="00B15817" w:rsidP="00BC2D06"/>
    <w:p w14:paraId="4A9A9786" w14:textId="77777777" w:rsidR="00B15817" w:rsidRDefault="00B15817" w:rsidP="00D42690">
      <w:pPr>
        <w:pStyle w:val="Heading1"/>
      </w:pPr>
      <w:r>
        <w:t>Appendix</w:t>
      </w:r>
      <w:r w:rsidR="00D42690">
        <w:t xml:space="preserve"> A</w:t>
      </w:r>
    </w:p>
    <w:p w14:paraId="27B3D7FB" w14:textId="77777777" w:rsidR="009C5A71" w:rsidRDefault="009C5A71" w:rsidP="002F0A2E">
      <w:pPr>
        <w:pStyle w:val="BodyText"/>
      </w:pPr>
      <w:r>
        <w:t>In the following Figures 1 to 5, the base GINR process timeline is used to show the current GINR timeline.  The base timeline is then modified to show the information from Table 1 for the applicable swim lane column.  For example, in Table 1, column C, the Screening Study is marked as “No”.  To show this in Figure 1, the text for “SS Complete” is struck out (“</w:t>
      </w:r>
      <w:r w:rsidRPr="002F0A2E">
        <w:rPr>
          <w:strike/>
        </w:rPr>
        <w:t>SS Complete</w:t>
      </w:r>
      <w:r>
        <w:t>”).  Entries in Table 1 that are “Yes” would not be struck out in Figures 1 to 5.</w:t>
      </w:r>
    </w:p>
    <w:p w14:paraId="39718C07" w14:textId="77777777" w:rsidR="009C5A71" w:rsidRPr="009C5A71" w:rsidRDefault="009C5A71" w:rsidP="009C5A71">
      <w:pPr>
        <w:pStyle w:val="BodyText"/>
      </w:pPr>
      <w:r>
        <w:t>Footnotes and Yellow cell text modifiers in Table 1 are shown in Figures 1 to 5 as red text.  For example, footnote 9 in Table 1 is shown in Figure 1 with red text “Interim update may be acceptable” for RARF Submission.</w:t>
      </w:r>
    </w:p>
    <w:p w14:paraId="5415CC32" w14:textId="0CA5E5CA" w:rsidR="00D42690" w:rsidRDefault="00D42690" w:rsidP="00D42690">
      <w:pPr>
        <w:pStyle w:val="Heading2"/>
        <w:rPr>
          <w:b w:val="0"/>
        </w:rPr>
      </w:pPr>
      <w:r>
        <w:t xml:space="preserve">KTC 13.6 </w:t>
      </w:r>
      <w:r w:rsidRPr="00556402">
        <w:t>GINR Process</w:t>
      </w:r>
      <w:r w:rsidRPr="0087007A">
        <w:t xml:space="preserve">- Adding </w:t>
      </w:r>
      <w:r w:rsidR="00E440BA">
        <w:t>an ESS</w:t>
      </w:r>
      <w:r w:rsidRPr="0087007A">
        <w:t xml:space="preserve"> to existing PV/WGR site</w:t>
      </w:r>
      <w:r>
        <w:t xml:space="preserve"> </w:t>
      </w:r>
      <w:r w:rsidRPr="0087007A">
        <w:t>and sharing the existing inverter (DC-Coupled)</w:t>
      </w:r>
      <w:r w:rsidRPr="00C20F41">
        <w:t xml:space="preserve"> </w:t>
      </w:r>
      <w:r>
        <w:t>(Column C)</w:t>
      </w:r>
      <w:r w:rsidRPr="0087007A">
        <w:t xml:space="preserve"> - </w:t>
      </w:r>
      <w:r w:rsidRPr="00556402">
        <w:t>No Grid Charging</w:t>
      </w:r>
    </w:p>
    <w:p w14:paraId="63478A54" w14:textId="77777777" w:rsidR="00D42690" w:rsidRDefault="00D42690" w:rsidP="00D42690">
      <w:pPr>
        <w:keepNext/>
      </w:pPr>
      <w:r w:rsidRPr="00DB5A49">
        <w:rPr>
          <w:noProof/>
        </w:rPr>
        <w:drawing>
          <wp:inline distT="0" distB="0" distL="0" distR="0" wp14:anchorId="5902FDC7" wp14:editId="62CEAB3C">
            <wp:extent cx="5943600" cy="380921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809213"/>
                    </a:xfrm>
                    <a:prstGeom prst="rect">
                      <a:avLst/>
                    </a:prstGeom>
                    <a:noFill/>
                    <a:ln>
                      <a:noFill/>
                    </a:ln>
                  </pic:spPr>
                </pic:pic>
              </a:graphicData>
            </a:graphic>
          </wp:inline>
        </w:drawing>
      </w:r>
    </w:p>
    <w:p w14:paraId="4A92B57F" w14:textId="77777777" w:rsidR="00D42690" w:rsidRDefault="00D42690" w:rsidP="00D42690">
      <w:pPr>
        <w:pStyle w:val="Caption"/>
        <w:jc w:val="center"/>
      </w:pPr>
      <w:bookmarkStart w:id="1" w:name="_Ref33620451"/>
      <w:r>
        <w:t xml:space="preserve">Figure </w:t>
      </w:r>
      <w:r w:rsidR="00E773E5">
        <w:rPr>
          <w:noProof/>
        </w:rPr>
        <w:fldChar w:fldCharType="begin"/>
      </w:r>
      <w:r w:rsidR="00E773E5">
        <w:rPr>
          <w:noProof/>
        </w:rPr>
        <w:instrText xml:space="preserve"> SEQ Figure \* ARABIC </w:instrText>
      </w:r>
      <w:r w:rsidR="00E773E5">
        <w:rPr>
          <w:noProof/>
        </w:rPr>
        <w:fldChar w:fldCharType="separate"/>
      </w:r>
      <w:r w:rsidR="00BD43BA">
        <w:rPr>
          <w:noProof/>
        </w:rPr>
        <w:t>1</w:t>
      </w:r>
      <w:r w:rsidR="00E773E5">
        <w:rPr>
          <w:noProof/>
        </w:rPr>
        <w:fldChar w:fldCharType="end"/>
      </w:r>
      <w:r>
        <w:t xml:space="preserve"> GINR Process Timeline</w:t>
      </w:r>
      <w:bookmarkEnd w:id="1"/>
    </w:p>
    <w:p w14:paraId="7949A213" w14:textId="77777777" w:rsidR="00D42690" w:rsidRPr="00A02293" w:rsidRDefault="00D42690" w:rsidP="00D42690"/>
    <w:p w14:paraId="18DBA40C" w14:textId="77777777" w:rsidR="00D42690" w:rsidRDefault="00D42690" w:rsidP="00D42690">
      <w:pPr>
        <w:rPr>
          <w:rFonts w:asciiTheme="majorHAnsi" w:eastAsiaTheme="majorEastAsia" w:hAnsiTheme="majorHAnsi" w:cstheme="majorBidi"/>
          <w:color w:val="2E74B5" w:themeColor="accent1" w:themeShade="BF"/>
          <w:sz w:val="26"/>
          <w:szCs w:val="26"/>
        </w:rPr>
      </w:pPr>
      <w:r>
        <w:br w:type="page"/>
      </w:r>
    </w:p>
    <w:p w14:paraId="3D311EA0" w14:textId="536D28F5" w:rsidR="00D42690" w:rsidRDefault="00D42690" w:rsidP="00D42690">
      <w:pPr>
        <w:pStyle w:val="Heading2"/>
        <w:rPr>
          <w:b w:val="0"/>
        </w:rPr>
      </w:pPr>
      <w:r>
        <w:lastRenderedPageBreak/>
        <w:t xml:space="preserve">KTC 13.7 </w:t>
      </w:r>
      <w:r w:rsidRPr="00556402">
        <w:t>GINR Process</w:t>
      </w:r>
      <w:r w:rsidRPr="0087007A">
        <w:t xml:space="preserve">- Adding </w:t>
      </w:r>
      <w:r w:rsidR="00E440BA">
        <w:t>an ESS</w:t>
      </w:r>
      <w:r w:rsidRPr="0087007A">
        <w:t xml:space="preserve"> to existing PV/WGR site and sharing the existing inverter (DC-Coupled</w:t>
      </w:r>
      <w:r w:rsidR="007E60BB" w:rsidRPr="0087007A">
        <w:t>)</w:t>
      </w:r>
      <w:r w:rsidR="007E60BB">
        <w:t xml:space="preserve"> (</w:t>
      </w:r>
      <w:r>
        <w:t>Column B)</w:t>
      </w:r>
      <w:r w:rsidRPr="0087007A">
        <w:t xml:space="preserve"> - </w:t>
      </w:r>
      <w:r w:rsidRPr="00556402">
        <w:t>With Grid Charging</w:t>
      </w:r>
    </w:p>
    <w:p w14:paraId="2070B7CB" w14:textId="77777777" w:rsidR="00D42690" w:rsidRDefault="00D86D4B" w:rsidP="00D42690">
      <w:pPr>
        <w:keepNext/>
      </w:pPr>
      <w:r>
        <w:rPr>
          <w:noProof/>
        </w:rPr>
        <w:object w:dxaOrig="15346" w:dyaOrig="9975" w14:anchorId="794888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7.25pt;height:303.75pt;mso-width-percent:0;mso-height-percent:0;mso-width-percent:0;mso-height-percent:0" o:ole="">
            <v:imagedata r:id="rId13" o:title=""/>
          </v:shape>
          <o:OLEObject Type="Embed" ProgID="Visio.Drawing.15" ShapeID="_x0000_i1025" DrawAspect="Content" ObjectID="_1647750347" r:id="rId14"/>
        </w:object>
      </w:r>
    </w:p>
    <w:p w14:paraId="1F47AE28" w14:textId="77777777" w:rsidR="00D42690" w:rsidRDefault="00D42690" w:rsidP="00D42690">
      <w:pPr>
        <w:pStyle w:val="Caption"/>
        <w:jc w:val="center"/>
      </w:pPr>
      <w:bookmarkStart w:id="2" w:name="_Ref33620731"/>
      <w:r>
        <w:t xml:space="preserve">Figure </w:t>
      </w:r>
      <w:r w:rsidR="00E773E5">
        <w:rPr>
          <w:noProof/>
        </w:rPr>
        <w:fldChar w:fldCharType="begin"/>
      </w:r>
      <w:r w:rsidR="00E773E5">
        <w:rPr>
          <w:noProof/>
        </w:rPr>
        <w:instrText xml:space="preserve"> SEQ Figure \* ARABIC </w:instrText>
      </w:r>
      <w:r w:rsidR="00E773E5">
        <w:rPr>
          <w:noProof/>
        </w:rPr>
        <w:fldChar w:fldCharType="separate"/>
      </w:r>
      <w:r w:rsidR="00BD43BA">
        <w:rPr>
          <w:noProof/>
        </w:rPr>
        <w:t>2</w:t>
      </w:r>
      <w:r w:rsidR="00E773E5">
        <w:rPr>
          <w:noProof/>
        </w:rPr>
        <w:fldChar w:fldCharType="end"/>
      </w:r>
      <w:r>
        <w:t xml:space="preserve"> </w:t>
      </w:r>
      <w:r w:rsidRPr="00CF5BA7">
        <w:t>GINR Process Timeline</w:t>
      </w:r>
      <w:bookmarkEnd w:id="2"/>
    </w:p>
    <w:p w14:paraId="1BF0EBFB" w14:textId="77777777" w:rsidR="00D42690" w:rsidRPr="00A02293" w:rsidRDefault="00D42690" w:rsidP="00D42690"/>
    <w:p w14:paraId="0499BF8C" w14:textId="77777777" w:rsidR="00D42690" w:rsidRDefault="00D42690" w:rsidP="00D42690">
      <w:pPr>
        <w:rPr>
          <w:rFonts w:asciiTheme="majorHAnsi" w:eastAsiaTheme="majorEastAsia" w:hAnsiTheme="majorHAnsi" w:cstheme="majorBidi"/>
          <w:color w:val="2E74B5" w:themeColor="accent1" w:themeShade="BF"/>
          <w:sz w:val="26"/>
          <w:szCs w:val="26"/>
        </w:rPr>
      </w:pPr>
      <w:r>
        <w:br w:type="page"/>
      </w:r>
    </w:p>
    <w:p w14:paraId="19561CA7" w14:textId="1DC93026" w:rsidR="00D42690" w:rsidRDefault="00D42690" w:rsidP="00D42690">
      <w:pPr>
        <w:pStyle w:val="Heading2"/>
      </w:pPr>
      <w:r>
        <w:lastRenderedPageBreak/>
        <w:t xml:space="preserve">KTC 13.8 </w:t>
      </w:r>
      <w:r w:rsidRPr="00556402">
        <w:t>GINR Process</w:t>
      </w:r>
      <w:r w:rsidRPr="0087007A">
        <w:t xml:space="preserve">- Adding </w:t>
      </w:r>
      <w:r w:rsidR="00E440BA">
        <w:t>an ESS</w:t>
      </w:r>
      <w:r w:rsidRPr="0087007A">
        <w:t xml:space="preserve"> to existing </w:t>
      </w:r>
      <w:r>
        <w:t>thermal</w:t>
      </w:r>
      <w:r w:rsidRPr="0087007A">
        <w:t xml:space="preserve"> site (AC Coupled)</w:t>
      </w:r>
      <w:r>
        <w:t xml:space="preserve"> (Column A)</w:t>
      </w:r>
    </w:p>
    <w:p w14:paraId="1795EE63" w14:textId="4A48DFEC" w:rsidR="00D42690" w:rsidRDefault="00D42690" w:rsidP="00D42690">
      <w:pPr>
        <w:pStyle w:val="Heading2"/>
      </w:pPr>
      <w:r>
        <w:t xml:space="preserve">KTC 13.9 </w:t>
      </w:r>
      <w:r w:rsidRPr="00556402">
        <w:t>GINR Process</w:t>
      </w:r>
      <w:r w:rsidRPr="0087007A">
        <w:t xml:space="preserve">- Adding </w:t>
      </w:r>
      <w:r w:rsidR="00E440BA">
        <w:t>an ESS</w:t>
      </w:r>
      <w:r w:rsidRPr="0087007A">
        <w:t xml:space="preserve"> to existing PV/WGR site (AC Coupled</w:t>
      </w:r>
      <w:r w:rsidR="007E60BB" w:rsidRPr="0087007A">
        <w:t>)</w:t>
      </w:r>
      <w:r w:rsidR="007E60BB">
        <w:t xml:space="preserve"> (</w:t>
      </w:r>
      <w:r>
        <w:t>Column A)</w:t>
      </w:r>
    </w:p>
    <w:p w14:paraId="6DE71CE3" w14:textId="77777777" w:rsidR="00D42690" w:rsidRDefault="00D86D4B" w:rsidP="00D42690">
      <w:pPr>
        <w:keepNext/>
      </w:pPr>
      <w:r>
        <w:rPr>
          <w:noProof/>
        </w:rPr>
        <w:object w:dxaOrig="15346" w:dyaOrig="9916" w14:anchorId="4DDADFFE">
          <v:shape id="_x0000_i1026" type="#_x0000_t75" alt="" style="width:467.25pt;height:302.25pt;mso-width-percent:0;mso-height-percent:0;mso-width-percent:0;mso-height-percent:0" o:ole="">
            <v:imagedata r:id="rId15" o:title=""/>
          </v:shape>
          <o:OLEObject Type="Embed" ProgID="Visio.Drawing.15" ShapeID="_x0000_i1026" DrawAspect="Content" ObjectID="_1647750348" r:id="rId16"/>
        </w:object>
      </w:r>
    </w:p>
    <w:p w14:paraId="564C10E6" w14:textId="77777777" w:rsidR="00D42690" w:rsidRDefault="00D42690" w:rsidP="00D42690">
      <w:pPr>
        <w:pStyle w:val="Caption"/>
        <w:jc w:val="center"/>
      </w:pPr>
      <w:bookmarkStart w:id="3" w:name="_Ref33620810"/>
      <w:r>
        <w:t xml:space="preserve">Figure </w:t>
      </w:r>
      <w:r w:rsidR="00E773E5">
        <w:rPr>
          <w:noProof/>
        </w:rPr>
        <w:fldChar w:fldCharType="begin"/>
      </w:r>
      <w:r w:rsidR="00E773E5">
        <w:rPr>
          <w:noProof/>
        </w:rPr>
        <w:instrText xml:space="preserve"> SEQ Figure \* ARABIC </w:instrText>
      </w:r>
      <w:r w:rsidR="00E773E5">
        <w:rPr>
          <w:noProof/>
        </w:rPr>
        <w:fldChar w:fldCharType="separate"/>
      </w:r>
      <w:r w:rsidR="00BD43BA">
        <w:rPr>
          <w:noProof/>
        </w:rPr>
        <w:t>3</w:t>
      </w:r>
      <w:r w:rsidR="00E773E5">
        <w:rPr>
          <w:noProof/>
        </w:rPr>
        <w:fldChar w:fldCharType="end"/>
      </w:r>
      <w:r>
        <w:t xml:space="preserve"> </w:t>
      </w:r>
      <w:r w:rsidRPr="00753F4D">
        <w:t>GINR Process Timeline</w:t>
      </w:r>
      <w:bookmarkEnd w:id="3"/>
    </w:p>
    <w:p w14:paraId="3F3118B4" w14:textId="77777777" w:rsidR="00D42690" w:rsidRPr="00A02293" w:rsidRDefault="00D42690" w:rsidP="00D42690"/>
    <w:p w14:paraId="598D805D" w14:textId="77777777" w:rsidR="00D42690" w:rsidRDefault="00D42690" w:rsidP="00D42690">
      <w:pPr>
        <w:rPr>
          <w:rFonts w:asciiTheme="majorHAnsi" w:eastAsiaTheme="majorEastAsia" w:hAnsiTheme="majorHAnsi" w:cstheme="majorBidi"/>
          <w:color w:val="2E74B5" w:themeColor="accent1" w:themeShade="BF"/>
          <w:sz w:val="26"/>
          <w:szCs w:val="26"/>
        </w:rPr>
      </w:pPr>
      <w:r>
        <w:br w:type="page"/>
      </w:r>
    </w:p>
    <w:p w14:paraId="24825ADC" w14:textId="77777777" w:rsidR="00D42690" w:rsidRDefault="00D42690" w:rsidP="00D42690">
      <w:pPr>
        <w:pStyle w:val="Heading2"/>
      </w:pPr>
      <w:r>
        <w:lastRenderedPageBreak/>
        <w:t xml:space="preserve">KTC 13.10 </w:t>
      </w:r>
      <w:r w:rsidRPr="00556402">
        <w:t>GINR Process</w:t>
      </w:r>
      <w:r w:rsidRPr="0087007A">
        <w:t xml:space="preserve"> - New </w:t>
      </w:r>
      <w:r w:rsidRPr="00556402">
        <w:t xml:space="preserve">DC Coupled </w:t>
      </w:r>
      <w:r w:rsidRPr="0087007A">
        <w:t>Reso</w:t>
      </w:r>
      <w:r>
        <w:t>u</w:t>
      </w:r>
      <w:r w:rsidRPr="0087007A">
        <w:t>rce</w:t>
      </w:r>
      <w:r>
        <w:t xml:space="preserve"> (Column G)</w:t>
      </w:r>
    </w:p>
    <w:p w14:paraId="37E4730D" w14:textId="77777777" w:rsidR="00D42690" w:rsidRDefault="00D42690" w:rsidP="00D42690">
      <w:pPr>
        <w:keepNext/>
      </w:pPr>
      <w:r w:rsidRPr="00A85454">
        <w:rPr>
          <w:noProof/>
        </w:rPr>
        <w:drawing>
          <wp:inline distT="0" distB="0" distL="0" distR="0" wp14:anchorId="78AF2114" wp14:editId="7194EB62">
            <wp:extent cx="5943600" cy="37385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738531"/>
                    </a:xfrm>
                    <a:prstGeom prst="rect">
                      <a:avLst/>
                    </a:prstGeom>
                    <a:noFill/>
                    <a:ln>
                      <a:noFill/>
                    </a:ln>
                  </pic:spPr>
                </pic:pic>
              </a:graphicData>
            </a:graphic>
          </wp:inline>
        </w:drawing>
      </w:r>
    </w:p>
    <w:p w14:paraId="521E9E5A" w14:textId="77777777" w:rsidR="00D42690" w:rsidRDefault="00D42690" w:rsidP="00D42690">
      <w:pPr>
        <w:pStyle w:val="Caption"/>
        <w:jc w:val="center"/>
      </w:pPr>
      <w:bookmarkStart w:id="4" w:name="_Ref33621071"/>
      <w:r>
        <w:t xml:space="preserve">Figure </w:t>
      </w:r>
      <w:r w:rsidR="00E773E5">
        <w:rPr>
          <w:noProof/>
        </w:rPr>
        <w:fldChar w:fldCharType="begin"/>
      </w:r>
      <w:r w:rsidR="00E773E5">
        <w:rPr>
          <w:noProof/>
        </w:rPr>
        <w:instrText xml:space="preserve"> SEQ Figure \* ARABIC </w:instrText>
      </w:r>
      <w:r w:rsidR="00E773E5">
        <w:rPr>
          <w:noProof/>
        </w:rPr>
        <w:fldChar w:fldCharType="separate"/>
      </w:r>
      <w:r w:rsidR="00BD43BA">
        <w:rPr>
          <w:noProof/>
        </w:rPr>
        <w:t>4</w:t>
      </w:r>
      <w:r w:rsidR="00E773E5">
        <w:rPr>
          <w:noProof/>
        </w:rPr>
        <w:fldChar w:fldCharType="end"/>
      </w:r>
      <w:r>
        <w:t xml:space="preserve"> </w:t>
      </w:r>
      <w:r w:rsidRPr="008F5924">
        <w:t>GINR Process Timeline</w:t>
      </w:r>
      <w:bookmarkEnd w:id="4"/>
    </w:p>
    <w:p w14:paraId="7BADBA5C" w14:textId="77777777" w:rsidR="00D42690" w:rsidRPr="00A02293" w:rsidRDefault="00D42690" w:rsidP="00D42690"/>
    <w:p w14:paraId="52D34931" w14:textId="77777777" w:rsidR="00D42690" w:rsidRDefault="00D42690" w:rsidP="00D42690">
      <w:pPr>
        <w:rPr>
          <w:rFonts w:asciiTheme="majorHAnsi" w:eastAsiaTheme="majorEastAsia" w:hAnsiTheme="majorHAnsi" w:cstheme="majorBidi"/>
          <w:color w:val="2E74B5" w:themeColor="accent1" w:themeShade="BF"/>
          <w:sz w:val="26"/>
          <w:szCs w:val="26"/>
        </w:rPr>
      </w:pPr>
      <w:r>
        <w:br w:type="page"/>
      </w:r>
    </w:p>
    <w:p w14:paraId="0EABBAB0" w14:textId="77777777" w:rsidR="00D42690" w:rsidRDefault="00D42690" w:rsidP="00D42690">
      <w:pPr>
        <w:pStyle w:val="Heading2"/>
      </w:pPr>
      <w:r>
        <w:lastRenderedPageBreak/>
        <w:t xml:space="preserve">KTC 13.11 </w:t>
      </w:r>
      <w:r w:rsidRPr="00556402">
        <w:t>GINR Process</w:t>
      </w:r>
      <w:r w:rsidRPr="0087007A">
        <w:t xml:space="preserve"> - New </w:t>
      </w:r>
      <w:r w:rsidRPr="00556402">
        <w:t>AC Coupled</w:t>
      </w:r>
      <w:r w:rsidRPr="0087007A">
        <w:t xml:space="preserve"> Resource</w:t>
      </w:r>
      <w:r>
        <w:t xml:space="preserve"> (Column H)</w:t>
      </w:r>
    </w:p>
    <w:p w14:paraId="6D25BC44" w14:textId="77777777" w:rsidR="00D42690" w:rsidRDefault="00D42690" w:rsidP="00D42690">
      <w:pPr>
        <w:pStyle w:val="Heading2"/>
      </w:pPr>
      <w:r w:rsidRPr="00A85454">
        <w:rPr>
          <w:noProof/>
        </w:rPr>
        <w:drawing>
          <wp:inline distT="0" distB="0" distL="0" distR="0" wp14:anchorId="7916F6D3" wp14:editId="0107EFF9">
            <wp:extent cx="5943600" cy="38785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878529"/>
                    </a:xfrm>
                    <a:prstGeom prst="rect">
                      <a:avLst/>
                    </a:prstGeom>
                    <a:noFill/>
                    <a:ln>
                      <a:noFill/>
                    </a:ln>
                  </pic:spPr>
                </pic:pic>
              </a:graphicData>
            </a:graphic>
          </wp:inline>
        </w:drawing>
      </w:r>
    </w:p>
    <w:p w14:paraId="5BB45DBC" w14:textId="77777777" w:rsidR="00D42690" w:rsidRPr="0087007A" w:rsidRDefault="00D42690" w:rsidP="00D42690">
      <w:pPr>
        <w:pStyle w:val="Caption"/>
        <w:jc w:val="center"/>
      </w:pPr>
      <w:bookmarkStart w:id="5" w:name="_Ref33621116"/>
      <w:r>
        <w:t xml:space="preserve">Figure </w:t>
      </w:r>
      <w:r w:rsidR="00E773E5">
        <w:rPr>
          <w:noProof/>
        </w:rPr>
        <w:fldChar w:fldCharType="begin"/>
      </w:r>
      <w:r w:rsidR="00E773E5">
        <w:rPr>
          <w:noProof/>
        </w:rPr>
        <w:instrText xml:space="preserve"> SEQ Figure \* ARABIC </w:instrText>
      </w:r>
      <w:r w:rsidR="00E773E5">
        <w:rPr>
          <w:noProof/>
        </w:rPr>
        <w:fldChar w:fldCharType="separate"/>
      </w:r>
      <w:r w:rsidR="00BD43BA">
        <w:rPr>
          <w:noProof/>
        </w:rPr>
        <w:t>5</w:t>
      </w:r>
      <w:r w:rsidR="00E773E5">
        <w:rPr>
          <w:noProof/>
        </w:rPr>
        <w:fldChar w:fldCharType="end"/>
      </w:r>
      <w:r>
        <w:t xml:space="preserve"> </w:t>
      </w:r>
      <w:r w:rsidRPr="00F738A5">
        <w:t>GINR Process Timeline</w:t>
      </w:r>
      <w:bookmarkEnd w:id="5"/>
    </w:p>
    <w:p w14:paraId="317CD7D4" w14:textId="77777777" w:rsidR="00D42690" w:rsidRPr="0087007A" w:rsidRDefault="00D42690" w:rsidP="00D42690"/>
    <w:p w14:paraId="1D70B463" w14:textId="77777777" w:rsidR="00D42690" w:rsidRPr="0087007A" w:rsidRDefault="00D42690" w:rsidP="00D42690"/>
    <w:p w14:paraId="07C501AD" w14:textId="77777777" w:rsidR="00D42690" w:rsidRDefault="00D42690" w:rsidP="00D42690">
      <w:pPr>
        <w:pStyle w:val="BodyText"/>
      </w:pPr>
    </w:p>
    <w:p w14:paraId="2BDDF6CE" w14:textId="77777777" w:rsidR="00457D66" w:rsidRDefault="00457D66" w:rsidP="00D42690">
      <w:pPr>
        <w:pStyle w:val="BodyText"/>
      </w:pPr>
    </w:p>
    <w:p w14:paraId="7D521612" w14:textId="77777777" w:rsidR="00457D66" w:rsidRDefault="00457D66" w:rsidP="00D42690">
      <w:pPr>
        <w:pStyle w:val="BodyText"/>
      </w:pPr>
    </w:p>
    <w:p w14:paraId="5125BD8E" w14:textId="77777777" w:rsidR="00457D66" w:rsidRDefault="00457D66" w:rsidP="00D42690">
      <w:pPr>
        <w:pStyle w:val="BodyText"/>
      </w:pPr>
    </w:p>
    <w:p w14:paraId="2FE5C4BB" w14:textId="77777777" w:rsidR="00457D66" w:rsidRDefault="00457D66" w:rsidP="00D42690">
      <w:pPr>
        <w:pStyle w:val="BodyText"/>
      </w:pPr>
    </w:p>
    <w:p w14:paraId="1CB9131A" w14:textId="77777777" w:rsidR="00457D66" w:rsidRDefault="00457D66" w:rsidP="00D42690">
      <w:pPr>
        <w:pStyle w:val="BodyText"/>
      </w:pPr>
    </w:p>
    <w:p w14:paraId="031E85C5" w14:textId="77777777" w:rsidR="00457D66" w:rsidRDefault="00457D66" w:rsidP="00D42690">
      <w:pPr>
        <w:pStyle w:val="BodyText"/>
      </w:pPr>
    </w:p>
    <w:p w14:paraId="44FE8852" w14:textId="77777777" w:rsidR="00457D66" w:rsidRDefault="00457D66" w:rsidP="00D42690">
      <w:pPr>
        <w:pStyle w:val="BodyText"/>
      </w:pPr>
    </w:p>
    <w:p w14:paraId="73C07CA4" w14:textId="77777777" w:rsidR="00457D66" w:rsidRDefault="00457D66" w:rsidP="00D42690">
      <w:pPr>
        <w:pStyle w:val="BodyText"/>
      </w:pPr>
    </w:p>
    <w:p w14:paraId="3A7AA207" w14:textId="77777777" w:rsidR="00457D66" w:rsidRDefault="00457D66" w:rsidP="00457D66">
      <w:pPr>
        <w:pStyle w:val="Heading1"/>
      </w:pPr>
      <w:r>
        <w:lastRenderedPageBreak/>
        <w:t>Appendix B</w:t>
      </w:r>
    </w:p>
    <w:p w14:paraId="0DA6C987" w14:textId="77777777" w:rsidR="00E06390" w:rsidRDefault="00E06390" w:rsidP="00E06390">
      <w:pPr>
        <w:pStyle w:val="Caption"/>
        <w:keepNext/>
        <w:jc w:val="center"/>
      </w:pPr>
      <w:bookmarkStart w:id="6" w:name="_Ref33621289"/>
      <w:r>
        <w:t xml:space="preserve">Table </w:t>
      </w:r>
      <w:r w:rsidR="00E773E5">
        <w:rPr>
          <w:noProof/>
        </w:rPr>
        <w:fldChar w:fldCharType="begin"/>
      </w:r>
      <w:r w:rsidR="00E773E5">
        <w:rPr>
          <w:noProof/>
        </w:rPr>
        <w:instrText xml:space="preserve"> SEQ Table \* ARABIC </w:instrText>
      </w:r>
      <w:r w:rsidR="00E773E5">
        <w:rPr>
          <w:noProof/>
        </w:rPr>
        <w:fldChar w:fldCharType="separate"/>
      </w:r>
      <w:r>
        <w:rPr>
          <w:noProof/>
        </w:rPr>
        <w:t>1</w:t>
      </w:r>
      <w:r w:rsidR="00E773E5">
        <w:rPr>
          <w:noProof/>
        </w:rPr>
        <w:fldChar w:fldCharType="end"/>
      </w:r>
      <w:r w:rsidRPr="00E06390">
        <w:t xml:space="preserve"> </w:t>
      </w:r>
      <w:r w:rsidRPr="009C6AFC">
        <w:t>Generation Interconnection Process for Swim Lanes</w:t>
      </w:r>
      <w:bookmarkEnd w:id="6"/>
    </w:p>
    <w:tbl>
      <w:tblPr>
        <w:tblpPr w:leftFromText="180" w:rightFromText="180" w:vertAnchor="text" w:tblpY="1"/>
        <w:tblOverlap w:val="never"/>
        <w:tblW w:w="473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620" w:firstRow="1" w:lastRow="0" w:firstColumn="0" w:lastColumn="0" w:noHBand="1" w:noVBand="1"/>
      </w:tblPr>
      <w:tblGrid>
        <w:gridCol w:w="280"/>
        <w:gridCol w:w="990"/>
        <w:gridCol w:w="725"/>
        <w:gridCol w:w="724"/>
        <w:gridCol w:w="726"/>
        <w:gridCol w:w="726"/>
        <w:gridCol w:w="724"/>
        <w:gridCol w:w="724"/>
        <w:gridCol w:w="724"/>
        <w:gridCol w:w="726"/>
        <w:gridCol w:w="1765"/>
      </w:tblGrid>
      <w:tr w:rsidR="00457D66" w:rsidRPr="000A2851" w14:paraId="303904A9" w14:textId="77777777" w:rsidTr="00E06390">
        <w:trPr>
          <w:cantSplit/>
          <w:trHeight w:val="420"/>
          <w:tblHeader/>
        </w:trPr>
        <w:tc>
          <w:tcPr>
            <w:tcW w:w="158" w:type="pct"/>
            <w:shd w:val="clear" w:color="auto" w:fill="auto"/>
            <w:textDirection w:val="btLr"/>
            <w:vAlign w:val="center"/>
          </w:tcPr>
          <w:p w14:paraId="528DF17F" w14:textId="77777777" w:rsidR="00457D66" w:rsidRPr="00EE7ACF" w:rsidRDefault="00457D66" w:rsidP="00823417">
            <w:pPr>
              <w:ind w:left="113" w:right="113"/>
              <w:jc w:val="center"/>
              <w:rPr>
                <w:rFonts w:ascii="Calibri" w:hAnsi="Calibri"/>
                <w:b/>
                <w:bCs/>
                <w:color w:val="000000"/>
                <w:sz w:val="16"/>
                <w:szCs w:val="20"/>
              </w:rPr>
            </w:pPr>
          </w:p>
        </w:tc>
        <w:tc>
          <w:tcPr>
            <w:tcW w:w="560" w:type="pct"/>
            <w:shd w:val="clear" w:color="auto" w:fill="auto"/>
            <w:vAlign w:val="center"/>
          </w:tcPr>
          <w:p w14:paraId="2A766A7B" w14:textId="77777777" w:rsidR="00457D66" w:rsidRPr="00EE7ACF" w:rsidRDefault="00457D66" w:rsidP="00823417">
            <w:pPr>
              <w:jc w:val="center"/>
              <w:rPr>
                <w:rFonts w:ascii="Calibri" w:hAnsi="Calibri"/>
                <w:b/>
                <w:bCs/>
                <w:color w:val="000000"/>
                <w:sz w:val="16"/>
                <w:szCs w:val="20"/>
              </w:rPr>
            </w:pPr>
          </w:p>
        </w:tc>
        <w:tc>
          <w:tcPr>
            <w:tcW w:w="1231" w:type="pct"/>
            <w:gridSpan w:val="3"/>
            <w:shd w:val="clear" w:color="auto" w:fill="auto"/>
            <w:noWrap/>
            <w:vAlign w:val="center"/>
          </w:tcPr>
          <w:p w14:paraId="1BDFC641" w14:textId="77777777" w:rsidR="00457D66" w:rsidRDefault="00457D66" w:rsidP="00823417">
            <w:pPr>
              <w:jc w:val="center"/>
              <w:rPr>
                <w:rFonts w:ascii="Calibri" w:hAnsi="Calibri"/>
                <w:b/>
                <w:bCs/>
                <w:color w:val="000000"/>
                <w:sz w:val="16"/>
                <w:szCs w:val="20"/>
              </w:rPr>
            </w:pPr>
            <w:r>
              <w:rPr>
                <w:rFonts w:ascii="Calibri" w:hAnsi="Calibri"/>
                <w:b/>
                <w:bCs/>
                <w:color w:val="000000"/>
                <w:sz w:val="16"/>
                <w:szCs w:val="20"/>
              </w:rPr>
              <w:t>Add ESS to Existing Resource with Self-Limit</w:t>
            </w:r>
          </w:p>
        </w:tc>
        <w:tc>
          <w:tcPr>
            <w:tcW w:w="2051" w:type="pct"/>
            <w:gridSpan w:val="5"/>
            <w:shd w:val="clear" w:color="auto" w:fill="auto"/>
            <w:vAlign w:val="center"/>
          </w:tcPr>
          <w:p w14:paraId="72C56FB8" w14:textId="77777777" w:rsidR="00457D66" w:rsidRDefault="00457D66" w:rsidP="00823417">
            <w:pPr>
              <w:jc w:val="center"/>
              <w:rPr>
                <w:rFonts w:ascii="Calibri" w:hAnsi="Calibri"/>
                <w:b/>
                <w:bCs/>
                <w:color w:val="000000"/>
                <w:sz w:val="16"/>
                <w:szCs w:val="20"/>
              </w:rPr>
            </w:pPr>
            <w:r>
              <w:rPr>
                <w:rFonts w:ascii="Calibri" w:hAnsi="Calibri"/>
                <w:b/>
                <w:bCs/>
                <w:color w:val="000000"/>
                <w:sz w:val="16"/>
                <w:szCs w:val="20"/>
              </w:rPr>
              <w:t>New Large Generator</w:t>
            </w:r>
          </w:p>
        </w:tc>
        <w:tc>
          <w:tcPr>
            <w:tcW w:w="999" w:type="pct"/>
            <w:vAlign w:val="center"/>
          </w:tcPr>
          <w:p w14:paraId="1B5BEA52" w14:textId="77777777" w:rsidR="00457D66" w:rsidRPr="00B93B8C" w:rsidRDefault="00457D66" w:rsidP="00823417">
            <w:pPr>
              <w:jc w:val="center"/>
              <w:rPr>
                <w:rFonts w:ascii="Calibri" w:hAnsi="Calibri"/>
                <w:b/>
                <w:bCs/>
                <w:color w:val="000000"/>
                <w:sz w:val="16"/>
                <w:szCs w:val="20"/>
              </w:rPr>
            </w:pPr>
            <w:r>
              <w:rPr>
                <w:rFonts w:ascii="Calibri" w:hAnsi="Calibri"/>
                <w:b/>
                <w:bCs/>
                <w:color w:val="000000"/>
                <w:sz w:val="16"/>
                <w:szCs w:val="20"/>
              </w:rPr>
              <w:t>New Small Generator</w:t>
            </w:r>
          </w:p>
        </w:tc>
      </w:tr>
      <w:tr w:rsidR="00457D66" w:rsidRPr="000A2851" w14:paraId="2ACBFD9F" w14:textId="77777777" w:rsidTr="00823417">
        <w:trPr>
          <w:cantSplit/>
          <w:trHeight w:val="2665"/>
          <w:tblHeader/>
        </w:trPr>
        <w:tc>
          <w:tcPr>
            <w:tcW w:w="158" w:type="pct"/>
            <w:shd w:val="clear" w:color="auto" w:fill="auto"/>
            <w:textDirection w:val="btLr"/>
            <w:vAlign w:val="center"/>
          </w:tcPr>
          <w:p w14:paraId="16749C11" w14:textId="77777777" w:rsidR="00457D66" w:rsidRPr="00572695" w:rsidRDefault="00457D66" w:rsidP="00823417">
            <w:pPr>
              <w:ind w:left="113" w:right="113"/>
              <w:jc w:val="center"/>
              <w:rPr>
                <w:rFonts w:ascii="Calibri" w:hAnsi="Calibri"/>
                <w:b/>
                <w:bCs/>
                <w:color w:val="000000"/>
                <w:sz w:val="16"/>
                <w:szCs w:val="20"/>
              </w:rPr>
            </w:pPr>
            <w:r w:rsidRPr="00EE7ACF">
              <w:rPr>
                <w:rFonts w:ascii="Calibri" w:hAnsi="Calibri"/>
                <w:b/>
                <w:bCs/>
                <w:color w:val="000000"/>
                <w:sz w:val="16"/>
                <w:szCs w:val="20"/>
              </w:rPr>
              <w:t>GINR Phase</w:t>
            </w:r>
          </w:p>
        </w:tc>
        <w:tc>
          <w:tcPr>
            <w:tcW w:w="560" w:type="pct"/>
            <w:shd w:val="clear" w:color="auto" w:fill="auto"/>
            <w:vAlign w:val="center"/>
          </w:tcPr>
          <w:p w14:paraId="1293F565" w14:textId="77777777" w:rsidR="00457D66" w:rsidRPr="00572695" w:rsidRDefault="00457D66" w:rsidP="00823417">
            <w:pPr>
              <w:rPr>
                <w:rFonts w:ascii="Calibri" w:hAnsi="Calibri"/>
                <w:b/>
                <w:bCs/>
                <w:color w:val="000000"/>
                <w:sz w:val="16"/>
                <w:szCs w:val="20"/>
              </w:rPr>
            </w:pPr>
            <w:r w:rsidRPr="00EE7ACF">
              <w:rPr>
                <w:rFonts w:ascii="Calibri" w:hAnsi="Calibri"/>
                <w:b/>
                <w:bCs/>
                <w:color w:val="000000"/>
                <w:sz w:val="16"/>
                <w:szCs w:val="20"/>
              </w:rPr>
              <w:t>GINR Milestones and Studies</w:t>
            </w:r>
          </w:p>
        </w:tc>
        <w:tc>
          <w:tcPr>
            <w:tcW w:w="410" w:type="pct"/>
            <w:shd w:val="clear" w:color="auto" w:fill="auto"/>
            <w:noWrap/>
            <w:textDirection w:val="btLr"/>
            <w:vAlign w:val="center"/>
          </w:tcPr>
          <w:p w14:paraId="5139E687" w14:textId="77777777" w:rsidR="00457D66" w:rsidRPr="00572695" w:rsidRDefault="00457D66" w:rsidP="00823417">
            <w:pPr>
              <w:ind w:left="113" w:right="113"/>
              <w:jc w:val="center"/>
              <w:rPr>
                <w:rFonts w:ascii="Calibri" w:hAnsi="Calibri"/>
                <w:b/>
                <w:bCs/>
                <w:color w:val="000000"/>
                <w:sz w:val="16"/>
                <w:szCs w:val="20"/>
              </w:rPr>
            </w:pPr>
            <w:r>
              <w:rPr>
                <w:rFonts w:ascii="Calibri" w:hAnsi="Calibri"/>
                <w:b/>
                <w:bCs/>
                <w:color w:val="000000"/>
                <w:sz w:val="16"/>
                <w:szCs w:val="20"/>
              </w:rPr>
              <w:t>Adding ESS to the e</w:t>
            </w:r>
            <w:r w:rsidRPr="002F5B5E">
              <w:rPr>
                <w:rFonts w:ascii="Calibri" w:hAnsi="Calibri"/>
                <w:b/>
                <w:bCs/>
                <w:color w:val="000000"/>
                <w:sz w:val="16"/>
                <w:szCs w:val="20"/>
              </w:rPr>
              <w:t xml:space="preserve">xisting </w:t>
            </w:r>
            <w:r>
              <w:rPr>
                <w:rFonts w:ascii="Calibri" w:hAnsi="Calibri"/>
                <w:b/>
                <w:bCs/>
                <w:color w:val="000000"/>
                <w:sz w:val="16"/>
                <w:szCs w:val="20"/>
              </w:rPr>
              <w:t>Site (AC Coupled</w:t>
            </w:r>
            <w:r w:rsidRPr="002E6122">
              <w:rPr>
                <w:rFonts w:ascii="Calibri" w:hAnsi="Calibri"/>
                <w:b/>
                <w:bCs/>
                <w:color w:val="000000"/>
                <w:sz w:val="16"/>
                <w:szCs w:val="20"/>
                <w:vertAlign w:val="superscript"/>
              </w:rPr>
              <w:fldChar w:fldCharType="begin"/>
            </w:r>
            <w:r w:rsidRPr="002E6122">
              <w:rPr>
                <w:rFonts w:ascii="Calibri" w:hAnsi="Calibri"/>
                <w:b/>
                <w:bCs/>
                <w:color w:val="000000"/>
                <w:sz w:val="16"/>
                <w:szCs w:val="20"/>
                <w:vertAlign w:val="superscript"/>
              </w:rPr>
              <w:instrText xml:space="preserve"> NOTEREF _Ref31094222 \h </w:instrText>
            </w:r>
            <w:r>
              <w:rPr>
                <w:rFonts w:ascii="Calibri" w:hAnsi="Calibri"/>
                <w:b/>
                <w:bCs/>
                <w:color w:val="000000"/>
                <w:sz w:val="16"/>
                <w:szCs w:val="20"/>
                <w:vertAlign w:val="superscript"/>
              </w:rPr>
              <w:instrText xml:space="preserve"> \* MERGEFORMAT </w:instrText>
            </w:r>
            <w:r w:rsidRPr="002E6122">
              <w:rPr>
                <w:rFonts w:ascii="Calibri" w:hAnsi="Calibri"/>
                <w:b/>
                <w:bCs/>
                <w:color w:val="000000"/>
                <w:sz w:val="16"/>
                <w:szCs w:val="20"/>
                <w:vertAlign w:val="superscript"/>
              </w:rPr>
            </w:r>
            <w:r w:rsidRPr="002E6122">
              <w:rPr>
                <w:rFonts w:ascii="Calibri" w:hAnsi="Calibri"/>
                <w:b/>
                <w:bCs/>
                <w:color w:val="000000"/>
                <w:sz w:val="16"/>
                <w:szCs w:val="20"/>
                <w:vertAlign w:val="superscript"/>
              </w:rPr>
              <w:fldChar w:fldCharType="separate"/>
            </w:r>
            <w:r>
              <w:rPr>
                <w:rFonts w:ascii="Calibri" w:hAnsi="Calibri"/>
                <w:b/>
                <w:bCs/>
                <w:color w:val="000000"/>
                <w:sz w:val="16"/>
                <w:szCs w:val="20"/>
                <w:vertAlign w:val="superscript"/>
              </w:rPr>
              <w:t>1</w:t>
            </w:r>
            <w:r w:rsidRPr="002E6122">
              <w:rPr>
                <w:rFonts w:ascii="Calibri" w:hAnsi="Calibri"/>
                <w:b/>
                <w:bCs/>
                <w:color w:val="000000"/>
                <w:sz w:val="16"/>
                <w:szCs w:val="20"/>
                <w:vertAlign w:val="superscript"/>
              </w:rPr>
              <w:fldChar w:fldCharType="end"/>
            </w:r>
            <w:r>
              <w:rPr>
                <w:rFonts w:ascii="Calibri" w:hAnsi="Calibri"/>
                <w:b/>
                <w:bCs/>
                <w:color w:val="000000"/>
                <w:sz w:val="16"/>
                <w:szCs w:val="20"/>
              </w:rPr>
              <w:t>)</w:t>
            </w:r>
          </w:p>
        </w:tc>
        <w:tc>
          <w:tcPr>
            <w:tcW w:w="410" w:type="pct"/>
            <w:shd w:val="clear" w:color="auto" w:fill="auto"/>
            <w:noWrap/>
            <w:textDirection w:val="btLr"/>
            <w:vAlign w:val="center"/>
          </w:tcPr>
          <w:p w14:paraId="354DA3C8" w14:textId="77777777" w:rsidR="00457D66" w:rsidRPr="00572695" w:rsidRDefault="00457D66" w:rsidP="00823417">
            <w:pPr>
              <w:ind w:left="113" w:right="113"/>
              <w:jc w:val="center"/>
              <w:rPr>
                <w:rFonts w:ascii="Calibri" w:hAnsi="Calibri"/>
                <w:b/>
                <w:bCs/>
                <w:color w:val="000000"/>
                <w:sz w:val="16"/>
                <w:szCs w:val="20"/>
              </w:rPr>
            </w:pPr>
            <w:r>
              <w:rPr>
                <w:rFonts w:ascii="Calibri" w:hAnsi="Calibri"/>
                <w:b/>
                <w:bCs/>
                <w:color w:val="000000"/>
                <w:sz w:val="16"/>
                <w:szCs w:val="20"/>
              </w:rPr>
              <w:t>Adding ESS to Existing Solar with Grid Charging (DC Coupled)</w:t>
            </w:r>
          </w:p>
        </w:tc>
        <w:tc>
          <w:tcPr>
            <w:tcW w:w="410" w:type="pct"/>
            <w:textDirection w:val="btLr"/>
            <w:vAlign w:val="center"/>
          </w:tcPr>
          <w:p w14:paraId="7E910838" w14:textId="77777777" w:rsidR="00457D66" w:rsidRPr="00B93B8C" w:rsidRDefault="00457D66" w:rsidP="00823417">
            <w:pPr>
              <w:ind w:left="113" w:right="113"/>
              <w:jc w:val="center"/>
              <w:rPr>
                <w:rFonts w:ascii="Calibri" w:hAnsi="Calibri"/>
                <w:b/>
                <w:bCs/>
                <w:color w:val="000000"/>
                <w:sz w:val="16"/>
                <w:szCs w:val="20"/>
              </w:rPr>
            </w:pPr>
            <w:r>
              <w:rPr>
                <w:rFonts w:ascii="Calibri" w:hAnsi="Calibri"/>
                <w:b/>
                <w:bCs/>
                <w:color w:val="000000"/>
                <w:sz w:val="16"/>
                <w:szCs w:val="20"/>
              </w:rPr>
              <w:t>Adding ESS to Existing Solar w/o Grid Charging (DC Coupled with no inverter changes)</w:t>
            </w:r>
          </w:p>
        </w:tc>
        <w:tc>
          <w:tcPr>
            <w:tcW w:w="411" w:type="pct"/>
            <w:textDirection w:val="btLr"/>
            <w:vAlign w:val="center"/>
          </w:tcPr>
          <w:p w14:paraId="1CF54102" w14:textId="77777777" w:rsidR="00457D66" w:rsidRPr="00B93B8C" w:rsidRDefault="00457D66" w:rsidP="00823417">
            <w:pPr>
              <w:ind w:left="113" w:right="113"/>
              <w:jc w:val="center"/>
              <w:rPr>
                <w:rFonts w:ascii="Calibri" w:hAnsi="Calibri"/>
                <w:b/>
                <w:bCs/>
                <w:color w:val="000000"/>
                <w:sz w:val="16"/>
                <w:szCs w:val="20"/>
              </w:rPr>
            </w:pPr>
            <w:r w:rsidRPr="00B93B8C">
              <w:rPr>
                <w:rFonts w:ascii="Calibri" w:hAnsi="Calibri"/>
                <w:b/>
                <w:bCs/>
                <w:color w:val="000000"/>
                <w:sz w:val="16"/>
                <w:szCs w:val="20"/>
              </w:rPr>
              <w:t>Regular – meeting 5.1.1(1)(a)</w:t>
            </w:r>
          </w:p>
          <w:p w14:paraId="07CBBC87" w14:textId="77777777" w:rsidR="00457D66" w:rsidRPr="00572695" w:rsidRDefault="00457D66" w:rsidP="00823417">
            <w:pPr>
              <w:ind w:left="113" w:right="113"/>
              <w:jc w:val="center"/>
              <w:rPr>
                <w:rFonts w:ascii="Calibri" w:hAnsi="Calibri"/>
                <w:b/>
                <w:bCs/>
                <w:color w:val="000000"/>
                <w:sz w:val="16"/>
                <w:szCs w:val="20"/>
              </w:rPr>
            </w:pPr>
          </w:p>
        </w:tc>
        <w:tc>
          <w:tcPr>
            <w:tcW w:w="410" w:type="pct"/>
            <w:textDirection w:val="btLr"/>
            <w:vAlign w:val="center"/>
          </w:tcPr>
          <w:p w14:paraId="2E0C2F81" w14:textId="77777777" w:rsidR="00457D66" w:rsidRPr="00B93B8C" w:rsidRDefault="00457D66" w:rsidP="00823417">
            <w:pPr>
              <w:ind w:left="113" w:right="113"/>
              <w:jc w:val="center"/>
              <w:rPr>
                <w:rFonts w:ascii="Calibri" w:hAnsi="Calibri"/>
                <w:b/>
                <w:bCs/>
                <w:color w:val="000000"/>
                <w:sz w:val="16"/>
                <w:szCs w:val="20"/>
              </w:rPr>
            </w:pPr>
            <w:r w:rsidRPr="00B93B8C">
              <w:rPr>
                <w:rFonts w:ascii="Calibri" w:hAnsi="Calibri"/>
                <w:b/>
                <w:bCs/>
                <w:color w:val="000000"/>
                <w:sz w:val="16"/>
                <w:szCs w:val="20"/>
              </w:rPr>
              <w:t>Repower – relating to 5.1.1 (1)(b)(ii)</w:t>
            </w:r>
          </w:p>
          <w:p w14:paraId="24874500" w14:textId="77777777" w:rsidR="00457D66" w:rsidRPr="00572695" w:rsidRDefault="00457D66" w:rsidP="00823417">
            <w:pPr>
              <w:ind w:left="113" w:right="113"/>
              <w:jc w:val="center"/>
              <w:rPr>
                <w:rFonts w:ascii="Calibri" w:hAnsi="Calibri"/>
                <w:b/>
                <w:bCs/>
                <w:color w:val="000000"/>
                <w:sz w:val="16"/>
                <w:szCs w:val="20"/>
              </w:rPr>
            </w:pPr>
          </w:p>
        </w:tc>
        <w:tc>
          <w:tcPr>
            <w:tcW w:w="410" w:type="pct"/>
            <w:textDirection w:val="btLr"/>
            <w:vAlign w:val="center"/>
          </w:tcPr>
          <w:p w14:paraId="746EE25F" w14:textId="77777777" w:rsidR="00457D66" w:rsidRPr="00B93B8C" w:rsidRDefault="00457D66" w:rsidP="00823417">
            <w:pPr>
              <w:ind w:left="113" w:right="113"/>
              <w:jc w:val="center"/>
              <w:rPr>
                <w:rFonts w:ascii="Calibri" w:hAnsi="Calibri"/>
                <w:b/>
                <w:bCs/>
                <w:color w:val="000000"/>
                <w:sz w:val="16"/>
                <w:szCs w:val="20"/>
              </w:rPr>
            </w:pPr>
            <w:r w:rsidRPr="00B93B8C">
              <w:rPr>
                <w:rFonts w:ascii="Calibri" w:hAnsi="Calibri"/>
                <w:b/>
                <w:bCs/>
                <w:color w:val="000000"/>
                <w:sz w:val="16"/>
                <w:szCs w:val="20"/>
              </w:rPr>
              <w:t>Self-Limiting single Resource meeting 5.1.1(1)(a)</w:t>
            </w:r>
          </w:p>
          <w:p w14:paraId="5CEF3A64" w14:textId="77777777" w:rsidR="00457D66" w:rsidRPr="00572695" w:rsidRDefault="00457D66" w:rsidP="00823417">
            <w:pPr>
              <w:ind w:left="113" w:right="113"/>
              <w:jc w:val="center"/>
              <w:rPr>
                <w:rFonts w:ascii="Calibri" w:hAnsi="Calibri"/>
                <w:b/>
                <w:bCs/>
                <w:color w:val="000000"/>
                <w:sz w:val="16"/>
                <w:szCs w:val="20"/>
              </w:rPr>
            </w:pPr>
          </w:p>
        </w:tc>
        <w:tc>
          <w:tcPr>
            <w:tcW w:w="410" w:type="pct"/>
            <w:textDirection w:val="btLr"/>
            <w:vAlign w:val="center"/>
          </w:tcPr>
          <w:p w14:paraId="609FED1C" w14:textId="77777777" w:rsidR="00457D66" w:rsidRPr="00B93B8C" w:rsidRDefault="00457D66" w:rsidP="00823417">
            <w:pPr>
              <w:ind w:left="113" w:right="113"/>
              <w:jc w:val="center"/>
              <w:rPr>
                <w:rFonts w:ascii="Calibri" w:hAnsi="Calibri"/>
                <w:b/>
                <w:bCs/>
                <w:color w:val="000000"/>
                <w:sz w:val="16"/>
                <w:szCs w:val="20"/>
              </w:rPr>
            </w:pPr>
            <w:r w:rsidRPr="00B93B8C">
              <w:rPr>
                <w:rFonts w:ascii="Calibri" w:hAnsi="Calibri"/>
                <w:b/>
                <w:bCs/>
                <w:color w:val="000000"/>
                <w:sz w:val="16"/>
                <w:szCs w:val="20"/>
              </w:rPr>
              <w:t>DC Coupled – self-limiting multiple resources using same inverters - PG change needed</w:t>
            </w:r>
          </w:p>
          <w:p w14:paraId="725842C1" w14:textId="77777777" w:rsidR="00457D66" w:rsidRPr="00572695" w:rsidRDefault="00457D66" w:rsidP="00823417">
            <w:pPr>
              <w:ind w:left="113" w:right="113"/>
              <w:jc w:val="center"/>
              <w:rPr>
                <w:rFonts w:ascii="Calibri" w:hAnsi="Calibri"/>
                <w:b/>
                <w:bCs/>
                <w:color w:val="000000"/>
                <w:sz w:val="16"/>
                <w:szCs w:val="20"/>
              </w:rPr>
            </w:pPr>
          </w:p>
        </w:tc>
        <w:tc>
          <w:tcPr>
            <w:tcW w:w="411" w:type="pct"/>
            <w:textDirection w:val="btLr"/>
            <w:vAlign w:val="center"/>
          </w:tcPr>
          <w:p w14:paraId="3F05E26B" w14:textId="77777777" w:rsidR="00457D66" w:rsidRPr="00B93B8C" w:rsidRDefault="00457D66" w:rsidP="00823417">
            <w:pPr>
              <w:ind w:left="113" w:right="113"/>
              <w:jc w:val="center"/>
              <w:rPr>
                <w:rFonts w:ascii="Calibri" w:hAnsi="Calibri"/>
                <w:b/>
                <w:bCs/>
                <w:color w:val="000000"/>
                <w:sz w:val="16"/>
                <w:szCs w:val="20"/>
              </w:rPr>
            </w:pPr>
            <w:r w:rsidRPr="00B93B8C">
              <w:rPr>
                <w:rFonts w:ascii="Calibri" w:hAnsi="Calibri"/>
                <w:b/>
                <w:bCs/>
                <w:color w:val="000000"/>
                <w:sz w:val="16"/>
                <w:szCs w:val="20"/>
              </w:rPr>
              <w:t>AC Coupled – self-limiting multiple resources with separate inverters – PG change needed</w:t>
            </w:r>
            <w:bookmarkStart w:id="7" w:name="_Ref31094222"/>
            <w:r>
              <w:rPr>
                <w:rStyle w:val="FootnoteReference"/>
                <w:rFonts w:ascii="Calibri" w:hAnsi="Calibri"/>
                <w:b/>
                <w:bCs/>
                <w:color w:val="000000"/>
                <w:sz w:val="16"/>
                <w:szCs w:val="20"/>
              </w:rPr>
              <w:footnoteReference w:id="1"/>
            </w:r>
            <w:bookmarkEnd w:id="7"/>
          </w:p>
          <w:p w14:paraId="5FCC09E5" w14:textId="77777777" w:rsidR="00457D66" w:rsidRPr="00B93B8C" w:rsidRDefault="00457D66" w:rsidP="00823417">
            <w:pPr>
              <w:ind w:left="113" w:right="113"/>
              <w:jc w:val="center"/>
              <w:rPr>
                <w:rFonts w:ascii="Calibri" w:hAnsi="Calibri"/>
                <w:b/>
                <w:bCs/>
                <w:color w:val="000000"/>
                <w:sz w:val="16"/>
                <w:szCs w:val="20"/>
              </w:rPr>
            </w:pPr>
          </w:p>
        </w:tc>
        <w:tc>
          <w:tcPr>
            <w:tcW w:w="999" w:type="pct"/>
            <w:vAlign w:val="center"/>
          </w:tcPr>
          <w:p w14:paraId="31A48D07" w14:textId="77777777" w:rsidR="00457D66" w:rsidRDefault="00457D66" w:rsidP="00823417">
            <w:pPr>
              <w:jc w:val="center"/>
              <w:rPr>
                <w:rFonts w:ascii="Calibri" w:hAnsi="Calibri"/>
                <w:b/>
                <w:bCs/>
                <w:color w:val="000000"/>
                <w:sz w:val="16"/>
                <w:szCs w:val="20"/>
              </w:rPr>
            </w:pPr>
            <w:r w:rsidRPr="00B93B8C">
              <w:rPr>
                <w:rFonts w:ascii="Calibri" w:hAnsi="Calibri"/>
                <w:b/>
                <w:bCs/>
                <w:color w:val="000000"/>
                <w:sz w:val="16"/>
                <w:szCs w:val="20"/>
              </w:rPr>
              <w:t>Transmission Connected &lt;10 MW GR- PG change needed</w:t>
            </w:r>
          </w:p>
          <w:p w14:paraId="10C32288" w14:textId="77777777" w:rsidR="00457D66" w:rsidRPr="00B93B8C" w:rsidRDefault="00457D66" w:rsidP="00823417">
            <w:pPr>
              <w:jc w:val="center"/>
              <w:rPr>
                <w:rFonts w:ascii="Calibri" w:hAnsi="Calibri"/>
                <w:b/>
                <w:bCs/>
                <w:color w:val="000000"/>
                <w:sz w:val="16"/>
                <w:szCs w:val="20"/>
              </w:rPr>
            </w:pPr>
          </w:p>
          <w:p w14:paraId="29107ED8" w14:textId="77777777" w:rsidR="00457D66" w:rsidRDefault="00457D66" w:rsidP="00823417">
            <w:pPr>
              <w:jc w:val="center"/>
              <w:rPr>
                <w:rFonts w:ascii="Calibri" w:hAnsi="Calibri"/>
                <w:b/>
                <w:bCs/>
                <w:color w:val="000000"/>
                <w:sz w:val="16"/>
                <w:szCs w:val="20"/>
              </w:rPr>
            </w:pPr>
            <w:r w:rsidRPr="00B93B8C">
              <w:rPr>
                <w:rFonts w:ascii="Calibri" w:hAnsi="Calibri"/>
                <w:b/>
                <w:bCs/>
                <w:color w:val="000000"/>
                <w:sz w:val="16"/>
                <w:szCs w:val="20"/>
              </w:rPr>
              <w:t>Transmission Connected &lt;10 MW SO- PG change needed</w:t>
            </w:r>
          </w:p>
          <w:p w14:paraId="78DEEA39" w14:textId="77777777" w:rsidR="00457D66" w:rsidRPr="00B93B8C" w:rsidRDefault="00457D66" w:rsidP="00823417">
            <w:pPr>
              <w:jc w:val="center"/>
              <w:rPr>
                <w:rFonts w:ascii="Calibri" w:hAnsi="Calibri"/>
                <w:b/>
                <w:bCs/>
                <w:color w:val="000000"/>
                <w:sz w:val="16"/>
                <w:szCs w:val="20"/>
              </w:rPr>
            </w:pPr>
          </w:p>
          <w:p w14:paraId="1ACC9108" w14:textId="77777777" w:rsidR="00457D66" w:rsidRDefault="00457D66" w:rsidP="00823417">
            <w:pPr>
              <w:jc w:val="center"/>
              <w:rPr>
                <w:rFonts w:ascii="Calibri" w:hAnsi="Calibri"/>
                <w:b/>
                <w:bCs/>
                <w:color w:val="000000"/>
                <w:sz w:val="16"/>
                <w:szCs w:val="20"/>
              </w:rPr>
            </w:pPr>
            <w:r w:rsidRPr="00B93B8C">
              <w:rPr>
                <w:rFonts w:ascii="Calibri" w:hAnsi="Calibri"/>
                <w:b/>
                <w:bCs/>
                <w:color w:val="000000"/>
                <w:sz w:val="16"/>
                <w:szCs w:val="20"/>
              </w:rPr>
              <w:t>Distribution Connected GR - PG change in progress</w:t>
            </w:r>
          </w:p>
          <w:p w14:paraId="34E4B15B" w14:textId="77777777" w:rsidR="00457D66" w:rsidRPr="00B93B8C" w:rsidRDefault="00457D66" w:rsidP="00823417">
            <w:pPr>
              <w:jc w:val="center"/>
              <w:rPr>
                <w:rFonts w:ascii="Calibri" w:hAnsi="Calibri"/>
                <w:b/>
                <w:bCs/>
                <w:color w:val="000000"/>
                <w:sz w:val="16"/>
                <w:szCs w:val="20"/>
              </w:rPr>
            </w:pPr>
          </w:p>
          <w:p w14:paraId="4474B48B" w14:textId="77777777" w:rsidR="00457D66" w:rsidRPr="00B93B8C" w:rsidRDefault="00457D66" w:rsidP="00823417">
            <w:pPr>
              <w:jc w:val="center"/>
              <w:rPr>
                <w:rFonts w:ascii="Calibri" w:hAnsi="Calibri"/>
                <w:b/>
                <w:bCs/>
                <w:color w:val="000000"/>
                <w:sz w:val="16"/>
                <w:szCs w:val="20"/>
              </w:rPr>
            </w:pPr>
            <w:r w:rsidRPr="00B93B8C">
              <w:rPr>
                <w:rFonts w:ascii="Calibri" w:hAnsi="Calibri"/>
                <w:b/>
                <w:bCs/>
                <w:color w:val="000000"/>
                <w:sz w:val="16"/>
                <w:szCs w:val="20"/>
              </w:rPr>
              <w:t>Distribution Connected SO - PG change needed</w:t>
            </w:r>
          </w:p>
          <w:p w14:paraId="4C3F1315" w14:textId="77777777" w:rsidR="00457D66" w:rsidRPr="00572695" w:rsidRDefault="00457D66" w:rsidP="00823417">
            <w:pPr>
              <w:jc w:val="center"/>
              <w:rPr>
                <w:rFonts w:ascii="Calibri" w:hAnsi="Calibri"/>
                <w:b/>
                <w:bCs/>
                <w:color w:val="000000"/>
                <w:sz w:val="16"/>
                <w:szCs w:val="20"/>
              </w:rPr>
            </w:pPr>
          </w:p>
        </w:tc>
      </w:tr>
      <w:tr w:rsidR="00457D66" w:rsidRPr="000A2851" w14:paraId="574CDBF8" w14:textId="77777777" w:rsidTr="00823417">
        <w:trPr>
          <w:trHeight w:val="315"/>
        </w:trPr>
        <w:tc>
          <w:tcPr>
            <w:tcW w:w="158" w:type="pct"/>
            <w:shd w:val="clear" w:color="auto" w:fill="auto"/>
            <w:textDirection w:val="btLr"/>
            <w:vAlign w:val="bottom"/>
          </w:tcPr>
          <w:p w14:paraId="6ECD934D" w14:textId="77777777" w:rsidR="00457D66" w:rsidRPr="00EE7ACF" w:rsidRDefault="00457D66" w:rsidP="00823417">
            <w:pPr>
              <w:jc w:val="center"/>
              <w:rPr>
                <w:rFonts w:ascii="Arial Rounded MT Bold" w:hAnsi="Arial Rounded MT Bold"/>
                <w:color w:val="833C0C"/>
                <w:sz w:val="16"/>
                <w:szCs w:val="20"/>
              </w:rPr>
            </w:pPr>
          </w:p>
        </w:tc>
        <w:tc>
          <w:tcPr>
            <w:tcW w:w="560" w:type="pct"/>
            <w:shd w:val="clear" w:color="auto" w:fill="auto"/>
            <w:vAlign w:val="center"/>
          </w:tcPr>
          <w:p w14:paraId="5F98E94E" w14:textId="77777777" w:rsidR="00457D66" w:rsidRPr="00EE7ACF" w:rsidRDefault="00457D66" w:rsidP="00823417">
            <w:pPr>
              <w:rPr>
                <w:rFonts w:ascii="Calibri" w:hAnsi="Calibri"/>
                <w:color w:val="000000"/>
                <w:sz w:val="16"/>
                <w:szCs w:val="20"/>
              </w:rPr>
            </w:pPr>
            <w:r>
              <w:rPr>
                <w:rFonts w:ascii="Calibri" w:hAnsi="Calibri"/>
                <w:color w:val="000000"/>
                <w:sz w:val="16"/>
                <w:szCs w:val="20"/>
              </w:rPr>
              <w:t>Column Identifier</w:t>
            </w:r>
          </w:p>
        </w:tc>
        <w:tc>
          <w:tcPr>
            <w:tcW w:w="410" w:type="pct"/>
            <w:shd w:val="clear" w:color="auto" w:fill="auto"/>
            <w:noWrap/>
            <w:vAlign w:val="center"/>
          </w:tcPr>
          <w:p w14:paraId="083B4AC1"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A</w:t>
            </w:r>
          </w:p>
        </w:tc>
        <w:tc>
          <w:tcPr>
            <w:tcW w:w="410" w:type="pct"/>
            <w:shd w:val="clear" w:color="auto" w:fill="auto"/>
            <w:noWrap/>
            <w:vAlign w:val="center"/>
          </w:tcPr>
          <w:p w14:paraId="65AF736D"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B</w:t>
            </w:r>
          </w:p>
        </w:tc>
        <w:tc>
          <w:tcPr>
            <w:tcW w:w="410" w:type="pct"/>
            <w:shd w:val="clear" w:color="auto" w:fill="auto"/>
            <w:vAlign w:val="center"/>
          </w:tcPr>
          <w:p w14:paraId="16EC07F9" w14:textId="77777777" w:rsidR="00457D66" w:rsidRDefault="00457D66" w:rsidP="00823417">
            <w:pPr>
              <w:jc w:val="center"/>
              <w:rPr>
                <w:rFonts w:ascii="Arial Black" w:hAnsi="Arial Black"/>
                <w:color w:val="000000"/>
                <w:sz w:val="16"/>
                <w:szCs w:val="16"/>
              </w:rPr>
            </w:pPr>
            <w:r>
              <w:rPr>
                <w:rFonts w:ascii="Arial Black" w:hAnsi="Arial Black"/>
                <w:color w:val="000000"/>
                <w:sz w:val="16"/>
                <w:szCs w:val="16"/>
              </w:rPr>
              <w:t>C</w:t>
            </w:r>
          </w:p>
        </w:tc>
        <w:tc>
          <w:tcPr>
            <w:tcW w:w="411" w:type="pct"/>
            <w:vAlign w:val="center"/>
          </w:tcPr>
          <w:p w14:paraId="77FA9A18"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D</w:t>
            </w:r>
          </w:p>
        </w:tc>
        <w:tc>
          <w:tcPr>
            <w:tcW w:w="410" w:type="pct"/>
            <w:vAlign w:val="center"/>
          </w:tcPr>
          <w:p w14:paraId="63F6853A"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E</w:t>
            </w:r>
          </w:p>
        </w:tc>
        <w:tc>
          <w:tcPr>
            <w:tcW w:w="410" w:type="pct"/>
            <w:vAlign w:val="center"/>
          </w:tcPr>
          <w:p w14:paraId="0361DB50"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F</w:t>
            </w:r>
          </w:p>
        </w:tc>
        <w:tc>
          <w:tcPr>
            <w:tcW w:w="410" w:type="pct"/>
            <w:vAlign w:val="center"/>
          </w:tcPr>
          <w:p w14:paraId="5C274C59"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G</w:t>
            </w:r>
          </w:p>
        </w:tc>
        <w:tc>
          <w:tcPr>
            <w:tcW w:w="411" w:type="pct"/>
            <w:shd w:val="clear" w:color="auto" w:fill="auto"/>
            <w:vAlign w:val="center"/>
          </w:tcPr>
          <w:p w14:paraId="6AA8ECB0"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H</w:t>
            </w:r>
          </w:p>
        </w:tc>
        <w:tc>
          <w:tcPr>
            <w:tcW w:w="999" w:type="pct"/>
            <w:shd w:val="clear" w:color="auto" w:fill="92D050"/>
            <w:vAlign w:val="center"/>
          </w:tcPr>
          <w:p w14:paraId="6D8D0D87" w14:textId="77777777" w:rsidR="00457D66" w:rsidRDefault="00457D66" w:rsidP="00823417">
            <w:pPr>
              <w:jc w:val="center"/>
              <w:rPr>
                <w:rFonts w:ascii="Arial Black" w:hAnsi="Arial Black"/>
                <w:color w:val="000000"/>
                <w:sz w:val="16"/>
                <w:szCs w:val="16"/>
              </w:rPr>
            </w:pPr>
            <w:r>
              <w:rPr>
                <w:rFonts w:ascii="Arial Black" w:hAnsi="Arial Black"/>
                <w:color w:val="000000"/>
                <w:sz w:val="16"/>
                <w:szCs w:val="16"/>
              </w:rPr>
              <w:t>I</w:t>
            </w:r>
          </w:p>
        </w:tc>
      </w:tr>
      <w:tr w:rsidR="00457D66" w:rsidRPr="000A2851" w14:paraId="1FC5727C" w14:textId="77777777" w:rsidTr="00823417">
        <w:trPr>
          <w:trHeight w:val="315"/>
        </w:trPr>
        <w:tc>
          <w:tcPr>
            <w:tcW w:w="158" w:type="pct"/>
            <w:vMerge w:val="restart"/>
            <w:shd w:val="clear" w:color="auto" w:fill="auto"/>
            <w:textDirection w:val="btLr"/>
            <w:vAlign w:val="bottom"/>
            <w:hideMark/>
          </w:tcPr>
          <w:p w14:paraId="3A9F9089" w14:textId="77777777" w:rsidR="00457D66" w:rsidRPr="00EE7ACF" w:rsidRDefault="00457D66" w:rsidP="00823417">
            <w:pPr>
              <w:jc w:val="center"/>
              <w:rPr>
                <w:rFonts w:ascii="Arial Rounded MT Bold" w:hAnsi="Arial Rounded MT Bold"/>
                <w:color w:val="833C0C"/>
                <w:sz w:val="16"/>
                <w:szCs w:val="20"/>
              </w:rPr>
            </w:pPr>
            <w:r w:rsidRPr="00EE7ACF">
              <w:rPr>
                <w:rFonts w:ascii="Arial Rounded MT Bold" w:hAnsi="Arial Rounded MT Bold"/>
                <w:color w:val="833C0C"/>
                <w:sz w:val="16"/>
                <w:szCs w:val="20"/>
              </w:rPr>
              <w:t>Interconnection Request Application to QSA</w:t>
            </w:r>
          </w:p>
        </w:tc>
        <w:tc>
          <w:tcPr>
            <w:tcW w:w="560" w:type="pct"/>
            <w:shd w:val="clear" w:color="auto" w:fill="auto"/>
            <w:vAlign w:val="center"/>
            <w:hideMark/>
          </w:tcPr>
          <w:p w14:paraId="1678B0A3" w14:textId="77777777" w:rsidR="00457D66" w:rsidRPr="00EE7ACF" w:rsidRDefault="00457D66" w:rsidP="00823417">
            <w:pPr>
              <w:rPr>
                <w:rFonts w:ascii="Calibri" w:hAnsi="Calibri"/>
                <w:color w:val="000000"/>
                <w:sz w:val="16"/>
                <w:szCs w:val="20"/>
              </w:rPr>
            </w:pPr>
            <w:r w:rsidRPr="00EE7ACF">
              <w:rPr>
                <w:rFonts w:ascii="Calibri" w:hAnsi="Calibri"/>
                <w:color w:val="000000"/>
                <w:sz w:val="16"/>
                <w:szCs w:val="20"/>
              </w:rPr>
              <w:t>GINR Application and Fees</w:t>
            </w:r>
          </w:p>
        </w:tc>
        <w:tc>
          <w:tcPr>
            <w:tcW w:w="410" w:type="pct"/>
            <w:shd w:val="clear" w:color="auto" w:fill="auto"/>
            <w:noWrap/>
            <w:vAlign w:val="center"/>
            <w:hideMark/>
          </w:tcPr>
          <w:p w14:paraId="2F1D2107"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shd w:val="clear" w:color="auto" w:fill="auto"/>
            <w:noWrap/>
            <w:vAlign w:val="center"/>
            <w:hideMark/>
          </w:tcPr>
          <w:p w14:paraId="0B88CBC8"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shd w:val="clear" w:color="auto" w:fill="auto"/>
            <w:vAlign w:val="center"/>
          </w:tcPr>
          <w:p w14:paraId="19FE8104"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YES</w:t>
            </w:r>
          </w:p>
        </w:tc>
        <w:tc>
          <w:tcPr>
            <w:tcW w:w="411" w:type="pct"/>
            <w:vAlign w:val="center"/>
          </w:tcPr>
          <w:p w14:paraId="53A82342"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745D8CA4"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43E95E79"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6ADA1B33"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1" w:type="pct"/>
            <w:shd w:val="clear" w:color="auto" w:fill="auto"/>
            <w:vAlign w:val="center"/>
          </w:tcPr>
          <w:p w14:paraId="4C526C29" w14:textId="77777777" w:rsidR="00457D66"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999" w:type="pct"/>
            <w:shd w:val="clear" w:color="auto" w:fill="92D050"/>
            <w:vAlign w:val="center"/>
          </w:tcPr>
          <w:p w14:paraId="110C4BD2"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NO</w:t>
            </w:r>
          </w:p>
        </w:tc>
      </w:tr>
      <w:tr w:rsidR="00457D66" w:rsidRPr="000A2851" w14:paraId="33CCC0BB" w14:textId="77777777" w:rsidTr="00823417">
        <w:trPr>
          <w:cantSplit/>
          <w:trHeight w:val="937"/>
        </w:trPr>
        <w:tc>
          <w:tcPr>
            <w:tcW w:w="158" w:type="pct"/>
            <w:vMerge/>
            <w:vAlign w:val="center"/>
            <w:hideMark/>
          </w:tcPr>
          <w:p w14:paraId="74C5C58D" w14:textId="77777777" w:rsidR="00457D66" w:rsidRPr="00EE7ACF" w:rsidRDefault="00457D66" w:rsidP="00823417">
            <w:pPr>
              <w:rPr>
                <w:rFonts w:ascii="Arial Rounded MT Bold" w:hAnsi="Arial Rounded MT Bold"/>
                <w:color w:val="833C0C"/>
                <w:sz w:val="16"/>
                <w:szCs w:val="20"/>
              </w:rPr>
            </w:pPr>
          </w:p>
        </w:tc>
        <w:tc>
          <w:tcPr>
            <w:tcW w:w="560" w:type="pct"/>
            <w:shd w:val="clear" w:color="auto" w:fill="auto"/>
            <w:vAlign w:val="bottom"/>
            <w:hideMark/>
          </w:tcPr>
          <w:p w14:paraId="6238AF80" w14:textId="77777777" w:rsidR="00457D66" w:rsidRPr="00EE7ACF" w:rsidRDefault="00457D66" w:rsidP="00823417">
            <w:pPr>
              <w:rPr>
                <w:rFonts w:ascii="Calibri" w:hAnsi="Calibri"/>
                <w:color w:val="000000"/>
                <w:sz w:val="16"/>
                <w:szCs w:val="20"/>
              </w:rPr>
            </w:pPr>
            <w:r w:rsidRPr="00EE7ACF">
              <w:rPr>
                <w:rFonts w:ascii="Calibri" w:hAnsi="Calibri"/>
                <w:color w:val="000000"/>
                <w:sz w:val="16"/>
                <w:szCs w:val="20"/>
              </w:rPr>
              <w:t xml:space="preserve">Security Screening Study </w:t>
            </w:r>
          </w:p>
        </w:tc>
        <w:tc>
          <w:tcPr>
            <w:tcW w:w="410" w:type="pct"/>
            <w:shd w:val="clear" w:color="auto" w:fill="92D050"/>
            <w:noWrap/>
            <w:vAlign w:val="center"/>
            <w:hideMark/>
          </w:tcPr>
          <w:p w14:paraId="33B1B650"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NO</w:t>
            </w:r>
          </w:p>
        </w:tc>
        <w:tc>
          <w:tcPr>
            <w:tcW w:w="410" w:type="pct"/>
            <w:shd w:val="clear" w:color="auto" w:fill="92D050"/>
            <w:noWrap/>
            <w:vAlign w:val="center"/>
            <w:hideMark/>
          </w:tcPr>
          <w:p w14:paraId="43ABFBB8" w14:textId="77777777" w:rsidR="00457D66" w:rsidRPr="00B37F66" w:rsidRDefault="00457D66" w:rsidP="00823417">
            <w:pPr>
              <w:jc w:val="center"/>
              <w:rPr>
                <w:rFonts w:ascii="Arial Black" w:hAnsi="Arial Black"/>
                <w:color w:val="000000"/>
                <w:sz w:val="16"/>
                <w:szCs w:val="16"/>
              </w:rPr>
            </w:pPr>
            <w:r>
              <w:rPr>
                <w:rFonts w:ascii="Arial Black" w:hAnsi="Arial Black"/>
                <w:color w:val="000000"/>
                <w:sz w:val="16"/>
                <w:szCs w:val="16"/>
              </w:rPr>
              <w:t>NO</w:t>
            </w:r>
          </w:p>
        </w:tc>
        <w:tc>
          <w:tcPr>
            <w:tcW w:w="410" w:type="pct"/>
            <w:shd w:val="clear" w:color="auto" w:fill="92D050"/>
            <w:vAlign w:val="center"/>
          </w:tcPr>
          <w:p w14:paraId="37E4A7D2"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NO</w:t>
            </w:r>
          </w:p>
        </w:tc>
        <w:tc>
          <w:tcPr>
            <w:tcW w:w="411" w:type="pct"/>
            <w:vAlign w:val="center"/>
          </w:tcPr>
          <w:p w14:paraId="5A07054B"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5A62FE90" w14:textId="77777777" w:rsidR="00457D66" w:rsidRPr="006B63A1" w:rsidRDefault="00457D66" w:rsidP="00823417">
            <w:pPr>
              <w:jc w:val="center"/>
              <w:rPr>
                <w:rFonts w:ascii="Arial Black" w:hAnsi="Arial Black"/>
                <w:color w:val="000000"/>
                <w:sz w:val="16"/>
                <w:szCs w:val="16"/>
                <w:vertAlign w:val="superscript"/>
              </w:rPr>
            </w:pPr>
            <w:r w:rsidRPr="000A2851">
              <w:rPr>
                <w:rFonts w:ascii="Arial Black" w:hAnsi="Arial Black"/>
                <w:color w:val="000000"/>
                <w:sz w:val="16"/>
                <w:szCs w:val="16"/>
              </w:rPr>
              <w:t>YES</w:t>
            </w:r>
            <w:r w:rsidRPr="001321EC">
              <w:rPr>
                <w:rFonts w:ascii="Arial Black" w:hAnsi="Arial Black"/>
                <w:color w:val="000000"/>
                <w:sz w:val="16"/>
                <w:szCs w:val="16"/>
                <w:vertAlign w:val="superscript"/>
              </w:rPr>
              <w:fldChar w:fldCharType="begin"/>
            </w:r>
            <w:r w:rsidRPr="001321EC">
              <w:rPr>
                <w:rFonts w:ascii="Arial Black" w:hAnsi="Arial Black"/>
                <w:color w:val="000000"/>
                <w:sz w:val="16"/>
                <w:szCs w:val="16"/>
                <w:vertAlign w:val="superscript"/>
              </w:rPr>
              <w:instrText xml:space="preserve"> NOTEREF _Ref31628073 \h </w:instrText>
            </w:r>
            <w:r>
              <w:rPr>
                <w:rFonts w:ascii="Arial Black" w:hAnsi="Arial Black"/>
                <w:color w:val="000000"/>
                <w:sz w:val="16"/>
                <w:szCs w:val="16"/>
                <w:vertAlign w:val="superscript"/>
              </w:rPr>
              <w:instrText xml:space="preserve"> \* MERGEFORMAT </w:instrText>
            </w:r>
            <w:r w:rsidRPr="001321EC">
              <w:rPr>
                <w:rFonts w:ascii="Arial Black" w:hAnsi="Arial Black"/>
                <w:color w:val="000000"/>
                <w:sz w:val="16"/>
                <w:szCs w:val="16"/>
                <w:vertAlign w:val="superscript"/>
              </w:rPr>
            </w:r>
            <w:r w:rsidRPr="001321EC">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3</w:t>
            </w:r>
            <w:r w:rsidRPr="001321EC">
              <w:rPr>
                <w:rFonts w:ascii="Arial Black" w:hAnsi="Arial Black"/>
                <w:color w:val="000000"/>
                <w:sz w:val="16"/>
                <w:szCs w:val="16"/>
                <w:vertAlign w:val="superscript"/>
              </w:rPr>
              <w:fldChar w:fldCharType="end"/>
            </w:r>
          </w:p>
        </w:tc>
        <w:tc>
          <w:tcPr>
            <w:tcW w:w="410" w:type="pct"/>
            <w:vAlign w:val="center"/>
          </w:tcPr>
          <w:p w14:paraId="22CCBEDE"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bookmarkStart w:id="8" w:name="_Ref30680155"/>
            <w:r>
              <w:rPr>
                <w:rStyle w:val="FootnoteReference"/>
                <w:rFonts w:ascii="Arial Black" w:hAnsi="Arial Black"/>
                <w:color w:val="000000"/>
                <w:sz w:val="16"/>
                <w:szCs w:val="16"/>
              </w:rPr>
              <w:footnoteReference w:id="2"/>
            </w:r>
            <w:bookmarkEnd w:id="8"/>
          </w:p>
        </w:tc>
        <w:tc>
          <w:tcPr>
            <w:tcW w:w="410" w:type="pct"/>
            <w:vAlign w:val="center"/>
          </w:tcPr>
          <w:p w14:paraId="23C31B59"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r w:rsidRPr="005C6050">
              <w:rPr>
                <w:rFonts w:ascii="Arial Black" w:hAnsi="Arial Black"/>
                <w:color w:val="000000"/>
                <w:sz w:val="16"/>
                <w:szCs w:val="16"/>
                <w:vertAlign w:val="superscript"/>
              </w:rPr>
              <w:fldChar w:fldCharType="begin"/>
            </w:r>
            <w:r w:rsidRPr="005C6050">
              <w:rPr>
                <w:rFonts w:ascii="Arial Black" w:hAnsi="Arial Black"/>
                <w:color w:val="000000"/>
                <w:sz w:val="16"/>
                <w:szCs w:val="16"/>
                <w:vertAlign w:val="superscript"/>
              </w:rPr>
              <w:instrText xml:space="preserve"> NOTEREF _Ref30680155 \h </w:instrText>
            </w:r>
            <w:r>
              <w:rPr>
                <w:rFonts w:ascii="Arial Black" w:hAnsi="Arial Black"/>
                <w:color w:val="000000"/>
                <w:sz w:val="16"/>
                <w:szCs w:val="16"/>
                <w:vertAlign w:val="superscript"/>
              </w:rPr>
              <w:instrText xml:space="preserve"> \* MERGEFORMAT </w:instrText>
            </w:r>
            <w:r w:rsidRPr="005C6050">
              <w:rPr>
                <w:rFonts w:ascii="Arial Black" w:hAnsi="Arial Black"/>
                <w:color w:val="000000"/>
                <w:sz w:val="16"/>
                <w:szCs w:val="16"/>
                <w:vertAlign w:val="superscript"/>
              </w:rPr>
            </w:r>
            <w:r w:rsidRPr="005C6050">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2</w:t>
            </w:r>
            <w:r w:rsidRPr="005C6050">
              <w:rPr>
                <w:rFonts w:ascii="Arial Black" w:hAnsi="Arial Black"/>
                <w:color w:val="000000"/>
                <w:sz w:val="16"/>
                <w:szCs w:val="16"/>
                <w:vertAlign w:val="superscript"/>
              </w:rPr>
              <w:fldChar w:fldCharType="end"/>
            </w:r>
          </w:p>
        </w:tc>
        <w:tc>
          <w:tcPr>
            <w:tcW w:w="411" w:type="pct"/>
            <w:shd w:val="clear" w:color="auto" w:fill="auto"/>
            <w:vAlign w:val="center"/>
          </w:tcPr>
          <w:p w14:paraId="0EFCF0DD" w14:textId="77777777" w:rsidR="00457D66" w:rsidRPr="00157F65"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r w:rsidRPr="00A618EF">
              <w:rPr>
                <w:rFonts w:ascii="Arial Black" w:hAnsi="Arial Black"/>
                <w:color w:val="000000"/>
                <w:sz w:val="16"/>
                <w:szCs w:val="16"/>
                <w:vertAlign w:val="superscript"/>
              </w:rPr>
              <w:fldChar w:fldCharType="begin"/>
            </w:r>
            <w:r w:rsidRPr="00A618EF">
              <w:rPr>
                <w:rFonts w:ascii="Arial Black" w:hAnsi="Arial Black"/>
                <w:color w:val="000000"/>
                <w:sz w:val="16"/>
                <w:szCs w:val="16"/>
                <w:vertAlign w:val="superscript"/>
              </w:rPr>
              <w:instrText xml:space="preserve"> NOTEREF _Ref30680155 \h </w:instrText>
            </w:r>
            <w:r>
              <w:rPr>
                <w:rFonts w:ascii="Arial Black" w:hAnsi="Arial Black"/>
                <w:color w:val="000000"/>
                <w:sz w:val="16"/>
                <w:szCs w:val="16"/>
                <w:vertAlign w:val="superscript"/>
              </w:rPr>
              <w:instrText xml:space="preserve"> \* MERGEFORMAT </w:instrText>
            </w:r>
            <w:r w:rsidRPr="00A618EF">
              <w:rPr>
                <w:rFonts w:ascii="Arial Black" w:hAnsi="Arial Black"/>
                <w:color w:val="000000"/>
                <w:sz w:val="16"/>
                <w:szCs w:val="16"/>
                <w:vertAlign w:val="superscript"/>
              </w:rPr>
            </w:r>
            <w:r w:rsidRPr="00A618EF">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2</w:t>
            </w:r>
            <w:r w:rsidRPr="00A618EF">
              <w:rPr>
                <w:rFonts w:ascii="Arial Black" w:hAnsi="Arial Black"/>
                <w:color w:val="000000"/>
                <w:sz w:val="16"/>
                <w:szCs w:val="16"/>
                <w:vertAlign w:val="superscript"/>
              </w:rPr>
              <w:fldChar w:fldCharType="end"/>
            </w:r>
          </w:p>
        </w:tc>
        <w:tc>
          <w:tcPr>
            <w:tcW w:w="999" w:type="pct"/>
            <w:shd w:val="clear" w:color="auto" w:fill="92D050"/>
            <w:vAlign w:val="center"/>
          </w:tcPr>
          <w:p w14:paraId="18B1055C" w14:textId="77777777" w:rsidR="00457D66" w:rsidRPr="000A2851" w:rsidRDefault="00457D66" w:rsidP="00823417">
            <w:pPr>
              <w:jc w:val="center"/>
              <w:rPr>
                <w:rFonts w:ascii="Arial Black" w:hAnsi="Arial Black"/>
                <w:color w:val="000000"/>
                <w:sz w:val="16"/>
                <w:szCs w:val="16"/>
              </w:rPr>
            </w:pPr>
            <w:r w:rsidRPr="00157F65">
              <w:rPr>
                <w:rFonts w:ascii="Arial Black" w:hAnsi="Arial Black"/>
                <w:color w:val="000000"/>
                <w:sz w:val="16"/>
                <w:szCs w:val="16"/>
              </w:rPr>
              <w:t>NO</w:t>
            </w:r>
          </w:p>
          <w:p w14:paraId="5A27614E" w14:textId="77777777" w:rsidR="00457D66" w:rsidRPr="000A2851" w:rsidRDefault="00457D66" w:rsidP="00823417">
            <w:pPr>
              <w:jc w:val="center"/>
              <w:rPr>
                <w:rFonts w:ascii="Arial Black" w:hAnsi="Arial Black"/>
                <w:color w:val="000000"/>
                <w:sz w:val="16"/>
                <w:szCs w:val="16"/>
              </w:rPr>
            </w:pPr>
          </w:p>
        </w:tc>
      </w:tr>
      <w:tr w:rsidR="00457D66" w:rsidRPr="000A2851" w14:paraId="723029DB" w14:textId="77777777" w:rsidTr="00823417">
        <w:trPr>
          <w:cantSplit/>
          <w:trHeight w:val="315"/>
        </w:trPr>
        <w:tc>
          <w:tcPr>
            <w:tcW w:w="158" w:type="pct"/>
            <w:vMerge/>
            <w:vAlign w:val="center"/>
            <w:hideMark/>
          </w:tcPr>
          <w:p w14:paraId="510AA624" w14:textId="77777777" w:rsidR="00457D66" w:rsidRPr="00EE7ACF" w:rsidRDefault="00457D66" w:rsidP="00823417">
            <w:pPr>
              <w:rPr>
                <w:rFonts w:ascii="Arial Rounded MT Bold" w:hAnsi="Arial Rounded MT Bold"/>
                <w:color w:val="833C0C"/>
                <w:sz w:val="16"/>
                <w:szCs w:val="20"/>
              </w:rPr>
            </w:pPr>
          </w:p>
        </w:tc>
        <w:tc>
          <w:tcPr>
            <w:tcW w:w="560" w:type="pct"/>
            <w:shd w:val="clear" w:color="auto" w:fill="auto"/>
            <w:vAlign w:val="bottom"/>
            <w:hideMark/>
          </w:tcPr>
          <w:p w14:paraId="2094959C" w14:textId="77777777" w:rsidR="00457D66" w:rsidRPr="00EE7ACF" w:rsidRDefault="00457D66" w:rsidP="00823417">
            <w:pPr>
              <w:rPr>
                <w:rFonts w:ascii="Calibri" w:hAnsi="Calibri"/>
                <w:color w:val="000000"/>
                <w:sz w:val="16"/>
                <w:szCs w:val="20"/>
              </w:rPr>
            </w:pPr>
            <w:r w:rsidRPr="00EE7ACF">
              <w:rPr>
                <w:rFonts w:ascii="Calibri" w:hAnsi="Calibri"/>
                <w:color w:val="000000"/>
                <w:sz w:val="16"/>
                <w:szCs w:val="20"/>
              </w:rPr>
              <w:t>Full Interconnection Studies</w:t>
            </w:r>
          </w:p>
        </w:tc>
        <w:tc>
          <w:tcPr>
            <w:tcW w:w="410" w:type="pct"/>
            <w:shd w:val="clear" w:color="auto" w:fill="FFFF00"/>
            <w:noWrap/>
            <w:vAlign w:val="center"/>
            <w:hideMark/>
          </w:tcPr>
          <w:p w14:paraId="7F3C560A"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 xml:space="preserve">SS at Pmin, SC, </w:t>
            </w:r>
            <w:r w:rsidRPr="000A2851">
              <w:rPr>
                <w:rFonts w:ascii="Arial Black" w:hAnsi="Arial Black"/>
                <w:color w:val="000000"/>
                <w:sz w:val="16"/>
                <w:szCs w:val="16"/>
              </w:rPr>
              <w:t>Stability</w:t>
            </w:r>
          </w:p>
        </w:tc>
        <w:tc>
          <w:tcPr>
            <w:tcW w:w="410" w:type="pct"/>
            <w:shd w:val="clear" w:color="auto" w:fill="FFFF00"/>
            <w:noWrap/>
            <w:vAlign w:val="center"/>
            <w:hideMark/>
          </w:tcPr>
          <w:p w14:paraId="48BDABB4"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 xml:space="preserve">SS at Pmin, </w:t>
            </w:r>
            <w:r w:rsidRPr="000A2851">
              <w:rPr>
                <w:rFonts w:ascii="Arial Black" w:hAnsi="Arial Black"/>
                <w:color w:val="000000"/>
                <w:sz w:val="16"/>
                <w:szCs w:val="16"/>
              </w:rPr>
              <w:t>Stability</w:t>
            </w:r>
            <w:r>
              <w:rPr>
                <w:rFonts w:ascii="Arial Black" w:hAnsi="Arial Black"/>
                <w:color w:val="000000"/>
                <w:sz w:val="16"/>
                <w:szCs w:val="16"/>
              </w:rPr>
              <w:t xml:space="preserve"> as needed</w:t>
            </w:r>
          </w:p>
        </w:tc>
        <w:tc>
          <w:tcPr>
            <w:tcW w:w="410" w:type="pct"/>
            <w:shd w:val="clear" w:color="auto" w:fill="92D050"/>
            <w:vAlign w:val="center"/>
          </w:tcPr>
          <w:p w14:paraId="2F70EBCA"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NO</w:t>
            </w:r>
          </w:p>
        </w:tc>
        <w:tc>
          <w:tcPr>
            <w:tcW w:w="411" w:type="pct"/>
            <w:vAlign w:val="center"/>
          </w:tcPr>
          <w:p w14:paraId="1A125E3B"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4DB5B99A"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bookmarkStart w:id="9" w:name="_Ref31628073"/>
            <w:r>
              <w:rPr>
                <w:rStyle w:val="FootnoteReference"/>
                <w:rFonts w:ascii="Arial Black" w:hAnsi="Arial Black"/>
                <w:color w:val="000000"/>
                <w:sz w:val="16"/>
                <w:szCs w:val="16"/>
              </w:rPr>
              <w:footnoteReference w:id="3"/>
            </w:r>
            <w:bookmarkEnd w:id="9"/>
          </w:p>
        </w:tc>
        <w:tc>
          <w:tcPr>
            <w:tcW w:w="410" w:type="pct"/>
            <w:vAlign w:val="center"/>
          </w:tcPr>
          <w:p w14:paraId="4F9E1D50"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r w:rsidRPr="000A4175">
              <w:rPr>
                <w:rFonts w:ascii="Arial Black" w:hAnsi="Arial Black"/>
                <w:color w:val="000000"/>
                <w:sz w:val="16"/>
                <w:szCs w:val="16"/>
                <w:vertAlign w:val="superscript"/>
              </w:rPr>
              <w:fldChar w:fldCharType="begin"/>
            </w:r>
            <w:r w:rsidRPr="000A4175">
              <w:rPr>
                <w:rFonts w:ascii="Arial Black" w:hAnsi="Arial Black"/>
                <w:color w:val="000000"/>
                <w:sz w:val="16"/>
                <w:szCs w:val="16"/>
                <w:vertAlign w:val="superscript"/>
              </w:rPr>
              <w:instrText xml:space="preserve"> NOTEREF _Ref30680155 \h </w:instrText>
            </w:r>
            <w:r>
              <w:rPr>
                <w:rFonts w:ascii="Arial Black" w:hAnsi="Arial Black"/>
                <w:color w:val="000000"/>
                <w:sz w:val="16"/>
                <w:szCs w:val="16"/>
                <w:vertAlign w:val="superscript"/>
              </w:rPr>
              <w:instrText xml:space="preserve"> \* MERGEFORMAT </w:instrText>
            </w:r>
            <w:r w:rsidRPr="000A4175">
              <w:rPr>
                <w:rFonts w:ascii="Arial Black" w:hAnsi="Arial Black"/>
                <w:color w:val="000000"/>
                <w:sz w:val="16"/>
                <w:szCs w:val="16"/>
                <w:vertAlign w:val="superscript"/>
              </w:rPr>
            </w:r>
            <w:r w:rsidRPr="000A4175">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2</w:t>
            </w:r>
            <w:r w:rsidRPr="000A4175">
              <w:rPr>
                <w:rFonts w:ascii="Arial Black" w:hAnsi="Arial Black"/>
                <w:color w:val="000000"/>
                <w:sz w:val="16"/>
                <w:szCs w:val="16"/>
                <w:vertAlign w:val="superscript"/>
              </w:rPr>
              <w:fldChar w:fldCharType="end"/>
            </w:r>
          </w:p>
        </w:tc>
        <w:tc>
          <w:tcPr>
            <w:tcW w:w="410" w:type="pct"/>
            <w:vAlign w:val="center"/>
          </w:tcPr>
          <w:p w14:paraId="7FD77421"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r w:rsidRPr="00A618EF">
              <w:rPr>
                <w:rFonts w:ascii="Arial Black" w:hAnsi="Arial Black"/>
                <w:color w:val="000000"/>
                <w:sz w:val="16"/>
                <w:szCs w:val="16"/>
                <w:vertAlign w:val="superscript"/>
              </w:rPr>
              <w:fldChar w:fldCharType="begin"/>
            </w:r>
            <w:r w:rsidRPr="00A618EF">
              <w:rPr>
                <w:rFonts w:ascii="Arial Black" w:hAnsi="Arial Black"/>
                <w:color w:val="000000"/>
                <w:sz w:val="16"/>
                <w:szCs w:val="16"/>
                <w:vertAlign w:val="superscript"/>
              </w:rPr>
              <w:instrText xml:space="preserve"> NOTEREF _Ref30680155 \h </w:instrText>
            </w:r>
            <w:r>
              <w:rPr>
                <w:rFonts w:ascii="Arial Black" w:hAnsi="Arial Black"/>
                <w:color w:val="000000"/>
                <w:sz w:val="16"/>
                <w:szCs w:val="16"/>
                <w:vertAlign w:val="superscript"/>
              </w:rPr>
              <w:instrText xml:space="preserve"> \* MERGEFORMAT </w:instrText>
            </w:r>
            <w:r w:rsidRPr="00A618EF">
              <w:rPr>
                <w:rFonts w:ascii="Arial Black" w:hAnsi="Arial Black"/>
                <w:color w:val="000000"/>
                <w:sz w:val="16"/>
                <w:szCs w:val="16"/>
                <w:vertAlign w:val="superscript"/>
              </w:rPr>
            </w:r>
            <w:r w:rsidRPr="00A618EF">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2</w:t>
            </w:r>
            <w:r w:rsidRPr="00A618EF">
              <w:rPr>
                <w:rFonts w:ascii="Arial Black" w:hAnsi="Arial Black"/>
                <w:color w:val="000000"/>
                <w:sz w:val="16"/>
                <w:szCs w:val="16"/>
                <w:vertAlign w:val="superscript"/>
              </w:rPr>
              <w:fldChar w:fldCharType="end"/>
            </w:r>
          </w:p>
        </w:tc>
        <w:tc>
          <w:tcPr>
            <w:tcW w:w="411" w:type="pct"/>
            <w:shd w:val="clear" w:color="auto" w:fill="auto"/>
            <w:vAlign w:val="center"/>
          </w:tcPr>
          <w:p w14:paraId="078F0FAD" w14:textId="77777777" w:rsidR="00457D66" w:rsidRPr="00157F65"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r w:rsidRPr="00A618EF">
              <w:rPr>
                <w:rFonts w:ascii="Arial Black" w:hAnsi="Arial Black"/>
                <w:color w:val="000000"/>
                <w:sz w:val="16"/>
                <w:szCs w:val="16"/>
                <w:vertAlign w:val="superscript"/>
              </w:rPr>
              <w:fldChar w:fldCharType="begin"/>
            </w:r>
            <w:r w:rsidRPr="00A618EF">
              <w:rPr>
                <w:rFonts w:ascii="Arial Black" w:hAnsi="Arial Black"/>
                <w:color w:val="000000"/>
                <w:sz w:val="16"/>
                <w:szCs w:val="16"/>
                <w:vertAlign w:val="superscript"/>
              </w:rPr>
              <w:instrText xml:space="preserve"> NOTEREF _Ref30680155 \h </w:instrText>
            </w:r>
            <w:r>
              <w:rPr>
                <w:rFonts w:ascii="Arial Black" w:hAnsi="Arial Black"/>
                <w:color w:val="000000"/>
                <w:sz w:val="16"/>
                <w:szCs w:val="16"/>
                <w:vertAlign w:val="superscript"/>
              </w:rPr>
              <w:instrText xml:space="preserve"> \* MERGEFORMAT </w:instrText>
            </w:r>
            <w:r w:rsidRPr="00A618EF">
              <w:rPr>
                <w:rFonts w:ascii="Arial Black" w:hAnsi="Arial Black"/>
                <w:color w:val="000000"/>
                <w:sz w:val="16"/>
                <w:szCs w:val="16"/>
                <w:vertAlign w:val="superscript"/>
              </w:rPr>
            </w:r>
            <w:r w:rsidRPr="00A618EF">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2</w:t>
            </w:r>
            <w:r w:rsidRPr="00A618EF">
              <w:rPr>
                <w:rFonts w:ascii="Arial Black" w:hAnsi="Arial Black"/>
                <w:color w:val="000000"/>
                <w:sz w:val="16"/>
                <w:szCs w:val="16"/>
                <w:vertAlign w:val="superscript"/>
              </w:rPr>
              <w:fldChar w:fldCharType="end"/>
            </w:r>
          </w:p>
        </w:tc>
        <w:tc>
          <w:tcPr>
            <w:tcW w:w="999" w:type="pct"/>
            <w:shd w:val="clear" w:color="auto" w:fill="92D050"/>
            <w:vAlign w:val="center"/>
          </w:tcPr>
          <w:p w14:paraId="165912BA" w14:textId="77777777" w:rsidR="00457D66" w:rsidRPr="000A2851" w:rsidRDefault="00457D66" w:rsidP="00823417">
            <w:pPr>
              <w:jc w:val="center"/>
              <w:rPr>
                <w:rFonts w:ascii="Arial Black" w:hAnsi="Arial Black"/>
                <w:color w:val="000000"/>
                <w:sz w:val="16"/>
                <w:szCs w:val="16"/>
              </w:rPr>
            </w:pPr>
            <w:r w:rsidRPr="00157F65">
              <w:rPr>
                <w:rFonts w:ascii="Arial Black" w:hAnsi="Arial Black"/>
                <w:color w:val="000000"/>
                <w:sz w:val="16"/>
                <w:szCs w:val="16"/>
              </w:rPr>
              <w:t>NO</w:t>
            </w:r>
          </w:p>
        </w:tc>
      </w:tr>
      <w:tr w:rsidR="00457D66" w:rsidRPr="000A2851" w14:paraId="345CA8D0" w14:textId="77777777" w:rsidTr="00823417">
        <w:trPr>
          <w:cantSplit/>
          <w:trHeight w:val="315"/>
        </w:trPr>
        <w:tc>
          <w:tcPr>
            <w:tcW w:w="158" w:type="pct"/>
            <w:vMerge/>
            <w:vAlign w:val="center"/>
            <w:hideMark/>
          </w:tcPr>
          <w:p w14:paraId="3CC2B0EB" w14:textId="77777777" w:rsidR="00457D66" w:rsidRPr="00EE7ACF" w:rsidRDefault="00457D66" w:rsidP="00823417">
            <w:pPr>
              <w:rPr>
                <w:rFonts w:ascii="Arial Rounded MT Bold" w:hAnsi="Arial Rounded MT Bold"/>
                <w:color w:val="833C0C"/>
                <w:sz w:val="16"/>
                <w:szCs w:val="20"/>
              </w:rPr>
            </w:pPr>
          </w:p>
        </w:tc>
        <w:tc>
          <w:tcPr>
            <w:tcW w:w="560" w:type="pct"/>
            <w:shd w:val="clear" w:color="auto" w:fill="auto"/>
            <w:vAlign w:val="bottom"/>
            <w:hideMark/>
          </w:tcPr>
          <w:p w14:paraId="1409F2AD" w14:textId="77777777" w:rsidR="00457D66" w:rsidRPr="00EE7ACF" w:rsidRDefault="00457D66" w:rsidP="00823417">
            <w:pPr>
              <w:rPr>
                <w:rFonts w:ascii="Calibri" w:hAnsi="Calibri"/>
                <w:color w:val="000000"/>
                <w:sz w:val="16"/>
                <w:szCs w:val="20"/>
              </w:rPr>
            </w:pPr>
            <w:r w:rsidRPr="00EE7ACF">
              <w:rPr>
                <w:rFonts w:ascii="Calibri" w:hAnsi="Calibri"/>
                <w:color w:val="000000"/>
                <w:sz w:val="16"/>
                <w:szCs w:val="20"/>
              </w:rPr>
              <w:t>Sub-synchronous Resonance Study</w:t>
            </w:r>
          </w:p>
        </w:tc>
        <w:tc>
          <w:tcPr>
            <w:tcW w:w="410" w:type="pct"/>
            <w:shd w:val="clear" w:color="auto" w:fill="auto"/>
            <w:noWrap/>
            <w:vAlign w:val="center"/>
            <w:hideMark/>
          </w:tcPr>
          <w:p w14:paraId="5CAF9F60"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shd w:val="clear" w:color="auto" w:fill="FFFF00"/>
            <w:noWrap/>
            <w:vAlign w:val="center"/>
            <w:hideMark/>
          </w:tcPr>
          <w:p w14:paraId="58821F7C"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r>
              <w:rPr>
                <w:rFonts w:ascii="Arial Black" w:hAnsi="Arial Black"/>
                <w:color w:val="000000"/>
                <w:sz w:val="16"/>
                <w:szCs w:val="16"/>
              </w:rPr>
              <w:t xml:space="preserve"> as needed</w:t>
            </w:r>
          </w:p>
        </w:tc>
        <w:tc>
          <w:tcPr>
            <w:tcW w:w="410" w:type="pct"/>
            <w:shd w:val="clear" w:color="auto" w:fill="92D050"/>
            <w:vAlign w:val="center"/>
          </w:tcPr>
          <w:p w14:paraId="12FEAA52"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NO</w:t>
            </w:r>
          </w:p>
        </w:tc>
        <w:tc>
          <w:tcPr>
            <w:tcW w:w="411" w:type="pct"/>
            <w:vAlign w:val="center"/>
          </w:tcPr>
          <w:p w14:paraId="4ED8D033"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6EB80825"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251D688E"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7440E5D3"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1" w:type="pct"/>
            <w:shd w:val="clear" w:color="auto" w:fill="auto"/>
            <w:vAlign w:val="center"/>
          </w:tcPr>
          <w:p w14:paraId="78BDD279" w14:textId="77777777" w:rsidR="00457D66" w:rsidRPr="00157F65"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999" w:type="pct"/>
            <w:shd w:val="clear" w:color="auto" w:fill="92D050"/>
            <w:vAlign w:val="center"/>
          </w:tcPr>
          <w:p w14:paraId="254071DB" w14:textId="77777777" w:rsidR="00457D66" w:rsidRPr="000A2851" w:rsidRDefault="00457D66" w:rsidP="00823417">
            <w:pPr>
              <w:jc w:val="center"/>
              <w:rPr>
                <w:rFonts w:ascii="Arial Black" w:hAnsi="Arial Black"/>
                <w:color w:val="000000"/>
                <w:sz w:val="16"/>
                <w:szCs w:val="16"/>
              </w:rPr>
            </w:pPr>
            <w:r w:rsidRPr="00157F65">
              <w:rPr>
                <w:rFonts w:ascii="Arial Black" w:hAnsi="Arial Black"/>
                <w:color w:val="000000"/>
                <w:sz w:val="16"/>
                <w:szCs w:val="16"/>
              </w:rPr>
              <w:t>NO</w:t>
            </w:r>
          </w:p>
        </w:tc>
      </w:tr>
      <w:tr w:rsidR="00457D66" w:rsidRPr="000A2851" w14:paraId="6254AC30" w14:textId="77777777" w:rsidTr="00823417">
        <w:trPr>
          <w:cantSplit/>
          <w:trHeight w:val="323"/>
        </w:trPr>
        <w:tc>
          <w:tcPr>
            <w:tcW w:w="158" w:type="pct"/>
            <w:vMerge/>
            <w:vAlign w:val="center"/>
            <w:hideMark/>
          </w:tcPr>
          <w:p w14:paraId="61C50DA0" w14:textId="77777777" w:rsidR="00457D66" w:rsidRPr="00EE7ACF" w:rsidRDefault="00457D66" w:rsidP="00823417">
            <w:pPr>
              <w:rPr>
                <w:rFonts w:ascii="Arial Rounded MT Bold" w:hAnsi="Arial Rounded MT Bold"/>
                <w:color w:val="833C0C"/>
                <w:sz w:val="16"/>
                <w:szCs w:val="20"/>
              </w:rPr>
            </w:pPr>
          </w:p>
        </w:tc>
        <w:tc>
          <w:tcPr>
            <w:tcW w:w="560" w:type="pct"/>
            <w:shd w:val="clear" w:color="auto" w:fill="auto"/>
            <w:vAlign w:val="bottom"/>
            <w:hideMark/>
          </w:tcPr>
          <w:p w14:paraId="5FA899B3" w14:textId="77777777" w:rsidR="00457D66" w:rsidRPr="00EE7ACF" w:rsidRDefault="00457D66" w:rsidP="00823417">
            <w:pPr>
              <w:rPr>
                <w:rFonts w:ascii="Calibri" w:hAnsi="Calibri"/>
                <w:color w:val="000000"/>
                <w:sz w:val="16"/>
                <w:szCs w:val="20"/>
              </w:rPr>
            </w:pPr>
            <w:r w:rsidRPr="00EE7ACF">
              <w:rPr>
                <w:rFonts w:ascii="Calibri" w:hAnsi="Calibri"/>
                <w:color w:val="000000"/>
                <w:sz w:val="16"/>
                <w:szCs w:val="20"/>
              </w:rPr>
              <w:t xml:space="preserve">Standard Gen IA </w:t>
            </w:r>
          </w:p>
        </w:tc>
        <w:tc>
          <w:tcPr>
            <w:tcW w:w="410" w:type="pct"/>
            <w:shd w:val="clear" w:color="auto" w:fill="auto"/>
            <w:noWrap/>
            <w:vAlign w:val="center"/>
            <w:hideMark/>
          </w:tcPr>
          <w:p w14:paraId="621D5B6A"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shd w:val="clear" w:color="auto" w:fill="auto"/>
            <w:noWrap/>
            <w:vAlign w:val="center"/>
            <w:hideMark/>
          </w:tcPr>
          <w:p w14:paraId="1B48E739"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56DB36E5"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YES</w:t>
            </w:r>
          </w:p>
        </w:tc>
        <w:tc>
          <w:tcPr>
            <w:tcW w:w="411" w:type="pct"/>
            <w:vAlign w:val="center"/>
          </w:tcPr>
          <w:p w14:paraId="32D5CA15"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4EB647C4"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41EC16A0"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r w:rsidRPr="000A4175">
              <w:rPr>
                <w:rFonts w:ascii="Arial Black" w:hAnsi="Arial Black"/>
                <w:color w:val="000000"/>
                <w:sz w:val="16"/>
                <w:szCs w:val="16"/>
                <w:vertAlign w:val="superscript"/>
              </w:rPr>
              <w:fldChar w:fldCharType="begin"/>
            </w:r>
            <w:r w:rsidRPr="000A4175">
              <w:rPr>
                <w:rFonts w:ascii="Arial Black" w:hAnsi="Arial Black"/>
                <w:color w:val="000000"/>
                <w:sz w:val="16"/>
                <w:szCs w:val="16"/>
                <w:vertAlign w:val="superscript"/>
              </w:rPr>
              <w:instrText xml:space="preserve"> NOTEREF _Ref30680155 \h </w:instrText>
            </w:r>
            <w:r>
              <w:rPr>
                <w:rFonts w:ascii="Arial Black" w:hAnsi="Arial Black"/>
                <w:color w:val="000000"/>
                <w:sz w:val="16"/>
                <w:szCs w:val="16"/>
                <w:vertAlign w:val="superscript"/>
              </w:rPr>
              <w:instrText xml:space="preserve"> \* MERGEFORMAT </w:instrText>
            </w:r>
            <w:r w:rsidRPr="000A4175">
              <w:rPr>
                <w:rFonts w:ascii="Arial Black" w:hAnsi="Arial Black"/>
                <w:color w:val="000000"/>
                <w:sz w:val="16"/>
                <w:szCs w:val="16"/>
                <w:vertAlign w:val="superscript"/>
              </w:rPr>
            </w:r>
            <w:r w:rsidRPr="000A4175">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2</w:t>
            </w:r>
            <w:r w:rsidRPr="000A4175">
              <w:rPr>
                <w:rFonts w:ascii="Arial Black" w:hAnsi="Arial Black"/>
                <w:color w:val="000000"/>
                <w:sz w:val="16"/>
                <w:szCs w:val="16"/>
                <w:vertAlign w:val="superscript"/>
              </w:rPr>
              <w:fldChar w:fldCharType="end"/>
            </w:r>
          </w:p>
        </w:tc>
        <w:tc>
          <w:tcPr>
            <w:tcW w:w="410" w:type="pct"/>
            <w:vAlign w:val="center"/>
          </w:tcPr>
          <w:p w14:paraId="192CCB99"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r w:rsidRPr="00A618EF">
              <w:rPr>
                <w:rFonts w:ascii="Arial Black" w:hAnsi="Arial Black"/>
                <w:color w:val="000000"/>
                <w:sz w:val="16"/>
                <w:szCs w:val="16"/>
                <w:vertAlign w:val="superscript"/>
              </w:rPr>
              <w:fldChar w:fldCharType="begin"/>
            </w:r>
            <w:r w:rsidRPr="00A618EF">
              <w:rPr>
                <w:rFonts w:ascii="Arial Black" w:hAnsi="Arial Black"/>
                <w:color w:val="000000"/>
                <w:sz w:val="16"/>
                <w:szCs w:val="16"/>
                <w:vertAlign w:val="superscript"/>
              </w:rPr>
              <w:instrText xml:space="preserve"> NOTEREF _Ref30680155 \h </w:instrText>
            </w:r>
            <w:r>
              <w:rPr>
                <w:rFonts w:ascii="Arial Black" w:hAnsi="Arial Black"/>
                <w:color w:val="000000"/>
                <w:sz w:val="16"/>
                <w:szCs w:val="16"/>
                <w:vertAlign w:val="superscript"/>
              </w:rPr>
              <w:instrText xml:space="preserve"> \* MERGEFORMAT </w:instrText>
            </w:r>
            <w:r w:rsidRPr="00A618EF">
              <w:rPr>
                <w:rFonts w:ascii="Arial Black" w:hAnsi="Arial Black"/>
                <w:color w:val="000000"/>
                <w:sz w:val="16"/>
                <w:szCs w:val="16"/>
                <w:vertAlign w:val="superscript"/>
              </w:rPr>
            </w:r>
            <w:r w:rsidRPr="00A618EF">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2</w:t>
            </w:r>
            <w:r w:rsidRPr="00A618EF">
              <w:rPr>
                <w:rFonts w:ascii="Arial Black" w:hAnsi="Arial Black"/>
                <w:color w:val="000000"/>
                <w:sz w:val="16"/>
                <w:szCs w:val="16"/>
                <w:vertAlign w:val="superscript"/>
              </w:rPr>
              <w:fldChar w:fldCharType="end"/>
            </w:r>
          </w:p>
        </w:tc>
        <w:tc>
          <w:tcPr>
            <w:tcW w:w="411" w:type="pct"/>
            <w:shd w:val="clear" w:color="auto" w:fill="auto"/>
            <w:vAlign w:val="center"/>
          </w:tcPr>
          <w:p w14:paraId="668B6D65" w14:textId="77777777" w:rsidR="00457D66" w:rsidRPr="00157F65"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r w:rsidRPr="00A618EF">
              <w:rPr>
                <w:rFonts w:ascii="Arial Black" w:hAnsi="Arial Black"/>
                <w:color w:val="000000"/>
                <w:sz w:val="16"/>
                <w:szCs w:val="16"/>
                <w:vertAlign w:val="superscript"/>
              </w:rPr>
              <w:fldChar w:fldCharType="begin"/>
            </w:r>
            <w:r w:rsidRPr="00A618EF">
              <w:rPr>
                <w:rFonts w:ascii="Arial Black" w:hAnsi="Arial Black"/>
                <w:color w:val="000000"/>
                <w:sz w:val="16"/>
                <w:szCs w:val="16"/>
                <w:vertAlign w:val="superscript"/>
              </w:rPr>
              <w:instrText xml:space="preserve"> NOTEREF _Ref30680155 \h </w:instrText>
            </w:r>
            <w:r>
              <w:rPr>
                <w:rFonts w:ascii="Arial Black" w:hAnsi="Arial Black"/>
                <w:color w:val="000000"/>
                <w:sz w:val="16"/>
                <w:szCs w:val="16"/>
                <w:vertAlign w:val="superscript"/>
              </w:rPr>
              <w:instrText xml:space="preserve"> \* MERGEFORMAT </w:instrText>
            </w:r>
            <w:r w:rsidRPr="00A618EF">
              <w:rPr>
                <w:rFonts w:ascii="Arial Black" w:hAnsi="Arial Black"/>
                <w:color w:val="000000"/>
                <w:sz w:val="16"/>
                <w:szCs w:val="16"/>
                <w:vertAlign w:val="superscript"/>
              </w:rPr>
            </w:r>
            <w:r w:rsidRPr="00A618EF">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2</w:t>
            </w:r>
            <w:r w:rsidRPr="00A618EF">
              <w:rPr>
                <w:rFonts w:ascii="Arial Black" w:hAnsi="Arial Black"/>
                <w:color w:val="000000"/>
                <w:sz w:val="16"/>
                <w:szCs w:val="16"/>
                <w:vertAlign w:val="superscript"/>
              </w:rPr>
              <w:fldChar w:fldCharType="end"/>
            </w:r>
          </w:p>
        </w:tc>
        <w:tc>
          <w:tcPr>
            <w:tcW w:w="999" w:type="pct"/>
            <w:shd w:val="clear" w:color="auto" w:fill="92D050"/>
            <w:vAlign w:val="center"/>
          </w:tcPr>
          <w:p w14:paraId="0DF09A1B" w14:textId="77777777" w:rsidR="00457D66" w:rsidRPr="000A2851" w:rsidRDefault="00457D66" w:rsidP="00823417">
            <w:pPr>
              <w:jc w:val="center"/>
              <w:rPr>
                <w:rFonts w:ascii="Arial Black" w:hAnsi="Arial Black"/>
                <w:color w:val="000000"/>
                <w:sz w:val="16"/>
                <w:szCs w:val="16"/>
              </w:rPr>
            </w:pPr>
            <w:r w:rsidRPr="00157F65">
              <w:rPr>
                <w:rFonts w:ascii="Arial Black" w:hAnsi="Arial Black"/>
                <w:color w:val="000000"/>
                <w:sz w:val="16"/>
                <w:szCs w:val="16"/>
              </w:rPr>
              <w:t>NO</w:t>
            </w:r>
          </w:p>
        </w:tc>
      </w:tr>
      <w:tr w:rsidR="00457D66" w:rsidRPr="000A2851" w14:paraId="03661B92" w14:textId="77777777" w:rsidTr="00823417">
        <w:trPr>
          <w:cantSplit/>
          <w:trHeight w:val="315"/>
        </w:trPr>
        <w:tc>
          <w:tcPr>
            <w:tcW w:w="158" w:type="pct"/>
            <w:vMerge/>
            <w:vAlign w:val="center"/>
            <w:hideMark/>
          </w:tcPr>
          <w:p w14:paraId="655E97FC" w14:textId="77777777" w:rsidR="00457D66" w:rsidRPr="00EE7ACF" w:rsidRDefault="00457D66" w:rsidP="00823417">
            <w:pPr>
              <w:rPr>
                <w:rFonts w:ascii="Arial Rounded MT Bold" w:hAnsi="Arial Rounded MT Bold"/>
                <w:color w:val="833C0C"/>
                <w:sz w:val="16"/>
                <w:szCs w:val="20"/>
              </w:rPr>
            </w:pPr>
          </w:p>
        </w:tc>
        <w:tc>
          <w:tcPr>
            <w:tcW w:w="560" w:type="pct"/>
            <w:shd w:val="clear" w:color="auto" w:fill="auto"/>
            <w:vAlign w:val="bottom"/>
            <w:hideMark/>
          </w:tcPr>
          <w:p w14:paraId="78F9839F" w14:textId="77777777" w:rsidR="00457D66" w:rsidRPr="00EE7ACF" w:rsidRDefault="00457D66" w:rsidP="00823417">
            <w:pPr>
              <w:rPr>
                <w:rFonts w:ascii="Calibri" w:hAnsi="Calibri"/>
                <w:color w:val="000000"/>
                <w:sz w:val="16"/>
                <w:szCs w:val="20"/>
              </w:rPr>
            </w:pPr>
            <w:r w:rsidRPr="00EE7ACF">
              <w:rPr>
                <w:rFonts w:ascii="Calibri" w:hAnsi="Calibri"/>
                <w:color w:val="000000"/>
                <w:sz w:val="16"/>
                <w:szCs w:val="20"/>
              </w:rPr>
              <w:t>Resource Asset Registration Forms</w:t>
            </w:r>
          </w:p>
        </w:tc>
        <w:tc>
          <w:tcPr>
            <w:tcW w:w="410" w:type="pct"/>
            <w:shd w:val="clear" w:color="auto" w:fill="auto"/>
            <w:noWrap/>
            <w:vAlign w:val="center"/>
            <w:hideMark/>
          </w:tcPr>
          <w:p w14:paraId="173B6C3E"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shd w:val="clear" w:color="auto" w:fill="auto"/>
            <w:noWrap/>
            <w:vAlign w:val="center"/>
            <w:hideMark/>
          </w:tcPr>
          <w:p w14:paraId="5DB43534"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shd w:val="clear" w:color="auto" w:fill="92D050"/>
            <w:vAlign w:val="center"/>
          </w:tcPr>
          <w:p w14:paraId="6569EBF2"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NO</w:t>
            </w:r>
          </w:p>
        </w:tc>
        <w:tc>
          <w:tcPr>
            <w:tcW w:w="411" w:type="pct"/>
            <w:vAlign w:val="center"/>
          </w:tcPr>
          <w:p w14:paraId="2B8D9DDF"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72EE509F"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3B97D115"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bookmarkStart w:id="10" w:name="_Ref30684664"/>
            <w:r>
              <w:rPr>
                <w:rStyle w:val="FootnoteReference"/>
                <w:rFonts w:ascii="Arial Black" w:hAnsi="Arial Black"/>
                <w:color w:val="000000"/>
                <w:sz w:val="16"/>
                <w:szCs w:val="16"/>
              </w:rPr>
              <w:footnoteReference w:id="4"/>
            </w:r>
            <w:bookmarkEnd w:id="10"/>
          </w:p>
        </w:tc>
        <w:tc>
          <w:tcPr>
            <w:tcW w:w="410" w:type="pct"/>
            <w:vAlign w:val="center"/>
          </w:tcPr>
          <w:p w14:paraId="4A3CED11"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r w:rsidRPr="005C6050">
              <w:rPr>
                <w:rFonts w:ascii="Arial Black" w:hAnsi="Arial Black"/>
                <w:color w:val="000000"/>
                <w:sz w:val="16"/>
                <w:szCs w:val="16"/>
                <w:vertAlign w:val="superscript"/>
              </w:rPr>
              <w:fldChar w:fldCharType="begin"/>
            </w:r>
            <w:r w:rsidRPr="005C6050">
              <w:rPr>
                <w:rFonts w:ascii="Arial Black" w:hAnsi="Arial Black"/>
                <w:color w:val="000000"/>
                <w:sz w:val="16"/>
                <w:szCs w:val="16"/>
                <w:vertAlign w:val="superscript"/>
              </w:rPr>
              <w:instrText xml:space="preserve"> NOTEREF _Ref30684664 \h  \* MERGEFORMAT </w:instrText>
            </w:r>
            <w:r w:rsidRPr="005C6050">
              <w:rPr>
                <w:rFonts w:ascii="Arial Black" w:hAnsi="Arial Black"/>
                <w:color w:val="000000"/>
                <w:sz w:val="16"/>
                <w:szCs w:val="16"/>
                <w:vertAlign w:val="superscript"/>
              </w:rPr>
            </w:r>
            <w:r w:rsidRPr="005C6050">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4</w:t>
            </w:r>
            <w:r w:rsidRPr="005C6050">
              <w:rPr>
                <w:rFonts w:ascii="Arial Black" w:hAnsi="Arial Black"/>
                <w:color w:val="000000"/>
                <w:sz w:val="16"/>
                <w:szCs w:val="16"/>
                <w:vertAlign w:val="superscript"/>
              </w:rPr>
              <w:fldChar w:fldCharType="end"/>
            </w:r>
          </w:p>
        </w:tc>
        <w:tc>
          <w:tcPr>
            <w:tcW w:w="411" w:type="pct"/>
            <w:shd w:val="clear" w:color="auto" w:fill="auto"/>
            <w:vAlign w:val="center"/>
          </w:tcPr>
          <w:p w14:paraId="1E5F883C"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bookmarkStart w:id="11" w:name="_Ref32828919"/>
            <w:r>
              <w:rPr>
                <w:rStyle w:val="FootnoteReference"/>
                <w:rFonts w:ascii="Arial Black" w:hAnsi="Arial Black"/>
                <w:color w:val="000000"/>
                <w:sz w:val="16"/>
                <w:szCs w:val="16"/>
              </w:rPr>
              <w:footnoteReference w:id="5"/>
            </w:r>
            <w:bookmarkEnd w:id="11"/>
          </w:p>
        </w:tc>
        <w:tc>
          <w:tcPr>
            <w:tcW w:w="999" w:type="pct"/>
            <w:vAlign w:val="center"/>
          </w:tcPr>
          <w:p w14:paraId="51FA1E38"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r>
      <w:tr w:rsidR="00457D66" w:rsidRPr="000A2851" w14:paraId="53818D1F" w14:textId="77777777" w:rsidTr="00823417">
        <w:trPr>
          <w:cantSplit/>
          <w:trHeight w:val="315"/>
        </w:trPr>
        <w:tc>
          <w:tcPr>
            <w:tcW w:w="158" w:type="pct"/>
            <w:vMerge/>
            <w:vAlign w:val="center"/>
            <w:hideMark/>
          </w:tcPr>
          <w:p w14:paraId="7F3C5F9D" w14:textId="77777777" w:rsidR="00457D66" w:rsidRPr="00EE7ACF" w:rsidRDefault="00457D66" w:rsidP="00823417">
            <w:pPr>
              <w:rPr>
                <w:rFonts w:ascii="Arial Rounded MT Bold" w:hAnsi="Arial Rounded MT Bold"/>
                <w:color w:val="833C0C"/>
                <w:sz w:val="16"/>
                <w:szCs w:val="20"/>
              </w:rPr>
            </w:pPr>
          </w:p>
        </w:tc>
        <w:tc>
          <w:tcPr>
            <w:tcW w:w="560" w:type="pct"/>
            <w:shd w:val="clear" w:color="auto" w:fill="auto"/>
            <w:vAlign w:val="bottom"/>
            <w:hideMark/>
          </w:tcPr>
          <w:p w14:paraId="4A2D175A" w14:textId="77777777" w:rsidR="00457D66" w:rsidRPr="00EE7ACF" w:rsidRDefault="00457D66" w:rsidP="00823417">
            <w:pPr>
              <w:rPr>
                <w:rFonts w:ascii="Calibri" w:hAnsi="Calibri"/>
                <w:color w:val="000000"/>
                <w:sz w:val="16"/>
                <w:szCs w:val="20"/>
              </w:rPr>
            </w:pPr>
            <w:r w:rsidRPr="00EE7ACF">
              <w:rPr>
                <w:rFonts w:ascii="Calibri" w:hAnsi="Calibri"/>
                <w:color w:val="000000"/>
                <w:sz w:val="16"/>
                <w:szCs w:val="20"/>
              </w:rPr>
              <w:t xml:space="preserve">Compliance with Operational Standards </w:t>
            </w:r>
          </w:p>
        </w:tc>
        <w:tc>
          <w:tcPr>
            <w:tcW w:w="410" w:type="pct"/>
            <w:shd w:val="clear" w:color="auto" w:fill="auto"/>
            <w:noWrap/>
            <w:vAlign w:val="center"/>
            <w:hideMark/>
          </w:tcPr>
          <w:p w14:paraId="3EE5A15A"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shd w:val="clear" w:color="auto" w:fill="auto"/>
            <w:noWrap/>
            <w:vAlign w:val="center"/>
            <w:hideMark/>
          </w:tcPr>
          <w:p w14:paraId="0A6BC261"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630CBE0E"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YES</w:t>
            </w:r>
          </w:p>
        </w:tc>
        <w:tc>
          <w:tcPr>
            <w:tcW w:w="411" w:type="pct"/>
            <w:vAlign w:val="center"/>
          </w:tcPr>
          <w:p w14:paraId="7AE40F7A"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1A32A6D8"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2437791F"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7F2E6D21"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1" w:type="pct"/>
            <w:shd w:val="clear" w:color="auto" w:fill="auto"/>
            <w:vAlign w:val="center"/>
          </w:tcPr>
          <w:p w14:paraId="331D8725"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999" w:type="pct"/>
            <w:vAlign w:val="center"/>
          </w:tcPr>
          <w:p w14:paraId="0ED66F89"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r>
      <w:tr w:rsidR="00457D66" w:rsidRPr="000A2851" w14:paraId="4BC33362" w14:textId="77777777" w:rsidTr="00823417">
        <w:trPr>
          <w:cantSplit/>
          <w:trHeight w:val="442"/>
        </w:trPr>
        <w:tc>
          <w:tcPr>
            <w:tcW w:w="158" w:type="pct"/>
            <w:vMerge/>
            <w:vAlign w:val="center"/>
            <w:hideMark/>
          </w:tcPr>
          <w:p w14:paraId="2C0FBA80" w14:textId="77777777" w:rsidR="00457D66" w:rsidRPr="00EE7ACF" w:rsidRDefault="00457D66" w:rsidP="00823417">
            <w:pPr>
              <w:rPr>
                <w:rFonts w:ascii="Arial Rounded MT Bold" w:hAnsi="Arial Rounded MT Bold"/>
                <w:color w:val="833C0C"/>
                <w:sz w:val="16"/>
                <w:szCs w:val="20"/>
              </w:rPr>
            </w:pPr>
          </w:p>
        </w:tc>
        <w:tc>
          <w:tcPr>
            <w:tcW w:w="560" w:type="pct"/>
            <w:shd w:val="clear" w:color="auto" w:fill="auto"/>
            <w:vAlign w:val="bottom"/>
            <w:hideMark/>
          </w:tcPr>
          <w:p w14:paraId="72728AFA" w14:textId="77777777" w:rsidR="00457D66" w:rsidRPr="00EE7ACF" w:rsidRDefault="00457D66" w:rsidP="00823417">
            <w:pPr>
              <w:rPr>
                <w:rFonts w:ascii="Calibri" w:hAnsi="Calibri"/>
                <w:color w:val="000000"/>
                <w:sz w:val="16"/>
                <w:szCs w:val="20"/>
              </w:rPr>
            </w:pPr>
            <w:r w:rsidRPr="00EE7ACF">
              <w:rPr>
                <w:rFonts w:ascii="Calibri" w:hAnsi="Calibri"/>
                <w:color w:val="000000"/>
                <w:sz w:val="16"/>
                <w:szCs w:val="20"/>
              </w:rPr>
              <w:t>Reactive Study</w:t>
            </w:r>
          </w:p>
        </w:tc>
        <w:tc>
          <w:tcPr>
            <w:tcW w:w="410" w:type="pct"/>
            <w:shd w:val="clear" w:color="auto" w:fill="FFFF00"/>
            <w:noWrap/>
            <w:vAlign w:val="center"/>
            <w:hideMark/>
          </w:tcPr>
          <w:p w14:paraId="2F4A87CA"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YES</w:t>
            </w:r>
            <w:r>
              <w:rPr>
                <w:rStyle w:val="FootnoteReference"/>
                <w:rFonts w:ascii="Arial Black" w:hAnsi="Arial Black"/>
                <w:color w:val="000000"/>
                <w:sz w:val="16"/>
                <w:szCs w:val="16"/>
              </w:rPr>
              <w:footnoteReference w:id="6"/>
            </w:r>
          </w:p>
        </w:tc>
        <w:tc>
          <w:tcPr>
            <w:tcW w:w="410" w:type="pct"/>
            <w:shd w:val="clear" w:color="auto" w:fill="auto"/>
            <w:noWrap/>
            <w:vAlign w:val="center"/>
            <w:hideMark/>
          </w:tcPr>
          <w:p w14:paraId="59482AAC"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YES</w:t>
            </w:r>
          </w:p>
        </w:tc>
        <w:tc>
          <w:tcPr>
            <w:tcW w:w="410" w:type="pct"/>
            <w:shd w:val="clear" w:color="auto" w:fill="92D050"/>
            <w:vAlign w:val="center"/>
          </w:tcPr>
          <w:p w14:paraId="4099DD9A"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NO</w:t>
            </w:r>
          </w:p>
        </w:tc>
        <w:tc>
          <w:tcPr>
            <w:tcW w:w="411" w:type="pct"/>
            <w:vAlign w:val="center"/>
          </w:tcPr>
          <w:p w14:paraId="69D743F8"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025777EF"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70A0C272"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bookmarkStart w:id="12" w:name="_Ref30684669"/>
            <w:r>
              <w:rPr>
                <w:rStyle w:val="FootnoteReference"/>
                <w:rFonts w:ascii="Arial Black" w:hAnsi="Arial Black"/>
                <w:color w:val="000000"/>
                <w:sz w:val="16"/>
                <w:szCs w:val="16"/>
              </w:rPr>
              <w:footnoteReference w:id="7"/>
            </w:r>
            <w:bookmarkEnd w:id="12"/>
          </w:p>
        </w:tc>
        <w:tc>
          <w:tcPr>
            <w:tcW w:w="410" w:type="pct"/>
            <w:vAlign w:val="center"/>
          </w:tcPr>
          <w:p w14:paraId="62507937"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r w:rsidRPr="005C6050">
              <w:rPr>
                <w:rFonts w:ascii="Arial Black" w:hAnsi="Arial Black"/>
                <w:color w:val="000000"/>
                <w:sz w:val="16"/>
                <w:szCs w:val="16"/>
                <w:vertAlign w:val="superscript"/>
              </w:rPr>
              <w:fldChar w:fldCharType="begin"/>
            </w:r>
            <w:r w:rsidRPr="005C6050">
              <w:rPr>
                <w:rFonts w:ascii="Arial Black" w:hAnsi="Arial Black"/>
                <w:color w:val="000000"/>
                <w:sz w:val="16"/>
                <w:szCs w:val="16"/>
                <w:vertAlign w:val="superscript"/>
              </w:rPr>
              <w:instrText xml:space="preserve"> NOTEREF _Ref30684669 \h </w:instrText>
            </w:r>
            <w:r>
              <w:rPr>
                <w:rFonts w:ascii="Arial Black" w:hAnsi="Arial Black"/>
                <w:color w:val="000000"/>
                <w:sz w:val="16"/>
                <w:szCs w:val="16"/>
                <w:vertAlign w:val="superscript"/>
              </w:rPr>
              <w:instrText xml:space="preserve"> \* MERGEFORMAT </w:instrText>
            </w:r>
            <w:r w:rsidRPr="005C6050">
              <w:rPr>
                <w:rFonts w:ascii="Arial Black" w:hAnsi="Arial Black"/>
                <w:color w:val="000000"/>
                <w:sz w:val="16"/>
                <w:szCs w:val="16"/>
                <w:vertAlign w:val="superscript"/>
              </w:rPr>
            </w:r>
            <w:r w:rsidRPr="005C6050">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6</w:t>
            </w:r>
            <w:r w:rsidRPr="005C6050">
              <w:rPr>
                <w:rFonts w:ascii="Arial Black" w:hAnsi="Arial Black"/>
                <w:color w:val="000000"/>
                <w:sz w:val="16"/>
                <w:szCs w:val="16"/>
                <w:vertAlign w:val="superscript"/>
              </w:rPr>
              <w:fldChar w:fldCharType="end"/>
            </w:r>
          </w:p>
        </w:tc>
        <w:tc>
          <w:tcPr>
            <w:tcW w:w="411" w:type="pct"/>
            <w:shd w:val="clear" w:color="auto" w:fill="auto"/>
            <w:vAlign w:val="center"/>
          </w:tcPr>
          <w:p w14:paraId="44470FD1" w14:textId="77777777" w:rsidR="00457D66"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999" w:type="pct"/>
            <w:shd w:val="clear" w:color="auto" w:fill="92D050"/>
            <w:vAlign w:val="center"/>
          </w:tcPr>
          <w:p w14:paraId="7536A0C9"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NO</w:t>
            </w:r>
          </w:p>
        </w:tc>
      </w:tr>
      <w:tr w:rsidR="00457D66" w:rsidRPr="000A2851" w14:paraId="2F2A0D2B" w14:textId="77777777" w:rsidTr="00823417">
        <w:trPr>
          <w:cantSplit/>
          <w:trHeight w:val="315"/>
        </w:trPr>
        <w:tc>
          <w:tcPr>
            <w:tcW w:w="158" w:type="pct"/>
            <w:vMerge/>
            <w:vAlign w:val="center"/>
            <w:hideMark/>
          </w:tcPr>
          <w:p w14:paraId="1A9713E4" w14:textId="77777777" w:rsidR="00457D66" w:rsidRPr="00EE7ACF" w:rsidRDefault="00457D66" w:rsidP="00823417">
            <w:pPr>
              <w:rPr>
                <w:rFonts w:ascii="Arial Rounded MT Bold" w:hAnsi="Arial Rounded MT Bold"/>
                <w:color w:val="833C0C"/>
                <w:sz w:val="16"/>
                <w:szCs w:val="20"/>
              </w:rPr>
            </w:pPr>
          </w:p>
        </w:tc>
        <w:tc>
          <w:tcPr>
            <w:tcW w:w="560" w:type="pct"/>
            <w:shd w:val="clear" w:color="auto" w:fill="auto"/>
            <w:vAlign w:val="bottom"/>
            <w:hideMark/>
          </w:tcPr>
          <w:p w14:paraId="30E2CAC6" w14:textId="77777777" w:rsidR="00457D66" w:rsidRPr="00EE7ACF" w:rsidRDefault="00457D66" w:rsidP="00823417">
            <w:pPr>
              <w:rPr>
                <w:rFonts w:ascii="Calibri" w:hAnsi="Calibri"/>
                <w:color w:val="000000"/>
                <w:sz w:val="16"/>
                <w:szCs w:val="20"/>
              </w:rPr>
            </w:pPr>
            <w:r w:rsidRPr="00EE7ACF">
              <w:rPr>
                <w:rFonts w:ascii="Calibri" w:hAnsi="Calibri"/>
                <w:color w:val="000000"/>
                <w:sz w:val="16"/>
                <w:szCs w:val="20"/>
              </w:rPr>
              <w:t>Quarterly Stability Assessments</w:t>
            </w:r>
          </w:p>
        </w:tc>
        <w:tc>
          <w:tcPr>
            <w:tcW w:w="410" w:type="pct"/>
            <w:shd w:val="clear" w:color="auto" w:fill="auto"/>
            <w:noWrap/>
            <w:vAlign w:val="center"/>
            <w:hideMark/>
          </w:tcPr>
          <w:p w14:paraId="0789E992"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shd w:val="clear" w:color="auto" w:fill="FFFF00"/>
            <w:noWrap/>
            <w:vAlign w:val="center"/>
            <w:hideMark/>
          </w:tcPr>
          <w:p w14:paraId="50D23F22"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YES as needed</w:t>
            </w:r>
          </w:p>
        </w:tc>
        <w:tc>
          <w:tcPr>
            <w:tcW w:w="410" w:type="pct"/>
            <w:shd w:val="clear" w:color="auto" w:fill="92D050"/>
            <w:vAlign w:val="center"/>
          </w:tcPr>
          <w:p w14:paraId="2CCCE4ED"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NO</w:t>
            </w:r>
          </w:p>
        </w:tc>
        <w:tc>
          <w:tcPr>
            <w:tcW w:w="411" w:type="pct"/>
            <w:vAlign w:val="center"/>
          </w:tcPr>
          <w:p w14:paraId="4B772F50"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365EFA63"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74B87823"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63E5BE30"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1" w:type="pct"/>
            <w:shd w:val="clear" w:color="auto" w:fill="auto"/>
            <w:vAlign w:val="center"/>
          </w:tcPr>
          <w:p w14:paraId="7FBE31CB" w14:textId="77777777" w:rsidR="00457D66"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999" w:type="pct"/>
            <w:shd w:val="clear" w:color="auto" w:fill="92D050"/>
            <w:vAlign w:val="center"/>
          </w:tcPr>
          <w:p w14:paraId="3E892A56"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NO</w:t>
            </w:r>
          </w:p>
        </w:tc>
      </w:tr>
      <w:tr w:rsidR="00457D66" w:rsidRPr="00782377" w14:paraId="608F554D" w14:textId="77777777" w:rsidTr="00823417">
        <w:trPr>
          <w:trHeight w:val="315"/>
        </w:trPr>
        <w:tc>
          <w:tcPr>
            <w:tcW w:w="158" w:type="pct"/>
            <w:vMerge w:val="restart"/>
            <w:shd w:val="clear" w:color="auto" w:fill="auto"/>
            <w:textDirection w:val="btLr"/>
            <w:vAlign w:val="center"/>
            <w:hideMark/>
          </w:tcPr>
          <w:p w14:paraId="7B4801FC" w14:textId="77777777" w:rsidR="00457D66" w:rsidRPr="00EE7ACF" w:rsidRDefault="00457D66" w:rsidP="00823417">
            <w:pPr>
              <w:jc w:val="center"/>
              <w:rPr>
                <w:rFonts w:ascii="Arial Rounded MT Bold" w:hAnsi="Arial Rounded MT Bold"/>
                <w:color w:val="806000"/>
                <w:sz w:val="16"/>
                <w:szCs w:val="20"/>
              </w:rPr>
            </w:pPr>
            <w:r w:rsidRPr="00EE7ACF">
              <w:rPr>
                <w:rFonts w:ascii="Arial Rounded MT Bold" w:hAnsi="Arial Rounded MT Bold"/>
                <w:color w:val="806000"/>
                <w:sz w:val="16"/>
                <w:szCs w:val="20"/>
              </w:rPr>
              <w:t>Registration and Modeling</w:t>
            </w:r>
          </w:p>
        </w:tc>
        <w:tc>
          <w:tcPr>
            <w:tcW w:w="560" w:type="pct"/>
            <w:shd w:val="clear" w:color="auto" w:fill="auto"/>
            <w:vAlign w:val="center"/>
            <w:hideMark/>
          </w:tcPr>
          <w:p w14:paraId="148118CF" w14:textId="77777777" w:rsidR="00457D66" w:rsidRPr="00EE7ACF" w:rsidRDefault="00457D66" w:rsidP="00823417">
            <w:pPr>
              <w:jc w:val="center"/>
              <w:rPr>
                <w:rFonts w:ascii="Calibri" w:hAnsi="Calibri"/>
                <w:color w:val="000000"/>
                <w:sz w:val="16"/>
                <w:szCs w:val="20"/>
              </w:rPr>
            </w:pPr>
            <w:r w:rsidRPr="00EE7ACF">
              <w:rPr>
                <w:rFonts w:ascii="Calibri" w:hAnsi="Calibri"/>
                <w:color w:val="000000"/>
                <w:sz w:val="16"/>
                <w:szCs w:val="20"/>
              </w:rPr>
              <w:t>RE Registration</w:t>
            </w:r>
          </w:p>
        </w:tc>
        <w:tc>
          <w:tcPr>
            <w:tcW w:w="410" w:type="pct"/>
            <w:shd w:val="clear" w:color="auto" w:fill="92D050"/>
            <w:noWrap/>
            <w:vAlign w:val="center"/>
          </w:tcPr>
          <w:p w14:paraId="37A18535" w14:textId="77777777" w:rsidR="00457D66" w:rsidRPr="00782377" w:rsidRDefault="00457D66" w:rsidP="00823417">
            <w:pPr>
              <w:jc w:val="center"/>
              <w:rPr>
                <w:rFonts w:ascii="Arial Black" w:hAnsi="Arial Black"/>
                <w:color w:val="000000"/>
                <w:sz w:val="16"/>
                <w:szCs w:val="16"/>
              </w:rPr>
            </w:pPr>
            <w:r>
              <w:rPr>
                <w:rFonts w:ascii="Arial Black" w:hAnsi="Arial Black"/>
                <w:color w:val="000000"/>
                <w:sz w:val="16"/>
                <w:szCs w:val="16"/>
              </w:rPr>
              <w:t>NO</w:t>
            </w:r>
            <w:bookmarkStart w:id="13" w:name="_Ref31632194"/>
            <w:r>
              <w:rPr>
                <w:rStyle w:val="FootnoteReference"/>
                <w:rFonts w:ascii="Arial Black" w:hAnsi="Arial Black"/>
                <w:color w:val="000000"/>
                <w:sz w:val="16"/>
                <w:szCs w:val="16"/>
              </w:rPr>
              <w:footnoteReference w:id="8"/>
            </w:r>
            <w:bookmarkEnd w:id="13"/>
          </w:p>
        </w:tc>
        <w:tc>
          <w:tcPr>
            <w:tcW w:w="410" w:type="pct"/>
            <w:shd w:val="clear" w:color="auto" w:fill="92D050"/>
            <w:noWrap/>
            <w:vAlign w:val="center"/>
          </w:tcPr>
          <w:p w14:paraId="4A800B15" w14:textId="77777777" w:rsidR="00457D66" w:rsidRPr="00782377" w:rsidRDefault="00457D66" w:rsidP="00823417">
            <w:pPr>
              <w:jc w:val="center"/>
              <w:rPr>
                <w:rFonts w:ascii="Arial Black" w:hAnsi="Arial Black"/>
                <w:color w:val="000000"/>
                <w:sz w:val="16"/>
                <w:szCs w:val="16"/>
              </w:rPr>
            </w:pPr>
            <w:r>
              <w:rPr>
                <w:rFonts w:ascii="Arial Black" w:hAnsi="Arial Black"/>
                <w:color w:val="000000"/>
                <w:sz w:val="16"/>
                <w:szCs w:val="16"/>
              </w:rPr>
              <w:t>NO</w:t>
            </w:r>
            <w:r w:rsidRPr="00D03E07">
              <w:rPr>
                <w:rFonts w:ascii="Arial Black" w:hAnsi="Arial Black"/>
                <w:color w:val="000000"/>
                <w:sz w:val="16"/>
                <w:szCs w:val="16"/>
                <w:vertAlign w:val="superscript"/>
              </w:rPr>
              <w:fldChar w:fldCharType="begin"/>
            </w:r>
            <w:r w:rsidRPr="00D03E07">
              <w:rPr>
                <w:rFonts w:ascii="Arial Black" w:hAnsi="Arial Black"/>
                <w:color w:val="000000"/>
                <w:sz w:val="16"/>
                <w:szCs w:val="16"/>
                <w:vertAlign w:val="superscript"/>
              </w:rPr>
              <w:instrText xml:space="preserve"> NOTEREF _Ref31632194 \h </w:instrText>
            </w:r>
            <w:r w:rsidRPr="00D03E07">
              <w:rPr>
                <w:rFonts w:ascii="Arial Black" w:hAnsi="Arial Black"/>
                <w:color w:val="000000"/>
                <w:sz w:val="16"/>
                <w:szCs w:val="16"/>
                <w:vertAlign w:val="superscript"/>
              </w:rPr>
            </w:r>
            <w:r w:rsidRPr="00D03E07">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7</w:t>
            </w:r>
            <w:r w:rsidRPr="00D03E07">
              <w:rPr>
                <w:rFonts w:ascii="Arial Black" w:hAnsi="Arial Black"/>
                <w:color w:val="000000"/>
                <w:sz w:val="16"/>
                <w:szCs w:val="16"/>
                <w:vertAlign w:val="superscript"/>
              </w:rPr>
              <w:fldChar w:fldCharType="end"/>
            </w:r>
          </w:p>
        </w:tc>
        <w:tc>
          <w:tcPr>
            <w:tcW w:w="410" w:type="pct"/>
            <w:shd w:val="clear" w:color="auto" w:fill="92D050"/>
            <w:vAlign w:val="center"/>
          </w:tcPr>
          <w:p w14:paraId="2D3613C0" w14:textId="77777777" w:rsidR="00457D66" w:rsidRPr="00782377" w:rsidRDefault="00457D66" w:rsidP="00823417">
            <w:pPr>
              <w:jc w:val="center"/>
              <w:rPr>
                <w:rFonts w:ascii="Arial Black" w:hAnsi="Arial Black"/>
                <w:color w:val="000000"/>
                <w:sz w:val="16"/>
                <w:szCs w:val="16"/>
              </w:rPr>
            </w:pPr>
            <w:r>
              <w:rPr>
                <w:rFonts w:ascii="Arial Black" w:hAnsi="Arial Black"/>
                <w:color w:val="000000"/>
                <w:sz w:val="16"/>
                <w:szCs w:val="16"/>
              </w:rPr>
              <w:t>NO</w:t>
            </w:r>
            <w:r w:rsidRPr="00D03E07">
              <w:rPr>
                <w:rFonts w:ascii="Arial Black" w:hAnsi="Arial Black"/>
                <w:color w:val="000000"/>
                <w:sz w:val="16"/>
                <w:szCs w:val="16"/>
                <w:vertAlign w:val="superscript"/>
              </w:rPr>
              <w:fldChar w:fldCharType="begin"/>
            </w:r>
            <w:r w:rsidRPr="00D03E07">
              <w:rPr>
                <w:rFonts w:ascii="Arial Black" w:hAnsi="Arial Black"/>
                <w:color w:val="000000"/>
                <w:sz w:val="16"/>
                <w:szCs w:val="16"/>
                <w:vertAlign w:val="superscript"/>
              </w:rPr>
              <w:instrText xml:space="preserve"> NOTEREF _Ref31632194 \h </w:instrText>
            </w:r>
            <w:r w:rsidRPr="00D03E07">
              <w:rPr>
                <w:rFonts w:ascii="Arial Black" w:hAnsi="Arial Black"/>
                <w:color w:val="000000"/>
                <w:sz w:val="16"/>
                <w:szCs w:val="16"/>
                <w:vertAlign w:val="superscript"/>
              </w:rPr>
            </w:r>
            <w:r w:rsidRPr="00D03E07">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7</w:t>
            </w:r>
            <w:r w:rsidRPr="00D03E07">
              <w:rPr>
                <w:rFonts w:ascii="Arial Black" w:hAnsi="Arial Black"/>
                <w:color w:val="000000"/>
                <w:sz w:val="16"/>
                <w:szCs w:val="16"/>
                <w:vertAlign w:val="superscript"/>
              </w:rPr>
              <w:fldChar w:fldCharType="end"/>
            </w:r>
          </w:p>
        </w:tc>
        <w:tc>
          <w:tcPr>
            <w:tcW w:w="411" w:type="pct"/>
            <w:vAlign w:val="center"/>
          </w:tcPr>
          <w:p w14:paraId="0EA06E8A"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3BBD6A0B"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6C99ED87"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683A4376"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1" w:type="pct"/>
            <w:vAlign w:val="center"/>
          </w:tcPr>
          <w:p w14:paraId="1E3AE39B" w14:textId="77777777" w:rsidR="00457D66" w:rsidRPr="000A2851"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r w:rsidRPr="00D03E07">
              <w:rPr>
                <w:rFonts w:ascii="Arial Black" w:hAnsi="Arial Black"/>
                <w:color w:val="000000"/>
                <w:sz w:val="16"/>
                <w:szCs w:val="16"/>
                <w:vertAlign w:val="superscript"/>
              </w:rPr>
              <w:fldChar w:fldCharType="begin"/>
            </w:r>
            <w:r w:rsidRPr="00D03E07">
              <w:rPr>
                <w:rFonts w:ascii="Arial Black" w:hAnsi="Arial Black"/>
                <w:color w:val="000000"/>
                <w:sz w:val="16"/>
                <w:szCs w:val="16"/>
                <w:vertAlign w:val="superscript"/>
              </w:rPr>
              <w:instrText xml:space="preserve"> NOTEREF _Ref31094222 \h  \* MERGEFORMAT </w:instrText>
            </w:r>
            <w:r w:rsidRPr="00D03E07">
              <w:rPr>
                <w:rFonts w:ascii="Arial Black" w:hAnsi="Arial Black"/>
                <w:color w:val="000000"/>
                <w:sz w:val="16"/>
                <w:szCs w:val="16"/>
                <w:vertAlign w:val="superscript"/>
              </w:rPr>
            </w:r>
            <w:r w:rsidRPr="00D03E07">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1</w:t>
            </w:r>
            <w:r w:rsidRPr="00D03E07">
              <w:rPr>
                <w:rFonts w:ascii="Arial Black" w:hAnsi="Arial Black"/>
                <w:color w:val="000000"/>
                <w:sz w:val="16"/>
                <w:szCs w:val="16"/>
                <w:vertAlign w:val="superscript"/>
              </w:rPr>
              <w:fldChar w:fldCharType="end"/>
            </w:r>
          </w:p>
        </w:tc>
        <w:tc>
          <w:tcPr>
            <w:tcW w:w="999" w:type="pct"/>
            <w:vAlign w:val="center"/>
          </w:tcPr>
          <w:p w14:paraId="543A6DB3" w14:textId="77777777" w:rsidR="00457D66" w:rsidRPr="00782377"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r>
      <w:tr w:rsidR="00457D66" w:rsidRPr="00782377" w14:paraId="51979C47" w14:textId="77777777" w:rsidTr="00823417">
        <w:trPr>
          <w:cantSplit/>
          <w:trHeight w:val="315"/>
        </w:trPr>
        <w:tc>
          <w:tcPr>
            <w:tcW w:w="158" w:type="pct"/>
            <w:vMerge/>
            <w:shd w:val="clear" w:color="auto" w:fill="auto"/>
            <w:vAlign w:val="center"/>
            <w:hideMark/>
          </w:tcPr>
          <w:p w14:paraId="75C84CAD" w14:textId="77777777" w:rsidR="00457D66" w:rsidRPr="00EE7ACF" w:rsidRDefault="00457D66" w:rsidP="00823417">
            <w:pPr>
              <w:jc w:val="center"/>
              <w:rPr>
                <w:rFonts w:ascii="Arial Rounded MT Bold" w:hAnsi="Arial Rounded MT Bold"/>
                <w:color w:val="806000"/>
                <w:sz w:val="16"/>
                <w:szCs w:val="20"/>
              </w:rPr>
            </w:pPr>
          </w:p>
        </w:tc>
        <w:tc>
          <w:tcPr>
            <w:tcW w:w="560" w:type="pct"/>
            <w:shd w:val="clear" w:color="auto" w:fill="auto"/>
            <w:vAlign w:val="center"/>
            <w:hideMark/>
          </w:tcPr>
          <w:p w14:paraId="203283A8" w14:textId="77777777" w:rsidR="00457D66" w:rsidRPr="00EE7ACF" w:rsidRDefault="00457D66" w:rsidP="00823417">
            <w:pPr>
              <w:jc w:val="center"/>
              <w:rPr>
                <w:rFonts w:ascii="Calibri" w:hAnsi="Calibri"/>
                <w:color w:val="000000"/>
                <w:sz w:val="16"/>
                <w:szCs w:val="20"/>
              </w:rPr>
            </w:pPr>
            <w:r w:rsidRPr="00EE7ACF">
              <w:rPr>
                <w:rFonts w:ascii="Calibri" w:hAnsi="Calibri"/>
                <w:color w:val="000000"/>
                <w:sz w:val="16"/>
                <w:szCs w:val="20"/>
              </w:rPr>
              <w:t>RARF</w:t>
            </w:r>
            <w:r>
              <w:rPr>
                <w:rFonts w:ascii="Calibri" w:hAnsi="Calibri"/>
                <w:color w:val="000000"/>
                <w:sz w:val="16"/>
                <w:szCs w:val="20"/>
              </w:rPr>
              <w:t>/RIOO</w:t>
            </w:r>
          </w:p>
        </w:tc>
        <w:tc>
          <w:tcPr>
            <w:tcW w:w="410" w:type="pct"/>
            <w:shd w:val="clear" w:color="auto" w:fill="auto"/>
            <w:noWrap/>
            <w:vAlign w:val="center"/>
            <w:hideMark/>
          </w:tcPr>
          <w:p w14:paraId="4CF192C8"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r w:rsidRPr="00BB6B80">
              <w:rPr>
                <w:rFonts w:ascii="Arial Black" w:hAnsi="Arial Black"/>
                <w:color w:val="000000"/>
                <w:sz w:val="16"/>
                <w:szCs w:val="16"/>
                <w:vertAlign w:val="superscript"/>
              </w:rPr>
              <w:fldChar w:fldCharType="begin"/>
            </w:r>
            <w:r w:rsidRPr="00BB6B80">
              <w:rPr>
                <w:rFonts w:ascii="Arial Black" w:hAnsi="Arial Black"/>
                <w:color w:val="000000"/>
                <w:sz w:val="16"/>
                <w:szCs w:val="16"/>
                <w:vertAlign w:val="superscript"/>
              </w:rPr>
              <w:instrText xml:space="preserve"> NOTEREF _Ref32828919 \h </w:instrText>
            </w:r>
            <w:r w:rsidRPr="00BB6B80">
              <w:rPr>
                <w:rFonts w:ascii="Arial Black" w:hAnsi="Arial Black"/>
                <w:color w:val="000000"/>
                <w:sz w:val="16"/>
                <w:szCs w:val="16"/>
                <w:vertAlign w:val="superscript"/>
              </w:rPr>
            </w:r>
            <w:r w:rsidRPr="00BB6B80">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5</w:t>
            </w:r>
            <w:r w:rsidRPr="00BB6B80">
              <w:rPr>
                <w:rFonts w:ascii="Arial Black" w:hAnsi="Arial Black"/>
                <w:color w:val="000000"/>
                <w:sz w:val="16"/>
                <w:szCs w:val="16"/>
                <w:vertAlign w:val="superscript"/>
              </w:rPr>
              <w:fldChar w:fldCharType="end"/>
            </w:r>
          </w:p>
        </w:tc>
        <w:tc>
          <w:tcPr>
            <w:tcW w:w="410" w:type="pct"/>
            <w:shd w:val="clear" w:color="auto" w:fill="auto"/>
            <w:noWrap/>
            <w:vAlign w:val="center"/>
            <w:hideMark/>
          </w:tcPr>
          <w:p w14:paraId="6A98D8D2"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r w:rsidRPr="00BB6B80">
              <w:rPr>
                <w:rFonts w:ascii="Arial Black" w:hAnsi="Arial Black"/>
                <w:color w:val="000000"/>
                <w:sz w:val="16"/>
                <w:szCs w:val="16"/>
                <w:vertAlign w:val="superscript"/>
              </w:rPr>
              <w:fldChar w:fldCharType="begin"/>
            </w:r>
            <w:r w:rsidRPr="00BB6B80">
              <w:rPr>
                <w:rFonts w:ascii="Arial Black" w:hAnsi="Arial Black"/>
                <w:color w:val="000000"/>
                <w:sz w:val="16"/>
                <w:szCs w:val="16"/>
                <w:vertAlign w:val="superscript"/>
              </w:rPr>
              <w:instrText xml:space="preserve"> NOTEREF _Ref32828919 \h </w:instrText>
            </w:r>
            <w:r w:rsidRPr="00BB6B80">
              <w:rPr>
                <w:rFonts w:ascii="Arial Black" w:hAnsi="Arial Black"/>
                <w:color w:val="000000"/>
                <w:sz w:val="16"/>
                <w:szCs w:val="16"/>
                <w:vertAlign w:val="superscript"/>
              </w:rPr>
            </w:r>
            <w:r w:rsidRPr="00BB6B80">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5</w:t>
            </w:r>
            <w:r w:rsidRPr="00BB6B80">
              <w:rPr>
                <w:rFonts w:ascii="Arial Black" w:hAnsi="Arial Black"/>
                <w:color w:val="000000"/>
                <w:sz w:val="16"/>
                <w:szCs w:val="16"/>
                <w:vertAlign w:val="superscript"/>
              </w:rPr>
              <w:fldChar w:fldCharType="end"/>
            </w:r>
          </w:p>
        </w:tc>
        <w:tc>
          <w:tcPr>
            <w:tcW w:w="410" w:type="pct"/>
            <w:vAlign w:val="center"/>
          </w:tcPr>
          <w:p w14:paraId="04C2EC26" w14:textId="77777777" w:rsidR="00457D66" w:rsidRPr="00782377" w:rsidRDefault="00457D66" w:rsidP="00823417">
            <w:pPr>
              <w:jc w:val="center"/>
              <w:rPr>
                <w:rFonts w:ascii="Arial Black" w:hAnsi="Arial Black"/>
                <w:color w:val="000000"/>
                <w:sz w:val="16"/>
                <w:szCs w:val="16"/>
              </w:rPr>
            </w:pPr>
            <w:r>
              <w:rPr>
                <w:rFonts w:ascii="Arial Black" w:hAnsi="Arial Black"/>
                <w:color w:val="000000"/>
                <w:sz w:val="16"/>
                <w:szCs w:val="16"/>
              </w:rPr>
              <w:t>YES</w:t>
            </w:r>
          </w:p>
        </w:tc>
        <w:tc>
          <w:tcPr>
            <w:tcW w:w="411" w:type="pct"/>
            <w:vAlign w:val="center"/>
          </w:tcPr>
          <w:p w14:paraId="44EA2AF2"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667E6825"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1A6E324E"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108C8C2B"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r w:rsidRPr="00BB6B80">
              <w:rPr>
                <w:rFonts w:ascii="Arial Black" w:hAnsi="Arial Black"/>
                <w:color w:val="000000"/>
                <w:sz w:val="16"/>
                <w:szCs w:val="16"/>
                <w:vertAlign w:val="superscript"/>
              </w:rPr>
              <w:fldChar w:fldCharType="begin"/>
            </w:r>
            <w:r w:rsidRPr="00BB6B80">
              <w:rPr>
                <w:rFonts w:ascii="Arial Black" w:hAnsi="Arial Black"/>
                <w:color w:val="000000"/>
                <w:sz w:val="16"/>
                <w:szCs w:val="16"/>
                <w:vertAlign w:val="superscript"/>
              </w:rPr>
              <w:instrText xml:space="preserve"> NOTEREF _Ref31632228 \h </w:instrText>
            </w:r>
            <w:r>
              <w:rPr>
                <w:rFonts w:ascii="Arial Black" w:hAnsi="Arial Black"/>
                <w:color w:val="000000"/>
                <w:sz w:val="16"/>
                <w:szCs w:val="16"/>
                <w:vertAlign w:val="superscript"/>
              </w:rPr>
              <w:instrText xml:space="preserve"> \* MERGEFORMAT </w:instrText>
            </w:r>
            <w:r w:rsidRPr="00BB6B80">
              <w:rPr>
                <w:rFonts w:ascii="Arial Black" w:hAnsi="Arial Black"/>
                <w:color w:val="000000"/>
                <w:sz w:val="16"/>
                <w:szCs w:val="16"/>
                <w:vertAlign w:val="superscript"/>
              </w:rPr>
            </w:r>
            <w:r w:rsidRPr="00BB6B80">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9</w:t>
            </w:r>
            <w:r w:rsidRPr="00BB6B80">
              <w:rPr>
                <w:rFonts w:ascii="Arial Black" w:hAnsi="Arial Black"/>
                <w:color w:val="000000"/>
                <w:sz w:val="16"/>
                <w:szCs w:val="16"/>
                <w:vertAlign w:val="superscript"/>
              </w:rPr>
              <w:fldChar w:fldCharType="end"/>
            </w:r>
          </w:p>
        </w:tc>
        <w:tc>
          <w:tcPr>
            <w:tcW w:w="411" w:type="pct"/>
            <w:vAlign w:val="center"/>
          </w:tcPr>
          <w:p w14:paraId="7AE9F914" w14:textId="77777777" w:rsidR="00457D66" w:rsidRPr="000A2851"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r w:rsidRPr="0043214A">
              <w:rPr>
                <w:rFonts w:ascii="Arial Black" w:hAnsi="Arial Black"/>
                <w:color w:val="000000"/>
                <w:sz w:val="16"/>
                <w:szCs w:val="16"/>
                <w:vertAlign w:val="superscript"/>
              </w:rPr>
              <w:fldChar w:fldCharType="begin"/>
            </w:r>
            <w:r w:rsidRPr="0043214A">
              <w:rPr>
                <w:rFonts w:ascii="Arial Black" w:hAnsi="Arial Black"/>
                <w:color w:val="000000"/>
                <w:sz w:val="16"/>
                <w:szCs w:val="16"/>
                <w:vertAlign w:val="superscript"/>
              </w:rPr>
              <w:instrText xml:space="preserve"> NOTEREF _Ref32828919 \h </w:instrText>
            </w:r>
            <w:r w:rsidRPr="0043214A">
              <w:rPr>
                <w:rFonts w:ascii="Arial Black" w:hAnsi="Arial Black"/>
                <w:color w:val="000000"/>
                <w:sz w:val="16"/>
                <w:szCs w:val="16"/>
                <w:vertAlign w:val="superscript"/>
              </w:rPr>
            </w:r>
            <w:r w:rsidRPr="0043214A">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5</w:t>
            </w:r>
            <w:r w:rsidRPr="0043214A">
              <w:rPr>
                <w:rFonts w:ascii="Arial Black" w:hAnsi="Arial Black"/>
                <w:color w:val="000000"/>
                <w:sz w:val="16"/>
                <w:szCs w:val="16"/>
                <w:vertAlign w:val="superscript"/>
              </w:rPr>
              <w:fldChar w:fldCharType="end"/>
            </w:r>
          </w:p>
        </w:tc>
        <w:tc>
          <w:tcPr>
            <w:tcW w:w="999" w:type="pct"/>
            <w:vAlign w:val="center"/>
          </w:tcPr>
          <w:p w14:paraId="7D055B97" w14:textId="77777777" w:rsidR="00457D66" w:rsidRPr="00782377"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r>
      <w:tr w:rsidR="00457D66" w:rsidRPr="00782377" w14:paraId="39337901" w14:textId="77777777" w:rsidTr="00823417">
        <w:trPr>
          <w:cantSplit/>
          <w:trHeight w:val="315"/>
        </w:trPr>
        <w:tc>
          <w:tcPr>
            <w:tcW w:w="158" w:type="pct"/>
            <w:vMerge/>
            <w:shd w:val="clear" w:color="auto" w:fill="auto"/>
            <w:vAlign w:val="center"/>
            <w:hideMark/>
          </w:tcPr>
          <w:p w14:paraId="40532357" w14:textId="77777777" w:rsidR="00457D66" w:rsidRPr="00EE7ACF" w:rsidRDefault="00457D66" w:rsidP="00823417">
            <w:pPr>
              <w:jc w:val="center"/>
              <w:rPr>
                <w:rFonts w:ascii="Arial Rounded MT Bold" w:hAnsi="Arial Rounded MT Bold"/>
                <w:color w:val="806000"/>
                <w:sz w:val="16"/>
                <w:szCs w:val="20"/>
              </w:rPr>
            </w:pPr>
          </w:p>
        </w:tc>
        <w:tc>
          <w:tcPr>
            <w:tcW w:w="560" w:type="pct"/>
            <w:shd w:val="clear" w:color="auto" w:fill="auto"/>
            <w:vAlign w:val="center"/>
            <w:hideMark/>
          </w:tcPr>
          <w:p w14:paraId="507F8863" w14:textId="77777777" w:rsidR="00457D66" w:rsidRPr="00EE7ACF" w:rsidRDefault="00457D66" w:rsidP="00823417">
            <w:pPr>
              <w:jc w:val="center"/>
              <w:rPr>
                <w:rFonts w:ascii="Calibri" w:hAnsi="Calibri"/>
                <w:color w:val="000000"/>
                <w:sz w:val="16"/>
                <w:szCs w:val="20"/>
              </w:rPr>
            </w:pPr>
            <w:r w:rsidRPr="00EE7ACF">
              <w:rPr>
                <w:rFonts w:ascii="Calibri" w:hAnsi="Calibri"/>
                <w:color w:val="000000"/>
                <w:sz w:val="16"/>
                <w:szCs w:val="20"/>
              </w:rPr>
              <w:t>Network Modeling Requirements</w:t>
            </w:r>
          </w:p>
        </w:tc>
        <w:tc>
          <w:tcPr>
            <w:tcW w:w="410" w:type="pct"/>
            <w:shd w:val="clear" w:color="auto" w:fill="auto"/>
            <w:noWrap/>
            <w:vAlign w:val="center"/>
            <w:hideMark/>
          </w:tcPr>
          <w:p w14:paraId="47A01841"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r w:rsidRPr="00BB6B80">
              <w:rPr>
                <w:rFonts w:ascii="Arial Black" w:hAnsi="Arial Black"/>
                <w:color w:val="000000"/>
                <w:sz w:val="16"/>
                <w:szCs w:val="16"/>
                <w:vertAlign w:val="superscript"/>
              </w:rPr>
              <w:fldChar w:fldCharType="begin"/>
            </w:r>
            <w:r w:rsidRPr="00BB6B80">
              <w:rPr>
                <w:rFonts w:ascii="Arial Black" w:hAnsi="Arial Black"/>
                <w:color w:val="000000"/>
                <w:sz w:val="16"/>
                <w:szCs w:val="16"/>
                <w:vertAlign w:val="superscript"/>
              </w:rPr>
              <w:instrText xml:space="preserve"> NOTEREF _Ref32828919 \h </w:instrText>
            </w:r>
            <w:r>
              <w:rPr>
                <w:rFonts w:ascii="Arial Black" w:hAnsi="Arial Black"/>
                <w:color w:val="000000"/>
                <w:sz w:val="16"/>
                <w:szCs w:val="16"/>
                <w:vertAlign w:val="superscript"/>
              </w:rPr>
              <w:instrText xml:space="preserve"> \* MERGEFORMAT </w:instrText>
            </w:r>
            <w:r w:rsidRPr="00BB6B80">
              <w:rPr>
                <w:rFonts w:ascii="Arial Black" w:hAnsi="Arial Black"/>
                <w:color w:val="000000"/>
                <w:sz w:val="16"/>
                <w:szCs w:val="16"/>
                <w:vertAlign w:val="superscript"/>
              </w:rPr>
            </w:r>
            <w:r w:rsidRPr="00BB6B80">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5</w:t>
            </w:r>
            <w:r w:rsidRPr="00BB6B80">
              <w:rPr>
                <w:rFonts w:ascii="Arial Black" w:hAnsi="Arial Black"/>
                <w:color w:val="000000"/>
                <w:sz w:val="16"/>
                <w:szCs w:val="16"/>
                <w:vertAlign w:val="superscript"/>
              </w:rPr>
              <w:fldChar w:fldCharType="end"/>
            </w:r>
          </w:p>
        </w:tc>
        <w:tc>
          <w:tcPr>
            <w:tcW w:w="410" w:type="pct"/>
            <w:shd w:val="clear" w:color="auto" w:fill="auto"/>
            <w:noWrap/>
            <w:vAlign w:val="center"/>
            <w:hideMark/>
          </w:tcPr>
          <w:p w14:paraId="63CF4ABB"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r w:rsidRPr="00BB6B80">
              <w:rPr>
                <w:rFonts w:ascii="Arial Black" w:hAnsi="Arial Black"/>
                <w:color w:val="000000"/>
                <w:sz w:val="16"/>
                <w:szCs w:val="16"/>
                <w:vertAlign w:val="superscript"/>
              </w:rPr>
              <w:fldChar w:fldCharType="begin"/>
            </w:r>
            <w:r w:rsidRPr="00BB6B80">
              <w:rPr>
                <w:rFonts w:ascii="Arial Black" w:hAnsi="Arial Black"/>
                <w:color w:val="000000"/>
                <w:sz w:val="16"/>
                <w:szCs w:val="16"/>
                <w:vertAlign w:val="superscript"/>
              </w:rPr>
              <w:instrText xml:space="preserve"> NOTEREF _Ref32828919 \h </w:instrText>
            </w:r>
            <w:r>
              <w:rPr>
                <w:rFonts w:ascii="Arial Black" w:hAnsi="Arial Black"/>
                <w:color w:val="000000"/>
                <w:sz w:val="16"/>
                <w:szCs w:val="16"/>
                <w:vertAlign w:val="superscript"/>
              </w:rPr>
              <w:instrText xml:space="preserve"> \* MERGEFORMAT </w:instrText>
            </w:r>
            <w:r w:rsidRPr="00BB6B80">
              <w:rPr>
                <w:rFonts w:ascii="Arial Black" w:hAnsi="Arial Black"/>
                <w:color w:val="000000"/>
                <w:sz w:val="16"/>
                <w:szCs w:val="16"/>
                <w:vertAlign w:val="superscript"/>
              </w:rPr>
            </w:r>
            <w:r w:rsidRPr="00BB6B80">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5</w:t>
            </w:r>
            <w:r w:rsidRPr="00BB6B80">
              <w:rPr>
                <w:rFonts w:ascii="Arial Black" w:hAnsi="Arial Black"/>
                <w:color w:val="000000"/>
                <w:sz w:val="16"/>
                <w:szCs w:val="16"/>
                <w:vertAlign w:val="superscript"/>
              </w:rPr>
              <w:fldChar w:fldCharType="end"/>
            </w:r>
          </w:p>
        </w:tc>
        <w:tc>
          <w:tcPr>
            <w:tcW w:w="410" w:type="pct"/>
            <w:vAlign w:val="center"/>
          </w:tcPr>
          <w:p w14:paraId="2272CEF6" w14:textId="77777777" w:rsidR="00457D66" w:rsidRPr="00782377" w:rsidRDefault="00457D66" w:rsidP="00823417">
            <w:pPr>
              <w:jc w:val="center"/>
              <w:rPr>
                <w:rFonts w:ascii="Arial Black" w:hAnsi="Arial Black"/>
                <w:color w:val="000000"/>
                <w:sz w:val="16"/>
                <w:szCs w:val="16"/>
              </w:rPr>
            </w:pPr>
            <w:r>
              <w:rPr>
                <w:rFonts w:ascii="Arial Black" w:hAnsi="Arial Black"/>
                <w:color w:val="000000"/>
                <w:sz w:val="16"/>
                <w:szCs w:val="16"/>
              </w:rPr>
              <w:t>YES</w:t>
            </w:r>
            <w:r>
              <w:rPr>
                <w:rStyle w:val="FootnoteReference"/>
                <w:rFonts w:ascii="Arial Black" w:hAnsi="Arial Black"/>
                <w:color w:val="000000"/>
                <w:sz w:val="16"/>
                <w:szCs w:val="16"/>
              </w:rPr>
              <w:footnoteReference w:id="9"/>
            </w:r>
          </w:p>
        </w:tc>
        <w:tc>
          <w:tcPr>
            <w:tcW w:w="411" w:type="pct"/>
            <w:vAlign w:val="center"/>
          </w:tcPr>
          <w:p w14:paraId="297A83D8"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5C20AC17"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6C76D827"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bookmarkStart w:id="14" w:name="_Ref31632228"/>
            <w:r>
              <w:rPr>
                <w:rStyle w:val="FootnoteReference"/>
                <w:rFonts w:ascii="Arial Black" w:hAnsi="Arial Black"/>
                <w:color w:val="000000"/>
                <w:sz w:val="16"/>
                <w:szCs w:val="16"/>
              </w:rPr>
              <w:footnoteReference w:id="10"/>
            </w:r>
            <w:bookmarkEnd w:id="14"/>
          </w:p>
        </w:tc>
        <w:tc>
          <w:tcPr>
            <w:tcW w:w="410" w:type="pct"/>
            <w:vAlign w:val="center"/>
          </w:tcPr>
          <w:p w14:paraId="264F3C4B"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r w:rsidRPr="00D03E07">
              <w:rPr>
                <w:rFonts w:ascii="Arial Black" w:hAnsi="Arial Black"/>
                <w:color w:val="000000"/>
                <w:sz w:val="16"/>
                <w:szCs w:val="16"/>
                <w:vertAlign w:val="superscript"/>
              </w:rPr>
              <w:fldChar w:fldCharType="begin"/>
            </w:r>
            <w:r w:rsidRPr="00D03E07">
              <w:rPr>
                <w:rFonts w:ascii="Arial Black" w:hAnsi="Arial Black"/>
                <w:color w:val="000000"/>
                <w:sz w:val="16"/>
                <w:szCs w:val="16"/>
                <w:vertAlign w:val="superscript"/>
              </w:rPr>
              <w:instrText xml:space="preserve"> NOTEREF _Ref31632228 \h  \* MERGEFORMAT </w:instrText>
            </w:r>
            <w:r w:rsidRPr="00D03E07">
              <w:rPr>
                <w:rFonts w:ascii="Arial Black" w:hAnsi="Arial Black"/>
                <w:color w:val="000000"/>
                <w:sz w:val="16"/>
                <w:szCs w:val="16"/>
                <w:vertAlign w:val="superscript"/>
              </w:rPr>
            </w:r>
            <w:r w:rsidRPr="00D03E07">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9</w:t>
            </w:r>
            <w:r w:rsidRPr="00D03E07">
              <w:rPr>
                <w:rFonts w:ascii="Arial Black" w:hAnsi="Arial Black"/>
                <w:color w:val="000000"/>
                <w:sz w:val="16"/>
                <w:szCs w:val="16"/>
                <w:vertAlign w:val="superscript"/>
              </w:rPr>
              <w:fldChar w:fldCharType="end"/>
            </w:r>
          </w:p>
        </w:tc>
        <w:tc>
          <w:tcPr>
            <w:tcW w:w="411" w:type="pct"/>
            <w:vAlign w:val="center"/>
          </w:tcPr>
          <w:p w14:paraId="48C8C0EB" w14:textId="77777777" w:rsidR="00457D66" w:rsidRPr="000A2851"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r w:rsidRPr="0043214A">
              <w:rPr>
                <w:rFonts w:ascii="Arial Black" w:hAnsi="Arial Black"/>
                <w:color w:val="000000"/>
                <w:sz w:val="16"/>
                <w:szCs w:val="16"/>
                <w:vertAlign w:val="superscript"/>
              </w:rPr>
              <w:fldChar w:fldCharType="begin"/>
            </w:r>
            <w:r w:rsidRPr="0043214A">
              <w:rPr>
                <w:rFonts w:ascii="Arial Black" w:hAnsi="Arial Black"/>
                <w:color w:val="000000"/>
                <w:sz w:val="16"/>
                <w:szCs w:val="16"/>
                <w:vertAlign w:val="superscript"/>
              </w:rPr>
              <w:instrText xml:space="preserve"> NOTEREF _Ref32828919 \h </w:instrText>
            </w:r>
            <w:r>
              <w:rPr>
                <w:rFonts w:ascii="Arial Black" w:hAnsi="Arial Black"/>
                <w:color w:val="000000"/>
                <w:sz w:val="16"/>
                <w:szCs w:val="16"/>
                <w:vertAlign w:val="superscript"/>
              </w:rPr>
              <w:instrText xml:space="preserve"> \* MERGEFORMAT </w:instrText>
            </w:r>
            <w:r w:rsidRPr="0043214A">
              <w:rPr>
                <w:rFonts w:ascii="Arial Black" w:hAnsi="Arial Black"/>
                <w:color w:val="000000"/>
                <w:sz w:val="16"/>
                <w:szCs w:val="16"/>
                <w:vertAlign w:val="superscript"/>
              </w:rPr>
            </w:r>
            <w:r w:rsidRPr="0043214A">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5</w:t>
            </w:r>
            <w:r w:rsidRPr="0043214A">
              <w:rPr>
                <w:rFonts w:ascii="Arial Black" w:hAnsi="Arial Black"/>
                <w:color w:val="000000"/>
                <w:sz w:val="16"/>
                <w:szCs w:val="16"/>
                <w:vertAlign w:val="superscript"/>
              </w:rPr>
              <w:fldChar w:fldCharType="end"/>
            </w:r>
          </w:p>
        </w:tc>
        <w:tc>
          <w:tcPr>
            <w:tcW w:w="999" w:type="pct"/>
            <w:vAlign w:val="center"/>
          </w:tcPr>
          <w:p w14:paraId="589DCFA3" w14:textId="77777777" w:rsidR="00457D66" w:rsidRPr="00782377"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r>
      <w:tr w:rsidR="00457D66" w:rsidRPr="00782377" w14:paraId="35408344" w14:textId="77777777" w:rsidTr="00823417">
        <w:trPr>
          <w:cantSplit/>
          <w:trHeight w:val="269"/>
        </w:trPr>
        <w:tc>
          <w:tcPr>
            <w:tcW w:w="158" w:type="pct"/>
            <w:vMerge/>
            <w:shd w:val="clear" w:color="auto" w:fill="auto"/>
            <w:vAlign w:val="center"/>
          </w:tcPr>
          <w:p w14:paraId="06B5FE92" w14:textId="77777777" w:rsidR="00457D66" w:rsidRPr="00EE7ACF" w:rsidRDefault="00457D66" w:rsidP="00823417">
            <w:pPr>
              <w:jc w:val="center"/>
              <w:rPr>
                <w:rFonts w:ascii="Arial Rounded MT Bold" w:hAnsi="Arial Rounded MT Bold"/>
                <w:color w:val="806000"/>
                <w:sz w:val="16"/>
                <w:szCs w:val="20"/>
              </w:rPr>
            </w:pPr>
          </w:p>
        </w:tc>
        <w:tc>
          <w:tcPr>
            <w:tcW w:w="560" w:type="pct"/>
            <w:shd w:val="clear" w:color="auto" w:fill="auto"/>
            <w:vAlign w:val="center"/>
          </w:tcPr>
          <w:p w14:paraId="0EF3ED66" w14:textId="77777777" w:rsidR="00457D66" w:rsidRPr="00EE7ACF" w:rsidRDefault="00457D66" w:rsidP="00823417">
            <w:pPr>
              <w:jc w:val="center"/>
              <w:rPr>
                <w:rFonts w:ascii="Calibri" w:hAnsi="Calibri"/>
                <w:color w:val="000000"/>
                <w:sz w:val="16"/>
                <w:szCs w:val="20"/>
              </w:rPr>
            </w:pPr>
            <w:r w:rsidRPr="00EE7ACF">
              <w:rPr>
                <w:rFonts w:ascii="Calibri" w:hAnsi="Calibri"/>
                <w:color w:val="000000"/>
                <w:sz w:val="16"/>
                <w:szCs w:val="20"/>
              </w:rPr>
              <w:t>ERCOT Polled-Settlement Meters</w:t>
            </w:r>
          </w:p>
        </w:tc>
        <w:tc>
          <w:tcPr>
            <w:tcW w:w="410" w:type="pct"/>
            <w:shd w:val="clear" w:color="auto" w:fill="auto"/>
            <w:noWrap/>
            <w:vAlign w:val="center"/>
          </w:tcPr>
          <w:p w14:paraId="3EE72B09"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bookmarkStart w:id="15" w:name="_Ref31632297"/>
            <w:r w:rsidRPr="00782377">
              <w:rPr>
                <w:rStyle w:val="FootnoteReference"/>
                <w:rFonts w:ascii="Arial Black" w:hAnsi="Arial Black"/>
                <w:color w:val="000000"/>
                <w:sz w:val="16"/>
                <w:szCs w:val="16"/>
              </w:rPr>
              <w:footnoteReference w:id="11"/>
            </w:r>
            <w:bookmarkEnd w:id="15"/>
          </w:p>
        </w:tc>
        <w:tc>
          <w:tcPr>
            <w:tcW w:w="410" w:type="pct"/>
            <w:shd w:val="clear" w:color="auto" w:fill="auto"/>
            <w:noWrap/>
            <w:vAlign w:val="center"/>
          </w:tcPr>
          <w:p w14:paraId="456ACEF6"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r w:rsidRPr="00BB6B80">
              <w:rPr>
                <w:rFonts w:ascii="Arial Black" w:hAnsi="Arial Black"/>
                <w:color w:val="000000"/>
                <w:sz w:val="16"/>
                <w:szCs w:val="16"/>
                <w:vertAlign w:val="superscript"/>
              </w:rPr>
              <w:fldChar w:fldCharType="begin"/>
            </w:r>
            <w:r w:rsidRPr="00BB6B80">
              <w:rPr>
                <w:rFonts w:ascii="Arial Black" w:hAnsi="Arial Black"/>
                <w:color w:val="000000"/>
                <w:sz w:val="16"/>
                <w:szCs w:val="16"/>
                <w:vertAlign w:val="superscript"/>
              </w:rPr>
              <w:instrText xml:space="preserve"> NOTEREF _Ref32829018 \h  \* MERGEFORMAT </w:instrText>
            </w:r>
            <w:r w:rsidRPr="00BB6B80">
              <w:rPr>
                <w:rFonts w:ascii="Arial Black" w:hAnsi="Arial Black"/>
                <w:color w:val="000000"/>
                <w:sz w:val="16"/>
                <w:szCs w:val="16"/>
                <w:vertAlign w:val="superscript"/>
              </w:rPr>
            </w:r>
            <w:r w:rsidRPr="00BB6B80">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11</w:t>
            </w:r>
            <w:r w:rsidRPr="00BB6B80">
              <w:rPr>
                <w:rFonts w:ascii="Arial Black" w:hAnsi="Arial Black"/>
                <w:color w:val="000000"/>
                <w:sz w:val="16"/>
                <w:szCs w:val="16"/>
                <w:vertAlign w:val="superscript"/>
              </w:rPr>
              <w:fldChar w:fldCharType="end"/>
            </w:r>
            <w:r w:rsidRPr="00782377">
              <w:rPr>
                <w:rFonts w:ascii="Arial Black" w:hAnsi="Arial Black"/>
                <w:color w:val="000000"/>
                <w:sz w:val="16"/>
                <w:szCs w:val="16"/>
              </w:rPr>
              <w:t xml:space="preserve"> </w:t>
            </w:r>
          </w:p>
        </w:tc>
        <w:tc>
          <w:tcPr>
            <w:tcW w:w="410" w:type="pct"/>
            <w:shd w:val="clear" w:color="auto" w:fill="92D050"/>
            <w:vAlign w:val="center"/>
          </w:tcPr>
          <w:p w14:paraId="2D929347" w14:textId="77777777" w:rsidR="00457D66" w:rsidRPr="00782377" w:rsidRDefault="00457D66" w:rsidP="00823417">
            <w:pPr>
              <w:jc w:val="center"/>
              <w:rPr>
                <w:rFonts w:ascii="Arial Black" w:hAnsi="Arial Black"/>
                <w:color w:val="000000"/>
                <w:sz w:val="16"/>
                <w:szCs w:val="16"/>
              </w:rPr>
            </w:pPr>
            <w:r>
              <w:rPr>
                <w:rFonts w:ascii="Arial Black" w:hAnsi="Arial Black"/>
                <w:color w:val="000000"/>
                <w:sz w:val="16"/>
                <w:szCs w:val="16"/>
              </w:rPr>
              <w:t>NO</w:t>
            </w:r>
          </w:p>
        </w:tc>
        <w:tc>
          <w:tcPr>
            <w:tcW w:w="411" w:type="pct"/>
            <w:vAlign w:val="center"/>
          </w:tcPr>
          <w:p w14:paraId="6B28D173"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17F80DA2"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222FC636"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1DD3CE9A"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bookmarkStart w:id="16" w:name="_Ref32829018"/>
            <w:r>
              <w:rPr>
                <w:rStyle w:val="FootnoteReference"/>
                <w:rFonts w:ascii="Arial Black" w:hAnsi="Arial Black"/>
                <w:color w:val="000000"/>
                <w:sz w:val="16"/>
                <w:szCs w:val="16"/>
              </w:rPr>
              <w:footnoteReference w:id="12"/>
            </w:r>
            <w:bookmarkEnd w:id="16"/>
          </w:p>
        </w:tc>
        <w:tc>
          <w:tcPr>
            <w:tcW w:w="411" w:type="pct"/>
            <w:vAlign w:val="center"/>
          </w:tcPr>
          <w:p w14:paraId="61A99A46" w14:textId="77777777" w:rsidR="00457D66" w:rsidRPr="000A2851"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999" w:type="pct"/>
            <w:vAlign w:val="center"/>
          </w:tcPr>
          <w:p w14:paraId="42904F57" w14:textId="77777777" w:rsidR="00457D66" w:rsidRPr="00782377"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r>
      <w:tr w:rsidR="00457D66" w:rsidRPr="00782377" w14:paraId="380C9CA3" w14:textId="77777777" w:rsidTr="00823417">
        <w:trPr>
          <w:cantSplit/>
          <w:trHeight w:val="260"/>
        </w:trPr>
        <w:tc>
          <w:tcPr>
            <w:tcW w:w="158" w:type="pct"/>
            <w:vMerge/>
            <w:shd w:val="clear" w:color="auto" w:fill="auto"/>
            <w:vAlign w:val="center"/>
            <w:hideMark/>
          </w:tcPr>
          <w:p w14:paraId="06F88632" w14:textId="77777777" w:rsidR="00457D66" w:rsidRPr="00EE7ACF" w:rsidRDefault="00457D66" w:rsidP="00823417">
            <w:pPr>
              <w:jc w:val="center"/>
              <w:rPr>
                <w:rFonts w:ascii="Arial Rounded MT Bold" w:hAnsi="Arial Rounded MT Bold"/>
                <w:color w:val="806000"/>
                <w:sz w:val="16"/>
                <w:szCs w:val="20"/>
              </w:rPr>
            </w:pPr>
          </w:p>
        </w:tc>
        <w:tc>
          <w:tcPr>
            <w:tcW w:w="560" w:type="pct"/>
            <w:shd w:val="clear" w:color="auto" w:fill="auto"/>
            <w:vAlign w:val="center"/>
            <w:hideMark/>
          </w:tcPr>
          <w:p w14:paraId="0740F260" w14:textId="77777777" w:rsidR="00457D66" w:rsidRPr="00EE7ACF" w:rsidRDefault="00457D66" w:rsidP="00823417">
            <w:pPr>
              <w:jc w:val="center"/>
              <w:rPr>
                <w:rFonts w:ascii="Calibri" w:hAnsi="Calibri"/>
                <w:color w:val="000000"/>
                <w:sz w:val="16"/>
                <w:szCs w:val="20"/>
              </w:rPr>
            </w:pPr>
            <w:r w:rsidRPr="00EE7ACF">
              <w:rPr>
                <w:rFonts w:ascii="Calibri" w:hAnsi="Calibri"/>
                <w:color w:val="000000"/>
                <w:sz w:val="16"/>
                <w:szCs w:val="20"/>
              </w:rPr>
              <w:t>ESI ID Requirements</w:t>
            </w:r>
          </w:p>
        </w:tc>
        <w:tc>
          <w:tcPr>
            <w:tcW w:w="410" w:type="pct"/>
            <w:shd w:val="clear" w:color="auto" w:fill="92D050"/>
            <w:noWrap/>
            <w:vAlign w:val="center"/>
            <w:hideMark/>
          </w:tcPr>
          <w:p w14:paraId="619F07EB"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0" w:type="pct"/>
            <w:shd w:val="clear" w:color="auto" w:fill="92D050"/>
            <w:noWrap/>
            <w:vAlign w:val="center"/>
            <w:hideMark/>
          </w:tcPr>
          <w:p w14:paraId="2CFFA14F"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0" w:type="pct"/>
            <w:shd w:val="clear" w:color="auto" w:fill="92D050"/>
            <w:vAlign w:val="center"/>
          </w:tcPr>
          <w:p w14:paraId="65DC0C7E" w14:textId="77777777" w:rsidR="00457D66" w:rsidRPr="00782377" w:rsidRDefault="00457D66" w:rsidP="00823417">
            <w:pPr>
              <w:jc w:val="center"/>
              <w:rPr>
                <w:rFonts w:ascii="Arial Black" w:hAnsi="Arial Black"/>
                <w:color w:val="000000"/>
                <w:sz w:val="16"/>
                <w:szCs w:val="16"/>
              </w:rPr>
            </w:pPr>
            <w:r>
              <w:rPr>
                <w:rFonts w:ascii="Arial Black" w:hAnsi="Arial Black"/>
                <w:color w:val="000000"/>
                <w:sz w:val="16"/>
                <w:szCs w:val="16"/>
              </w:rPr>
              <w:t>NO</w:t>
            </w:r>
          </w:p>
        </w:tc>
        <w:tc>
          <w:tcPr>
            <w:tcW w:w="411" w:type="pct"/>
            <w:vAlign w:val="center"/>
          </w:tcPr>
          <w:p w14:paraId="45D831D6"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11FCC672"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2955C5E1"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5A9500A2"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1" w:type="pct"/>
            <w:vAlign w:val="center"/>
          </w:tcPr>
          <w:p w14:paraId="21463406" w14:textId="77777777" w:rsidR="00457D66" w:rsidRPr="000A2851"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999" w:type="pct"/>
            <w:vAlign w:val="center"/>
          </w:tcPr>
          <w:p w14:paraId="1D46969C" w14:textId="77777777" w:rsidR="00457D66" w:rsidRPr="00782377"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r>
      <w:tr w:rsidR="00457D66" w:rsidRPr="00782377" w14:paraId="01F680C6" w14:textId="77777777" w:rsidTr="00823417">
        <w:trPr>
          <w:cantSplit/>
          <w:trHeight w:val="315"/>
        </w:trPr>
        <w:tc>
          <w:tcPr>
            <w:tcW w:w="158" w:type="pct"/>
            <w:vMerge/>
            <w:shd w:val="clear" w:color="auto" w:fill="auto"/>
            <w:vAlign w:val="center"/>
            <w:hideMark/>
          </w:tcPr>
          <w:p w14:paraId="56E1FB5F" w14:textId="77777777" w:rsidR="00457D66" w:rsidRPr="00EE7ACF" w:rsidRDefault="00457D66" w:rsidP="00823417">
            <w:pPr>
              <w:jc w:val="center"/>
              <w:rPr>
                <w:rFonts w:ascii="Arial Rounded MT Bold" w:hAnsi="Arial Rounded MT Bold"/>
                <w:color w:val="806000"/>
                <w:sz w:val="16"/>
                <w:szCs w:val="20"/>
              </w:rPr>
            </w:pPr>
          </w:p>
        </w:tc>
        <w:tc>
          <w:tcPr>
            <w:tcW w:w="560" w:type="pct"/>
            <w:shd w:val="clear" w:color="auto" w:fill="auto"/>
            <w:vAlign w:val="center"/>
            <w:hideMark/>
          </w:tcPr>
          <w:p w14:paraId="36754367" w14:textId="77777777" w:rsidR="00457D66" w:rsidRPr="00EE7ACF" w:rsidRDefault="00457D66" w:rsidP="00823417">
            <w:pPr>
              <w:jc w:val="center"/>
              <w:rPr>
                <w:rFonts w:ascii="Calibri" w:hAnsi="Calibri"/>
                <w:color w:val="000000"/>
                <w:sz w:val="16"/>
                <w:szCs w:val="20"/>
              </w:rPr>
            </w:pPr>
            <w:r w:rsidRPr="00EE7ACF">
              <w:rPr>
                <w:rFonts w:ascii="Calibri" w:hAnsi="Calibri"/>
                <w:color w:val="000000"/>
                <w:sz w:val="16"/>
                <w:szCs w:val="20"/>
              </w:rPr>
              <w:t>Telemetry and ICCP Requirements</w:t>
            </w:r>
          </w:p>
        </w:tc>
        <w:tc>
          <w:tcPr>
            <w:tcW w:w="410" w:type="pct"/>
            <w:shd w:val="clear" w:color="auto" w:fill="auto"/>
            <w:noWrap/>
            <w:vAlign w:val="center"/>
            <w:hideMark/>
          </w:tcPr>
          <w:p w14:paraId="4BA7A2BB"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shd w:val="clear" w:color="auto" w:fill="auto"/>
            <w:noWrap/>
            <w:vAlign w:val="center"/>
            <w:hideMark/>
          </w:tcPr>
          <w:p w14:paraId="791AB161"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1013C117" w14:textId="77777777" w:rsidR="00457D66" w:rsidRPr="00782377" w:rsidRDefault="00457D66" w:rsidP="00823417">
            <w:pPr>
              <w:jc w:val="center"/>
              <w:rPr>
                <w:rFonts w:ascii="Arial Black" w:hAnsi="Arial Black"/>
                <w:color w:val="000000"/>
                <w:sz w:val="16"/>
                <w:szCs w:val="16"/>
              </w:rPr>
            </w:pPr>
            <w:r>
              <w:rPr>
                <w:rFonts w:ascii="Arial Black" w:hAnsi="Arial Black"/>
                <w:color w:val="000000"/>
                <w:sz w:val="16"/>
                <w:szCs w:val="16"/>
              </w:rPr>
              <w:t>YES</w:t>
            </w:r>
          </w:p>
        </w:tc>
        <w:tc>
          <w:tcPr>
            <w:tcW w:w="411" w:type="pct"/>
            <w:vAlign w:val="center"/>
          </w:tcPr>
          <w:p w14:paraId="60E343BB"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09AA3581"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61D33DCC"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7FF6B431"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1" w:type="pct"/>
            <w:vAlign w:val="center"/>
          </w:tcPr>
          <w:p w14:paraId="366BAA05" w14:textId="77777777" w:rsidR="00457D66" w:rsidRPr="000A2851"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999" w:type="pct"/>
            <w:vAlign w:val="center"/>
          </w:tcPr>
          <w:p w14:paraId="5B666326" w14:textId="77777777" w:rsidR="00457D66" w:rsidRPr="00782377"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r>
      <w:tr w:rsidR="00457D66" w:rsidRPr="00782377" w14:paraId="5530F76B" w14:textId="77777777" w:rsidTr="00823417">
        <w:trPr>
          <w:trHeight w:val="315"/>
        </w:trPr>
        <w:tc>
          <w:tcPr>
            <w:tcW w:w="158" w:type="pct"/>
            <w:vMerge w:val="restart"/>
            <w:shd w:val="clear" w:color="auto" w:fill="auto"/>
            <w:textDirection w:val="btLr"/>
            <w:vAlign w:val="bottom"/>
          </w:tcPr>
          <w:p w14:paraId="68B6E8D8" w14:textId="77777777" w:rsidR="00457D66" w:rsidRPr="00EE7ACF" w:rsidRDefault="00457D66" w:rsidP="00823417">
            <w:pPr>
              <w:jc w:val="center"/>
              <w:rPr>
                <w:rFonts w:ascii="Arial Rounded MT Bold" w:hAnsi="Arial Rounded MT Bold"/>
                <w:color w:val="806000"/>
                <w:sz w:val="16"/>
                <w:szCs w:val="20"/>
              </w:rPr>
            </w:pPr>
            <w:r>
              <w:rPr>
                <w:rFonts w:ascii="Arial Rounded MT Bold" w:hAnsi="Arial Rounded MT Bold"/>
                <w:color w:val="00B050"/>
                <w:sz w:val="16"/>
                <w:szCs w:val="20"/>
              </w:rPr>
              <w:t>Ene</w:t>
            </w:r>
            <w:r w:rsidRPr="00EE7ACF">
              <w:rPr>
                <w:rFonts w:ascii="Arial Rounded MT Bold" w:hAnsi="Arial Rounded MT Bold"/>
                <w:color w:val="00B050"/>
                <w:sz w:val="16"/>
                <w:szCs w:val="20"/>
              </w:rPr>
              <w:t>rgization, Synchronization &amp;  Commissioning</w:t>
            </w:r>
          </w:p>
        </w:tc>
        <w:tc>
          <w:tcPr>
            <w:tcW w:w="560" w:type="pct"/>
            <w:shd w:val="clear" w:color="auto" w:fill="auto"/>
            <w:vAlign w:val="bottom"/>
          </w:tcPr>
          <w:p w14:paraId="4C0F9A29" w14:textId="77777777" w:rsidR="00457D66" w:rsidRPr="00EE7ACF" w:rsidRDefault="00457D66" w:rsidP="00823417">
            <w:pPr>
              <w:jc w:val="center"/>
              <w:rPr>
                <w:rFonts w:ascii="Calibri" w:hAnsi="Calibri"/>
                <w:color w:val="000000"/>
                <w:sz w:val="16"/>
                <w:szCs w:val="20"/>
              </w:rPr>
            </w:pPr>
            <w:r w:rsidRPr="00EE7ACF">
              <w:rPr>
                <w:rFonts w:ascii="Calibri" w:hAnsi="Calibri"/>
                <w:color w:val="000000"/>
                <w:sz w:val="16"/>
                <w:szCs w:val="20"/>
              </w:rPr>
              <w:t>Request to Energize POI</w:t>
            </w:r>
          </w:p>
        </w:tc>
        <w:tc>
          <w:tcPr>
            <w:tcW w:w="410" w:type="pct"/>
            <w:shd w:val="clear" w:color="auto" w:fill="auto"/>
            <w:noWrap/>
            <w:vAlign w:val="center"/>
          </w:tcPr>
          <w:p w14:paraId="0D99F2C3"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shd w:val="clear" w:color="auto" w:fill="auto"/>
            <w:noWrap/>
            <w:vAlign w:val="center"/>
          </w:tcPr>
          <w:p w14:paraId="6602CA7A"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141E8789" w14:textId="77777777" w:rsidR="00457D66" w:rsidRDefault="00457D66" w:rsidP="00823417">
            <w:pPr>
              <w:jc w:val="center"/>
              <w:rPr>
                <w:rFonts w:ascii="Arial Black" w:hAnsi="Arial Black"/>
                <w:color w:val="000000"/>
                <w:sz w:val="16"/>
                <w:szCs w:val="16"/>
              </w:rPr>
            </w:pPr>
            <w:r>
              <w:rPr>
                <w:rFonts w:ascii="Arial Black" w:hAnsi="Arial Black"/>
                <w:color w:val="000000"/>
                <w:sz w:val="16"/>
                <w:szCs w:val="16"/>
              </w:rPr>
              <w:t>NO</w:t>
            </w:r>
          </w:p>
        </w:tc>
        <w:tc>
          <w:tcPr>
            <w:tcW w:w="411" w:type="pct"/>
            <w:vAlign w:val="center"/>
          </w:tcPr>
          <w:p w14:paraId="724244BE"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73543324" w14:textId="77777777" w:rsidR="00457D66" w:rsidRPr="00782377" w:rsidRDefault="00457D66" w:rsidP="00823417">
            <w:pPr>
              <w:jc w:val="center"/>
              <w:rPr>
                <w:rFonts w:ascii="Arial Black" w:hAnsi="Arial Black"/>
                <w:color w:val="000000"/>
                <w:sz w:val="16"/>
                <w:szCs w:val="16"/>
              </w:rPr>
            </w:pPr>
            <w:r>
              <w:rPr>
                <w:rFonts w:ascii="Arial Black" w:hAnsi="Arial Black"/>
                <w:color w:val="000000"/>
                <w:sz w:val="16"/>
                <w:szCs w:val="16"/>
              </w:rPr>
              <w:t>NO</w:t>
            </w:r>
          </w:p>
        </w:tc>
        <w:tc>
          <w:tcPr>
            <w:tcW w:w="410" w:type="pct"/>
            <w:vAlign w:val="center"/>
          </w:tcPr>
          <w:p w14:paraId="003AF1AE"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70564E97"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1" w:type="pct"/>
            <w:vAlign w:val="center"/>
          </w:tcPr>
          <w:p w14:paraId="3A11E168"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999" w:type="pct"/>
            <w:vAlign w:val="center"/>
          </w:tcPr>
          <w:p w14:paraId="5B011FE2"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r>
      <w:tr w:rsidR="00457D66" w:rsidRPr="00782377" w14:paraId="3B952902" w14:textId="77777777" w:rsidTr="00823417">
        <w:trPr>
          <w:cantSplit/>
          <w:trHeight w:val="315"/>
        </w:trPr>
        <w:tc>
          <w:tcPr>
            <w:tcW w:w="158" w:type="pct"/>
            <w:vMerge/>
            <w:shd w:val="clear" w:color="auto" w:fill="auto"/>
            <w:vAlign w:val="center"/>
          </w:tcPr>
          <w:p w14:paraId="5290A74D" w14:textId="77777777" w:rsidR="00457D66" w:rsidRPr="00EE7ACF" w:rsidRDefault="00457D66" w:rsidP="00823417">
            <w:pPr>
              <w:jc w:val="center"/>
              <w:rPr>
                <w:rFonts w:ascii="Arial Rounded MT Bold" w:hAnsi="Arial Rounded MT Bold"/>
                <w:color w:val="806000"/>
                <w:sz w:val="16"/>
                <w:szCs w:val="20"/>
              </w:rPr>
            </w:pPr>
          </w:p>
        </w:tc>
        <w:tc>
          <w:tcPr>
            <w:tcW w:w="560" w:type="pct"/>
            <w:shd w:val="clear" w:color="auto" w:fill="auto"/>
            <w:vAlign w:val="bottom"/>
          </w:tcPr>
          <w:p w14:paraId="126F103D" w14:textId="77777777" w:rsidR="00457D66" w:rsidRPr="00EE7ACF" w:rsidRDefault="00457D66" w:rsidP="00823417">
            <w:pPr>
              <w:jc w:val="center"/>
              <w:rPr>
                <w:rFonts w:ascii="Calibri" w:hAnsi="Calibri"/>
                <w:color w:val="000000"/>
                <w:sz w:val="16"/>
                <w:szCs w:val="20"/>
              </w:rPr>
            </w:pPr>
            <w:r w:rsidRPr="00EE7ACF">
              <w:rPr>
                <w:b/>
                <w:sz w:val="16"/>
              </w:rPr>
              <w:t>Streamlined</w:t>
            </w:r>
            <w:r w:rsidRPr="00EE7ACF">
              <w:rPr>
                <w:rStyle w:val="FootnoteReference"/>
                <w:b/>
                <w:sz w:val="16"/>
              </w:rPr>
              <w:footnoteReference w:id="13"/>
            </w:r>
            <w:r w:rsidRPr="00EE7ACF">
              <w:rPr>
                <w:rFonts w:ascii="Calibri" w:hAnsi="Calibri"/>
                <w:color w:val="000000"/>
                <w:sz w:val="16"/>
                <w:szCs w:val="20"/>
              </w:rPr>
              <w:t xml:space="preserve"> Commissioning Plan Template</w:t>
            </w:r>
          </w:p>
        </w:tc>
        <w:tc>
          <w:tcPr>
            <w:tcW w:w="410" w:type="pct"/>
            <w:shd w:val="clear" w:color="auto" w:fill="auto"/>
            <w:noWrap/>
            <w:vAlign w:val="center"/>
          </w:tcPr>
          <w:p w14:paraId="49CEB0C7"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shd w:val="clear" w:color="auto" w:fill="auto"/>
            <w:noWrap/>
            <w:vAlign w:val="center"/>
          </w:tcPr>
          <w:p w14:paraId="19609A1D"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2A04F984" w14:textId="77777777" w:rsidR="00457D66" w:rsidRDefault="00457D66" w:rsidP="00823417">
            <w:pPr>
              <w:jc w:val="center"/>
              <w:rPr>
                <w:rFonts w:ascii="Arial Black" w:hAnsi="Arial Black"/>
                <w:color w:val="000000"/>
                <w:sz w:val="16"/>
                <w:szCs w:val="16"/>
              </w:rPr>
            </w:pPr>
            <w:r>
              <w:rPr>
                <w:rFonts w:ascii="Arial Black" w:hAnsi="Arial Black"/>
                <w:color w:val="000000"/>
                <w:sz w:val="16"/>
                <w:szCs w:val="16"/>
              </w:rPr>
              <w:t>YES</w:t>
            </w:r>
            <w:r>
              <w:rPr>
                <w:rStyle w:val="FootnoteReference"/>
                <w:rFonts w:ascii="Arial Black" w:hAnsi="Arial Black"/>
                <w:color w:val="000000"/>
                <w:sz w:val="16"/>
                <w:szCs w:val="16"/>
              </w:rPr>
              <w:footnoteReference w:id="14"/>
            </w:r>
          </w:p>
        </w:tc>
        <w:tc>
          <w:tcPr>
            <w:tcW w:w="411" w:type="pct"/>
            <w:vAlign w:val="center"/>
          </w:tcPr>
          <w:p w14:paraId="1BE51286"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0" w:type="pct"/>
            <w:vAlign w:val="center"/>
          </w:tcPr>
          <w:p w14:paraId="3E0462CA"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0" w:type="pct"/>
            <w:vAlign w:val="center"/>
          </w:tcPr>
          <w:p w14:paraId="494EBD7E"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0" w:type="pct"/>
            <w:vAlign w:val="center"/>
          </w:tcPr>
          <w:p w14:paraId="6CC86A01"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1" w:type="pct"/>
            <w:vAlign w:val="center"/>
          </w:tcPr>
          <w:p w14:paraId="5F97A365"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999" w:type="pct"/>
            <w:vAlign w:val="center"/>
          </w:tcPr>
          <w:p w14:paraId="57643D6B" w14:textId="77777777" w:rsidR="00457D66" w:rsidRPr="000A2851"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r>
      <w:tr w:rsidR="00457D66" w:rsidRPr="00782377" w14:paraId="2AE4FB1C" w14:textId="77777777" w:rsidTr="00823417">
        <w:trPr>
          <w:cantSplit/>
          <w:trHeight w:val="315"/>
        </w:trPr>
        <w:tc>
          <w:tcPr>
            <w:tcW w:w="158" w:type="pct"/>
            <w:vMerge/>
            <w:shd w:val="clear" w:color="auto" w:fill="auto"/>
            <w:vAlign w:val="center"/>
          </w:tcPr>
          <w:p w14:paraId="64530439" w14:textId="77777777" w:rsidR="00457D66" w:rsidRPr="00EE7ACF" w:rsidRDefault="00457D66" w:rsidP="00823417">
            <w:pPr>
              <w:jc w:val="center"/>
              <w:rPr>
                <w:rFonts w:ascii="Arial Rounded MT Bold" w:hAnsi="Arial Rounded MT Bold"/>
                <w:color w:val="806000"/>
                <w:sz w:val="16"/>
                <w:szCs w:val="20"/>
              </w:rPr>
            </w:pPr>
          </w:p>
        </w:tc>
        <w:tc>
          <w:tcPr>
            <w:tcW w:w="560" w:type="pct"/>
            <w:shd w:val="clear" w:color="auto" w:fill="auto"/>
            <w:vAlign w:val="bottom"/>
          </w:tcPr>
          <w:p w14:paraId="5FD5D805" w14:textId="77777777" w:rsidR="00457D66" w:rsidRPr="00EE7ACF" w:rsidRDefault="00457D66" w:rsidP="00823417">
            <w:pPr>
              <w:jc w:val="center"/>
              <w:rPr>
                <w:rFonts w:ascii="Calibri" w:hAnsi="Calibri"/>
                <w:color w:val="000000"/>
                <w:sz w:val="16"/>
                <w:szCs w:val="20"/>
              </w:rPr>
            </w:pPr>
            <w:r w:rsidRPr="00EE7ACF">
              <w:rPr>
                <w:b/>
                <w:sz w:val="16"/>
              </w:rPr>
              <w:t>Streamlined</w:t>
            </w:r>
            <w:r w:rsidRPr="00EE7ACF">
              <w:rPr>
                <w:rFonts w:ascii="Calibri" w:hAnsi="Calibri"/>
                <w:color w:val="000000"/>
                <w:sz w:val="16"/>
                <w:szCs w:val="20"/>
              </w:rPr>
              <w:t xml:space="preserve"> New Generator Commissioning Checklist</w:t>
            </w:r>
          </w:p>
        </w:tc>
        <w:tc>
          <w:tcPr>
            <w:tcW w:w="410" w:type="pct"/>
            <w:shd w:val="clear" w:color="auto" w:fill="auto"/>
            <w:noWrap/>
            <w:vAlign w:val="center"/>
          </w:tcPr>
          <w:p w14:paraId="29CD2570"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shd w:val="clear" w:color="auto" w:fill="auto"/>
            <w:noWrap/>
            <w:vAlign w:val="center"/>
          </w:tcPr>
          <w:p w14:paraId="3E220990"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3AD5A4EA" w14:textId="77777777" w:rsidR="00457D66" w:rsidRDefault="00457D66" w:rsidP="00823417">
            <w:pPr>
              <w:jc w:val="center"/>
              <w:rPr>
                <w:rFonts w:ascii="Arial Black" w:hAnsi="Arial Black"/>
                <w:color w:val="000000"/>
                <w:sz w:val="16"/>
                <w:szCs w:val="16"/>
              </w:rPr>
            </w:pPr>
            <w:r>
              <w:rPr>
                <w:rFonts w:ascii="Arial Black" w:hAnsi="Arial Black"/>
                <w:color w:val="000000"/>
                <w:sz w:val="16"/>
                <w:szCs w:val="16"/>
              </w:rPr>
              <w:t>YES</w:t>
            </w:r>
          </w:p>
        </w:tc>
        <w:tc>
          <w:tcPr>
            <w:tcW w:w="411" w:type="pct"/>
            <w:vAlign w:val="center"/>
          </w:tcPr>
          <w:p w14:paraId="3124896A"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0" w:type="pct"/>
            <w:vAlign w:val="center"/>
          </w:tcPr>
          <w:p w14:paraId="61B86A44"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0" w:type="pct"/>
            <w:vAlign w:val="center"/>
          </w:tcPr>
          <w:p w14:paraId="7AD1ACD5"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0" w:type="pct"/>
            <w:vAlign w:val="center"/>
          </w:tcPr>
          <w:p w14:paraId="58E06A6D"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1" w:type="pct"/>
            <w:vAlign w:val="center"/>
          </w:tcPr>
          <w:p w14:paraId="345FCBF6"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999" w:type="pct"/>
            <w:vAlign w:val="center"/>
          </w:tcPr>
          <w:p w14:paraId="5A207994" w14:textId="77777777" w:rsidR="00457D66" w:rsidRPr="000A2851"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r>
      <w:tr w:rsidR="00457D66" w:rsidRPr="00782377" w14:paraId="41519968" w14:textId="77777777" w:rsidTr="00823417">
        <w:trPr>
          <w:cantSplit/>
          <w:trHeight w:val="315"/>
        </w:trPr>
        <w:tc>
          <w:tcPr>
            <w:tcW w:w="158" w:type="pct"/>
            <w:vMerge/>
            <w:shd w:val="clear" w:color="auto" w:fill="auto"/>
            <w:vAlign w:val="center"/>
          </w:tcPr>
          <w:p w14:paraId="2D821A92" w14:textId="77777777" w:rsidR="00457D66" w:rsidRPr="00EE7ACF" w:rsidRDefault="00457D66" w:rsidP="00823417">
            <w:pPr>
              <w:jc w:val="center"/>
              <w:rPr>
                <w:rFonts w:ascii="Arial Rounded MT Bold" w:hAnsi="Arial Rounded MT Bold"/>
                <w:color w:val="806000"/>
                <w:sz w:val="16"/>
                <w:szCs w:val="20"/>
              </w:rPr>
            </w:pPr>
          </w:p>
        </w:tc>
        <w:tc>
          <w:tcPr>
            <w:tcW w:w="560" w:type="pct"/>
            <w:shd w:val="clear" w:color="auto" w:fill="auto"/>
            <w:vAlign w:val="bottom"/>
          </w:tcPr>
          <w:p w14:paraId="73420BC2" w14:textId="77777777" w:rsidR="00457D66" w:rsidRPr="00EE7ACF" w:rsidRDefault="00457D66" w:rsidP="00823417">
            <w:pPr>
              <w:jc w:val="center"/>
              <w:rPr>
                <w:rFonts w:ascii="Calibri" w:hAnsi="Calibri"/>
                <w:color w:val="000000"/>
                <w:sz w:val="16"/>
                <w:szCs w:val="20"/>
              </w:rPr>
            </w:pPr>
            <w:r w:rsidRPr="00EE7ACF">
              <w:rPr>
                <w:rFonts w:ascii="Calibri" w:hAnsi="Calibri"/>
                <w:color w:val="000000"/>
                <w:sz w:val="16"/>
                <w:szCs w:val="20"/>
              </w:rPr>
              <w:t>Part 1: Request to Commission a Point of Interconnection (</w:t>
            </w:r>
            <w:r w:rsidRPr="00EE7ACF">
              <w:rPr>
                <w:b/>
                <w:sz w:val="16"/>
              </w:rPr>
              <w:t>Streamlined)</w:t>
            </w:r>
          </w:p>
        </w:tc>
        <w:tc>
          <w:tcPr>
            <w:tcW w:w="410" w:type="pct"/>
            <w:shd w:val="clear" w:color="auto" w:fill="auto"/>
            <w:noWrap/>
            <w:vAlign w:val="center"/>
          </w:tcPr>
          <w:p w14:paraId="47C9FE92"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shd w:val="clear" w:color="auto" w:fill="auto"/>
            <w:noWrap/>
            <w:vAlign w:val="center"/>
          </w:tcPr>
          <w:p w14:paraId="2B3812DD"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21386A60" w14:textId="77777777" w:rsidR="00457D66" w:rsidRDefault="00457D66" w:rsidP="00823417">
            <w:pPr>
              <w:jc w:val="center"/>
              <w:rPr>
                <w:rFonts w:ascii="Arial Black" w:hAnsi="Arial Black"/>
                <w:color w:val="000000"/>
                <w:sz w:val="16"/>
                <w:szCs w:val="16"/>
              </w:rPr>
            </w:pPr>
            <w:r>
              <w:rPr>
                <w:rFonts w:ascii="Arial Black" w:hAnsi="Arial Black"/>
                <w:color w:val="000000"/>
                <w:sz w:val="16"/>
                <w:szCs w:val="16"/>
              </w:rPr>
              <w:t>N/A</w:t>
            </w:r>
          </w:p>
        </w:tc>
        <w:tc>
          <w:tcPr>
            <w:tcW w:w="411" w:type="pct"/>
            <w:vAlign w:val="center"/>
          </w:tcPr>
          <w:p w14:paraId="0C55A04C"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0" w:type="pct"/>
            <w:vAlign w:val="center"/>
          </w:tcPr>
          <w:p w14:paraId="4BF338A9"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0" w:type="pct"/>
            <w:vAlign w:val="center"/>
          </w:tcPr>
          <w:p w14:paraId="4CD175F3"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0" w:type="pct"/>
            <w:vAlign w:val="center"/>
          </w:tcPr>
          <w:p w14:paraId="1AA6BADB"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1" w:type="pct"/>
            <w:vAlign w:val="center"/>
          </w:tcPr>
          <w:p w14:paraId="095B134B"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999" w:type="pct"/>
            <w:vAlign w:val="center"/>
          </w:tcPr>
          <w:p w14:paraId="05FFCC69" w14:textId="77777777" w:rsidR="00457D66" w:rsidRPr="000A2851"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r>
      <w:tr w:rsidR="00457D66" w:rsidRPr="00782377" w14:paraId="058E6A92" w14:textId="77777777" w:rsidTr="00823417">
        <w:trPr>
          <w:cantSplit/>
          <w:trHeight w:val="315"/>
        </w:trPr>
        <w:tc>
          <w:tcPr>
            <w:tcW w:w="158" w:type="pct"/>
            <w:vMerge/>
            <w:shd w:val="clear" w:color="auto" w:fill="auto"/>
            <w:vAlign w:val="center"/>
          </w:tcPr>
          <w:p w14:paraId="72770CA3" w14:textId="77777777" w:rsidR="00457D66" w:rsidRPr="00EE7ACF" w:rsidRDefault="00457D66" w:rsidP="00823417">
            <w:pPr>
              <w:jc w:val="center"/>
              <w:rPr>
                <w:rFonts w:ascii="Arial Rounded MT Bold" w:hAnsi="Arial Rounded MT Bold"/>
                <w:color w:val="806000"/>
                <w:sz w:val="16"/>
                <w:szCs w:val="20"/>
              </w:rPr>
            </w:pPr>
          </w:p>
        </w:tc>
        <w:tc>
          <w:tcPr>
            <w:tcW w:w="560" w:type="pct"/>
            <w:shd w:val="clear" w:color="auto" w:fill="auto"/>
            <w:vAlign w:val="bottom"/>
          </w:tcPr>
          <w:p w14:paraId="5C2CAB98" w14:textId="77777777" w:rsidR="00457D66" w:rsidRPr="00EE7ACF" w:rsidRDefault="00457D66" w:rsidP="00823417">
            <w:pPr>
              <w:jc w:val="center"/>
              <w:rPr>
                <w:rFonts w:ascii="Calibri" w:hAnsi="Calibri"/>
                <w:color w:val="000000"/>
                <w:sz w:val="16"/>
                <w:szCs w:val="20"/>
              </w:rPr>
            </w:pPr>
            <w:r w:rsidRPr="00EE7ACF">
              <w:rPr>
                <w:rFonts w:ascii="Calibri" w:hAnsi="Calibri"/>
                <w:color w:val="000000"/>
                <w:sz w:val="16"/>
                <w:szCs w:val="20"/>
              </w:rPr>
              <w:t xml:space="preserve">Part 2: Request for Initial </w:t>
            </w:r>
            <w:r w:rsidRPr="00EE7ACF">
              <w:rPr>
                <w:rFonts w:ascii="Calibri" w:hAnsi="Calibri"/>
                <w:color w:val="000000"/>
                <w:sz w:val="16"/>
                <w:szCs w:val="20"/>
              </w:rPr>
              <w:lastRenderedPageBreak/>
              <w:t>Synchronization (</w:t>
            </w:r>
            <w:r w:rsidRPr="00EE7ACF">
              <w:rPr>
                <w:b/>
                <w:sz w:val="16"/>
              </w:rPr>
              <w:t>Streamlined)</w:t>
            </w:r>
          </w:p>
        </w:tc>
        <w:tc>
          <w:tcPr>
            <w:tcW w:w="410" w:type="pct"/>
            <w:shd w:val="clear" w:color="auto" w:fill="auto"/>
            <w:noWrap/>
            <w:vAlign w:val="center"/>
          </w:tcPr>
          <w:p w14:paraId="38BFD317"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lastRenderedPageBreak/>
              <w:t>YES</w:t>
            </w:r>
          </w:p>
        </w:tc>
        <w:tc>
          <w:tcPr>
            <w:tcW w:w="410" w:type="pct"/>
            <w:shd w:val="clear" w:color="auto" w:fill="auto"/>
            <w:noWrap/>
            <w:vAlign w:val="center"/>
          </w:tcPr>
          <w:p w14:paraId="3211F046"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753B7BE0" w14:textId="77777777" w:rsidR="00457D66" w:rsidRDefault="00457D66" w:rsidP="00823417">
            <w:pPr>
              <w:jc w:val="center"/>
              <w:rPr>
                <w:rFonts w:ascii="Arial Black" w:hAnsi="Arial Black"/>
                <w:color w:val="000000"/>
                <w:sz w:val="16"/>
                <w:szCs w:val="16"/>
              </w:rPr>
            </w:pPr>
            <w:r>
              <w:rPr>
                <w:rFonts w:ascii="Arial Black" w:hAnsi="Arial Black"/>
                <w:color w:val="000000"/>
                <w:sz w:val="16"/>
                <w:szCs w:val="16"/>
              </w:rPr>
              <w:t>N/A</w:t>
            </w:r>
          </w:p>
        </w:tc>
        <w:tc>
          <w:tcPr>
            <w:tcW w:w="411" w:type="pct"/>
            <w:vAlign w:val="center"/>
          </w:tcPr>
          <w:p w14:paraId="060C4766"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0" w:type="pct"/>
            <w:vAlign w:val="center"/>
          </w:tcPr>
          <w:p w14:paraId="201BD3D2"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0" w:type="pct"/>
            <w:vAlign w:val="center"/>
          </w:tcPr>
          <w:p w14:paraId="6699E8DE"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0" w:type="pct"/>
            <w:vAlign w:val="center"/>
          </w:tcPr>
          <w:p w14:paraId="398774B9"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1" w:type="pct"/>
            <w:vAlign w:val="center"/>
          </w:tcPr>
          <w:p w14:paraId="1C95C283"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999" w:type="pct"/>
            <w:vAlign w:val="center"/>
          </w:tcPr>
          <w:p w14:paraId="3853E53F" w14:textId="77777777" w:rsidR="00457D66" w:rsidRPr="000A2851"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r>
      <w:tr w:rsidR="00457D66" w:rsidRPr="00782377" w14:paraId="72291926" w14:textId="77777777" w:rsidTr="00823417">
        <w:trPr>
          <w:cantSplit/>
          <w:trHeight w:val="315"/>
        </w:trPr>
        <w:tc>
          <w:tcPr>
            <w:tcW w:w="158" w:type="pct"/>
            <w:vMerge/>
            <w:shd w:val="clear" w:color="auto" w:fill="auto"/>
            <w:vAlign w:val="center"/>
          </w:tcPr>
          <w:p w14:paraId="439B1DDC" w14:textId="77777777" w:rsidR="00457D66" w:rsidRPr="00EE7ACF" w:rsidRDefault="00457D66" w:rsidP="00823417">
            <w:pPr>
              <w:jc w:val="center"/>
              <w:rPr>
                <w:rFonts w:ascii="Arial Rounded MT Bold" w:hAnsi="Arial Rounded MT Bold"/>
                <w:color w:val="806000"/>
                <w:sz w:val="16"/>
                <w:szCs w:val="20"/>
              </w:rPr>
            </w:pPr>
          </w:p>
        </w:tc>
        <w:tc>
          <w:tcPr>
            <w:tcW w:w="560" w:type="pct"/>
            <w:shd w:val="clear" w:color="auto" w:fill="auto"/>
            <w:vAlign w:val="bottom"/>
          </w:tcPr>
          <w:p w14:paraId="30D54AF4" w14:textId="77777777" w:rsidR="00457D66" w:rsidRPr="00EE7ACF" w:rsidRDefault="00457D66" w:rsidP="00823417">
            <w:pPr>
              <w:jc w:val="center"/>
              <w:rPr>
                <w:rFonts w:ascii="Calibri" w:hAnsi="Calibri"/>
                <w:color w:val="000000"/>
                <w:sz w:val="16"/>
                <w:szCs w:val="20"/>
              </w:rPr>
            </w:pPr>
            <w:r w:rsidRPr="00EE7ACF">
              <w:rPr>
                <w:rFonts w:ascii="Calibri" w:hAnsi="Calibri"/>
                <w:color w:val="000000"/>
                <w:sz w:val="16"/>
                <w:szCs w:val="20"/>
              </w:rPr>
              <w:t>Part 3: Request to Commission a Resource</w:t>
            </w:r>
            <w:r w:rsidRPr="00EE7ACF">
              <w:rPr>
                <w:b/>
                <w:sz w:val="16"/>
              </w:rPr>
              <w:t xml:space="preserve"> (Streamlined)</w:t>
            </w:r>
          </w:p>
        </w:tc>
        <w:tc>
          <w:tcPr>
            <w:tcW w:w="410" w:type="pct"/>
            <w:shd w:val="clear" w:color="auto" w:fill="auto"/>
            <w:noWrap/>
            <w:vAlign w:val="center"/>
          </w:tcPr>
          <w:p w14:paraId="01A937CE"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shd w:val="clear" w:color="auto" w:fill="auto"/>
            <w:noWrap/>
            <w:vAlign w:val="center"/>
          </w:tcPr>
          <w:p w14:paraId="53CE800C"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34133EA1" w14:textId="77777777" w:rsidR="00457D66" w:rsidRDefault="00457D66" w:rsidP="00823417">
            <w:pPr>
              <w:jc w:val="center"/>
              <w:rPr>
                <w:rFonts w:ascii="Arial Black" w:hAnsi="Arial Black"/>
                <w:color w:val="000000"/>
                <w:sz w:val="16"/>
                <w:szCs w:val="16"/>
              </w:rPr>
            </w:pPr>
            <w:r>
              <w:rPr>
                <w:rFonts w:ascii="Arial Black" w:hAnsi="Arial Black"/>
                <w:color w:val="000000"/>
                <w:sz w:val="16"/>
                <w:szCs w:val="16"/>
              </w:rPr>
              <w:t>N/A</w:t>
            </w:r>
          </w:p>
        </w:tc>
        <w:tc>
          <w:tcPr>
            <w:tcW w:w="411" w:type="pct"/>
            <w:vAlign w:val="center"/>
          </w:tcPr>
          <w:p w14:paraId="61566580"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0" w:type="pct"/>
            <w:vAlign w:val="center"/>
          </w:tcPr>
          <w:p w14:paraId="4A80D67C"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0" w:type="pct"/>
            <w:vAlign w:val="center"/>
          </w:tcPr>
          <w:p w14:paraId="4BB13DF8"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0" w:type="pct"/>
            <w:vAlign w:val="center"/>
          </w:tcPr>
          <w:p w14:paraId="69A334A6"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1" w:type="pct"/>
            <w:vAlign w:val="center"/>
          </w:tcPr>
          <w:p w14:paraId="3527B12D"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999" w:type="pct"/>
            <w:vAlign w:val="center"/>
          </w:tcPr>
          <w:p w14:paraId="4EC4E244" w14:textId="77777777" w:rsidR="00457D66" w:rsidRPr="000A2851" w:rsidRDefault="00457D66" w:rsidP="00BD43BA">
            <w:pPr>
              <w:keepNext/>
              <w:jc w:val="center"/>
              <w:rPr>
                <w:rFonts w:ascii="Arial Black" w:hAnsi="Arial Black"/>
                <w:color w:val="000000"/>
                <w:sz w:val="16"/>
                <w:szCs w:val="16"/>
              </w:rPr>
            </w:pPr>
            <w:r w:rsidRPr="00782377">
              <w:rPr>
                <w:rFonts w:ascii="Arial Black" w:hAnsi="Arial Black"/>
                <w:color w:val="000000"/>
                <w:sz w:val="16"/>
                <w:szCs w:val="16"/>
              </w:rPr>
              <w:t>NO</w:t>
            </w:r>
          </w:p>
        </w:tc>
      </w:tr>
    </w:tbl>
    <w:p w14:paraId="2DB6CDD4" w14:textId="77777777" w:rsidR="00457D66" w:rsidRPr="00D42690" w:rsidRDefault="00457D66" w:rsidP="00D42690">
      <w:pPr>
        <w:pStyle w:val="BodyText"/>
      </w:pPr>
    </w:p>
    <w:sectPr w:rsidR="00457D66" w:rsidRPr="00D42690">
      <w:headerReference w:type="default" r:id="rId19"/>
      <w:footerReference w:type="even" r:id="rId20"/>
      <w:footerReference w:type="default" r:id="rId21"/>
      <w:footerReference w:type="first" r:id="rId22"/>
      <w:pgSz w:w="12240" w:h="15840" w:code="1"/>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5F2BE2" w16cid:durableId="221126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E2191" w14:textId="77777777" w:rsidR="0019006F" w:rsidRDefault="0019006F">
      <w:r>
        <w:separator/>
      </w:r>
    </w:p>
  </w:endnote>
  <w:endnote w:type="continuationSeparator" w:id="0">
    <w:p w14:paraId="36C89473" w14:textId="77777777" w:rsidR="0019006F" w:rsidRDefault="00190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E73DE" w14:textId="77777777" w:rsidR="007B53B3" w:rsidRPr="00412DCA" w:rsidRDefault="007B53B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72AE2" w14:textId="19D1F589" w:rsidR="007B53B3" w:rsidRDefault="007B53B3">
    <w:pPr>
      <w:pStyle w:val="Footer"/>
      <w:tabs>
        <w:tab w:val="clear" w:pos="4320"/>
        <w:tab w:val="clear" w:pos="8640"/>
        <w:tab w:val="right" w:pos="9360"/>
      </w:tabs>
      <w:rPr>
        <w:rFonts w:ascii="Arial" w:hAnsi="Arial" w:cs="Arial"/>
        <w:sz w:val="18"/>
      </w:rPr>
    </w:pPr>
    <w:r>
      <w:rPr>
        <w:rFonts w:ascii="Arial" w:hAnsi="Arial" w:cs="Arial"/>
        <w:sz w:val="18"/>
      </w:rPr>
      <w:t>Key Topic/Concept (KTC) 13 (</w:t>
    </w:r>
    <w:r w:rsidR="00DC5A7E">
      <w:rPr>
        <w:rFonts w:ascii="Arial" w:hAnsi="Arial" w:cs="Arial"/>
        <w:sz w:val="18"/>
      </w:rPr>
      <w:t>TAC Approved 04-01-</w:t>
    </w:r>
    <w:r w:rsidR="00615A46">
      <w:rPr>
        <w:rFonts w:ascii="Arial" w:hAnsi="Arial" w:cs="Arial"/>
        <w:sz w:val="18"/>
      </w:rPr>
      <w:t>20</w:t>
    </w:r>
    <w:r>
      <w:rPr>
        <w:rFonts w:ascii="Arial" w:hAnsi="Arial" w:cs="Arial"/>
        <w:sz w:val="18"/>
      </w:rPr>
      <w:t>)</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DC5A7E">
      <w:rPr>
        <w:rFonts w:ascii="Arial" w:hAnsi="Arial" w:cs="Arial"/>
        <w:noProof/>
        <w:sz w:val="18"/>
      </w:rPr>
      <w:t>13</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DC5A7E">
      <w:rPr>
        <w:rFonts w:ascii="Arial" w:hAnsi="Arial" w:cs="Arial"/>
        <w:noProof/>
        <w:sz w:val="18"/>
      </w:rPr>
      <w:t>13</w:t>
    </w:r>
    <w:r w:rsidRPr="00412DCA">
      <w:rPr>
        <w:rFonts w:ascii="Arial" w:hAnsi="Arial" w:cs="Arial"/>
        <w:sz w:val="18"/>
      </w:rPr>
      <w:fldChar w:fldCharType="end"/>
    </w:r>
  </w:p>
  <w:p w14:paraId="509511D8" w14:textId="77777777" w:rsidR="007B53B3" w:rsidRPr="00412DCA" w:rsidRDefault="007B53B3">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0AB38" w14:textId="77777777" w:rsidR="007B53B3" w:rsidRPr="00412DCA" w:rsidRDefault="007B53B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4D207" w14:textId="77777777" w:rsidR="0019006F" w:rsidRDefault="0019006F">
      <w:r>
        <w:separator/>
      </w:r>
    </w:p>
  </w:footnote>
  <w:footnote w:type="continuationSeparator" w:id="0">
    <w:p w14:paraId="06BD8174" w14:textId="77777777" w:rsidR="0019006F" w:rsidRDefault="0019006F">
      <w:r>
        <w:continuationSeparator/>
      </w:r>
    </w:p>
  </w:footnote>
  <w:footnote w:id="1">
    <w:p w14:paraId="2C822C92" w14:textId="77777777" w:rsidR="007B53B3" w:rsidRDefault="007B53B3" w:rsidP="00457D66">
      <w:pPr>
        <w:pStyle w:val="FootnoteText"/>
      </w:pPr>
      <w:r>
        <w:rPr>
          <w:rStyle w:val="FootnoteReference"/>
        </w:rPr>
        <w:footnoteRef/>
      </w:r>
      <w:r>
        <w:t xml:space="preserve"> IE must submit attestation and details of the physically-limiting elements or power plant controller that will enforce limit</w:t>
      </w:r>
    </w:p>
  </w:footnote>
  <w:footnote w:id="2">
    <w:p w14:paraId="18F4AE7D" w14:textId="77777777" w:rsidR="007B53B3" w:rsidRDefault="007B53B3" w:rsidP="00457D66">
      <w:pPr>
        <w:pStyle w:val="FootnoteText"/>
      </w:pPr>
      <w:r>
        <w:rPr>
          <w:rStyle w:val="FootnoteReference"/>
        </w:rPr>
        <w:footnoteRef/>
      </w:r>
      <w:r>
        <w:t xml:space="preserve"> MW capability based on HRL or physically-limiting elements/power plant controller</w:t>
      </w:r>
    </w:p>
  </w:footnote>
  <w:footnote w:id="3">
    <w:p w14:paraId="7DD6B5E4" w14:textId="77777777" w:rsidR="007B53B3" w:rsidRDefault="007B53B3" w:rsidP="00457D66">
      <w:pPr>
        <w:pStyle w:val="FootnoteText"/>
      </w:pPr>
      <w:r>
        <w:rPr>
          <w:rStyle w:val="FootnoteReference"/>
        </w:rPr>
        <w:footnoteRef/>
      </w:r>
      <w:r>
        <w:t xml:space="preserve"> Screening and Steady State studies may not be necessary if MW change is less than 10 MW</w:t>
      </w:r>
    </w:p>
  </w:footnote>
  <w:footnote w:id="4">
    <w:p w14:paraId="310CECC8" w14:textId="77777777" w:rsidR="007B53B3" w:rsidRDefault="007B53B3" w:rsidP="00457D66">
      <w:pPr>
        <w:pStyle w:val="FootnoteText"/>
      </w:pPr>
      <w:r>
        <w:rPr>
          <w:rStyle w:val="FootnoteReference"/>
        </w:rPr>
        <w:footnoteRef/>
      </w:r>
      <w:r>
        <w:t xml:space="preserve"> Full capability will be modeled everywhere except HRL which will reflect the self-limiting value</w:t>
      </w:r>
    </w:p>
  </w:footnote>
  <w:footnote w:id="5">
    <w:p w14:paraId="57E47F5C" w14:textId="77777777" w:rsidR="007B53B3" w:rsidRDefault="007B53B3" w:rsidP="00457D66">
      <w:pPr>
        <w:pStyle w:val="FootnoteText"/>
      </w:pPr>
      <w:r>
        <w:rPr>
          <w:rStyle w:val="FootnoteReference"/>
        </w:rPr>
        <w:footnoteRef/>
      </w:r>
      <w:r>
        <w:t xml:space="preserve"> Full capability will be modeled everywhere</w:t>
      </w:r>
    </w:p>
  </w:footnote>
  <w:footnote w:id="6">
    <w:p w14:paraId="73F6C9EE" w14:textId="77777777" w:rsidR="007B53B3" w:rsidRDefault="007B53B3" w:rsidP="00457D66">
      <w:pPr>
        <w:pStyle w:val="FootnoteText"/>
      </w:pPr>
      <w:r>
        <w:rPr>
          <w:rStyle w:val="FootnoteReference"/>
        </w:rPr>
        <w:footnoteRef/>
      </w:r>
      <w:r>
        <w:t xml:space="preserve"> Reactive Study is needed if an existing site is IRR, maybe not needed if thermal</w:t>
      </w:r>
    </w:p>
  </w:footnote>
  <w:footnote w:id="7">
    <w:p w14:paraId="5DADA3AC" w14:textId="77777777" w:rsidR="007B53B3" w:rsidRDefault="007B53B3" w:rsidP="00457D66">
      <w:pPr>
        <w:pStyle w:val="FootnoteText"/>
      </w:pPr>
      <w:r>
        <w:rPr>
          <w:rStyle w:val="FootnoteReference"/>
        </w:rPr>
        <w:footnoteRef/>
      </w:r>
      <w:r>
        <w:t xml:space="preserve"> Reactive capability requirement based on self-limit entered as HRL </w:t>
      </w:r>
    </w:p>
  </w:footnote>
  <w:footnote w:id="8">
    <w:p w14:paraId="696CF332" w14:textId="77777777" w:rsidR="007B53B3" w:rsidRDefault="007B53B3" w:rsidP="00457D66">
      <w:pPr>
        <w:pStyle w:val="FootnoteText"/>
      </w:pPr>
      <w:r>
        <w:rPr>
          <w:rStyle w:val="FootnoteReference"/>
        </w:rPr>
        <w:footnoteRef/>
      </w:r>
      <w:r>
        <w:t xml:space="preserve"> RE should already be registered.  Only the new resource will need to be registered.</w:t>
      </w:r>
    </w:p>
  </w:footnote>
  <w:footnote w:id="9">
    <w:p w14:paraId="13BAACB8" w14:textId="77777777" w:rsidR="007B53B3" w:rsidRDefault="007B53B3" w:rsidP="00457D66">
      <w:pPr>
        <w:pStyle w:val="FootnoteText"/>
      </w:pPr>
      <w:r>
        <w:rPr>
          <w:rStyle w:val="FootnoteReference"/>
        </w:rPr>
        <w:footnoteRef/>
      </w:r>
      <w:r>
        <w:t xml:space="preserve"> Interim update possibility since a new separate unit does not need to be modeled</w:t>
      </w:r>
    </w:p>
  </w:footnote>
  <w:footnote w:id="10">
    <w:p w14:paraId="7B80C35D" w14:textId="77777777" w:rsidR="007B53B3" w:rsidRDefault="007B53B3" w:rsidP="00457D66">
      <w:pPr>
        <w:pStyle w:val="FootnoteText"/>
      </w:pPr>
      <w:r>
        <w:rPr>
          <w:rStyle w:val="FootnoteReference"/>
        </w:rPr>
        <w:footnoteRef/>
      </w:r>
      <w:r>
        <w:t xml:space="preserve"> Full capability of all units required except for HRL</w:t>
      </w:r>
    </w:p>
  </w:footnote>
  <w:footnote w:id="11">
    <w:p w14:paraId="15D3D3A7" w14:textId="77777777" w:rsidR="007B53B3" w:rsidRDefault="007B53B3" w:rsidP="00457D66">
      <w:pPr>
        <w:pStyle w:val="FootnoteText"/>
      </w:pPr>
      <w:r>
        <w:rPr>
          <w:rStyle w:val="FootnoteReference"/>
        </w:rPr>
        <w:footnoteRef/>
      </w:r>
      <w:r>
        <w:t xml:space="preserve"> If WSL treatment is requested. </w:t>
      </w:r>
    </w:p>
  </w:footnote>
  <w:footnote w:id="12">
    <w:p w14:paraId="7A6B73B9" w14:textId="77777777" w:rsidR="007B53B3" w:rsidRDefault="007B53B3" w:rsidP="00457D66">
      <w:pPr>
        <w:pStyle w:val="FootnoteText"/>
      </w:pPr>
      <w:r>
        <w:rPr>
          <w:rStyle w:val="FootnoteReference"/>
        </w:rPr>
        <w:footnoteRef/>
      </w:r>
      <w:r>
        <w:t xml:space="preserve"> WSL treatment not allowed due to lack of DC ANSI approved meters</w:t>
      </w:r>
    </w:p>
  </w:footnote>
  <w:footnote w:id="13">
    <w:p w14:paraId="07437A0B" w14:textId="77777777" w:rsidR="007B53B3" w:rsidRDefault="007B53B3" w:rsidP="00457D66">
      <w:pPr>
        <w:pStyle w:val="FootnoteText"/>
      </w:pPr>
      <w:r>
        <w:rPr>
          <w:rStyle w:val="FootnoteReference"/>
        </w:rPr>
        <w:footnoteRef/>
      </w:r>
      <w:r>
        <w:t xml:space="preserve"> Streamlined is defined as “undetermined subset of current commissioning process”</w:t>
      </w:r>
    </w:p>
  </w:footnote>
  <w:footnote w:id="14">
    <w:p w14:paraId="42ADB8F6" w14:textId="68C32A76" w:rsidR="007B53B3" w:rsidRDefault="007B53B3" w:rsidP="00457D66">
      <w:pPr>
        <w:pStyle w:val="FootnoteText"/>
      </w:pPr>
      <w:r>
        <w:rPr>
          <w:rStyle w:val="FootnoteReference"/>
        </w:rPr>
        <w:footnoteRef/>
      </w:r>
      <w:r>
        <w:t xml:space="preserve"> All that needs to be captured/commissioned is new telemetry from the ESS, otherwise this shouldn’t look any different that an solar farm changing out some solar panels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347EB" w14:textId="77777777" w:rsidR="007B53B3" w:rsidRDefault="007B53B3" w:rsidP="0088730E">
    <w:pPr>
      <w:pStyle w:val="Header"/>
      <w:jc w:val="center"/>
      <w:rPr>
        <w:sz w:val="32"/>
      </w:rPr>
    </w:pPr>
    <w:r>
      <w:rPr>
        <w:sz w:val="32"/>
      </w:rPr>
      <w:t>Battery Energy Storage Key Topic/Concept Recommendation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A131F2"/>
    <w:multiLevelType w:val="hybridMultilevel"/>
    <w:tmpl w:val="B7B2A6D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B70787"/>
    <w:multiLevelType w:val="multilevel"/>
    <w:tmpl w:val="3A482AB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09023033"/>
    <w:multiLevelType w:val="hybridMultilevel"/>
    <w:tmpl w:val="99F0F77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5" w15:restartNumberingAfterBreak="0">
    <w:nsid w:val="090A7D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4177FC"/>
    <w:multiLevelType w:val="hybridMultilevel"/>
    <w:tmpl w:val="AA9A48C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67528F"/>
    <w:multiLevelType w:val="hybridMultilevel"/>
    <w:tmpl w:val="0756DBC2"/>
    <w:lvl w:ilvl="0" w:tplc="098EDC0A">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523580"/>
    <w:multiLevelType w:val="hybridMultilevel"/>
    <w:tmpl w:val="48741DF0"/>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2028F5"/>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658F6"/>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EF233E"/>
    <w:multiLevelType w:val="hybridMultilevel"/>
    <w:tmpl w:val="7A5C9DF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AA7E9B"/>
    <w:multiLevelType w:val="hybridMultilevel"/>
    <w:tmpl w:val="C24674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F33677"/>
    <w:multiLevelType w:val="multilevel"/>
    <w:tmpl w:val="5BD4396C"/>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38C6312E"/>
    <w:multiLevelType w:val="hybridMultilevel"/>
    <w:tmpl w:val="F774D0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672F1B"/>
    <w:multiLevelType w:val="multilevel"/>
    <w:tmpl w:val="AD6A28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BA27DA4"/>
    <w:multiLevelType w:val="hybridMultilevel"/>
    <w:tmpl w:val="836434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57551A"/>
    <w:multiLevelType w:val="hybridMultilevel"/>
    <w:tmpl w:val="CDEE986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2C3074"/>
    <w:multiLevelType w:val="hybridMultilevel"/>
    <w:tmpl w:val="40067ED8"/>
    <w:lvl w:ilvl="0" w:tplc="F10E61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9B7D2E"/>
    <w:multiLevelType w:val="multilevel"/>
    <w:tmpl w:val="0ECE56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BCF7BA2"/>
    <w:multiLevelType w:val="hybridMultilevel"/>
    <w:tmpl w:val="70AE33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09A6E17"/>
    <w:multiLevelType w:val="hybridMultilevel"/>
    <w:tmpl w:val="7B3E7438"/>
    <w:lvl w:ilvl="0" w:tplc="F328D6C8">
      <w:start w:val="1"/>
      <w:numFmt w:val="bullet"/>
      <w:lvlText w:val="•"/>
      <w:lvlJc w:val="left"/>
      <w:pPr>
        <w:tabs>
          <w:tab w:val="num" w:pos="720"/>
        </w:tabs>
        <w:ind w:left="720" w:hanging="360"/>
      </w:pPr>
      <w:rPr>
        <w:rFonts w:ascii="Arial" w:hAnsi="Arial" w:hint="default"/>
      </w:rPr>
    </w:lvl>
    <w:lvl w:ilvl="1" w:tplc="3192144E" w:tentative="1">
      <w:start w:val="1"/>
      <w:numFmt w:val="bullet"/>
      <w:lvlText w:val="•"/>
      <w:lvlJc w:val="left"/>
      <w:pPr>
        <w:tabs>
          <w:tab w:val="num" w:pos="1440"/>
        </w:tabs>
        <w:ind w:left="1440" w:hanging="360"/>
      </w:pPr>
      <w:rPr>
        <w:rFonts w:ascii="Arial" w:hAnsi="Arial" w:hint="default"/>
      </w:rPr>
    </w:lvl>
    <w:lvl w:ilvl="2" w:tplc="3AC60600" w:tentative="1">
      <w:start w:val="1"/>
      <w:numFmt w:val="bullet"/>
      <w:lvlText w:val="•"/>
      <w:lvlJc w:val="left"/>
      <w:pPr>
        <w:tabs>
          <w:tab w:val="num" w:pos="2160"/>
        </w:tabs>
        <w:ind w:left="2160" w:hanging="360"/>
      </w:pPr>
      <w:rPr>
        <w:rFonts w:ascii="Arial" w:hAnsi="Arial" w:hint="default"/>
      </w:rPr>
    </w:lvl>
    <w:lvl w:ilvl="3" w:tplc="8C8EC620" w:tentative="1">
      <w:start w:val="1"/>
      <w:numFmt w:val="bullet"/>
      <w:lvlText w:val="•"/>
      <w:lvlJc w:val="left"/>
      <w:pPr>
        <w:tabs>
          <w:tab w:val="num" w:pos="2880"/>
        </w:tabs>
        <w:ind w:left="2880" w:hanging="360"/>
      </w:pPr>
      <w:rPr>
        <w:rFonts w:ascii="Arial" w:hAnsi="Arial" w:hint="default"/>
      </w:rPr>
    </w:lvl>
    <w:lvl w:ilvl="4" w:tplc="43B4E646" w:tentative="1">
      <w:start w:val="1"/>
      <w:numFmt w:val="bullet"/>
      <w:lvlText w:val="•"/>
      <w:lvlJc w:val="left"/>
      <w:pPr>
        <w:tabs>
          <w:tab w:val="num" w:pos="3600"/>
        </w:tabs>
        <w:ind w:left="3600" w:hanging="360"/>
      </w:pPr>
      <w:rPr>
        <w:rFonts w:ascii="Arial" w:hAnsi="Arial" w:hint="default"/>
      </w:rPr>
    </w:lvl>
    <w:lvl w:ilvl="5" w:tplc="A03C9950" w:tentative="1">
      <w:start w:val="1"/>
      <w:numFmt w:val="bullet"/>
      <w:lvlText w:val="•"/>
      <w:lvlJc w:val="left"/>
      <w:pPr>
        <w:tabs>
          <w:tab w:val="num" w:pos="4320"/>
        </w:tabs>
        <w:ind w:left="4320" w:hanging="360"/>
      </w:pPr>
      <w:rPr>
        <w:rFonts w:ascii="Arial" w:hAnsi="Arial" w:hint="default"/>
      </w:rPr>
    </w:lvl>
    <w:lvl w:ilvl="6" w:tplc="047EB518" w:tentative="1">
      <w:start w:val="1"/>
      <w:numFmt w:val="bullet"/>
      <w:lvlText w:val="•"/>
      <w:lvlJc w:val="left"/>
      <w:pPr>
        <w:tabs>
          <w:tab w:val="num" w:pos="5040"/>
        </w:tabs>
        <w:ind w:left="5040" w:hanging="360"/>
      </w:pPr>
      <w:rPr>
        <w:rFonts w:ascii="Arial" w:hAnsi="Arial" w:hint="default"/>
      </w:rPr>
    </w:lvl>
    <w:lvl w:ilvl="7" w:tplc="D6C26002" w:tentative="1">
      <w:start w:val="1"/>
      <w:numFmt w:val="bullet"/>
      <w:lvlText w:val="•"/>
      <w:lvlJc w:val="left"/>
      <w:pPr>
        <w:tabs>
          <w:tab w:val="num" w:pos="5760"/>
        </w:tabs>
        <w:ind w:left="5760" w:hanging="360"/>
      </w:pPr>
      <w:rPr>
        <w:rFonts w:ascii="Arial" w:hAnsi="Arial" w:hint="default"/>
      </w:rPr>
    </w:lvl>
    <w:lvl w:ilvl="8" w:tplc="9E8CCAD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29845AD"/>
    <w:multiLevelType w:val="hybridMultilevel"/>
    <w:tmpl w:val="F774D0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7C76DC"/>
    <w:multiLevelType w:val="hybridMultilevel"/>
    <w:tmpl w:val="3E0E28D4"/>
    <w:lvl w:ilvl="0" w:tplc="273687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E23C98"/>
    <w:multiLevelType w:val="hybridMultilevel"/>
    <w:tmpl w:val="AE8CD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616E75FC"/>
    <w:multiLevelType w:val="hybridMultilevel"/>
    <w:tmpl w:val="56B4A7DC"/>
    <w:lvl w:ilvl="0" w:tplc="5EC29DF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1990485"/>
    <w:multiLevelType w:val="multilevel"/>
    <w:tmpl w:val="DF50884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2DC611F"/>
    <w:multiLevelType w:val="hybridMultilevel"/>
    <w:tmpl w:val="633EDEF2"/>
    <w:lvl w:ilvl="0" w:tplc="0DF4A8D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66510064"/>
    <w:multiLevelType w:val="multilevel"/>
    <w:tmpl w:val="E4042F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DD96D14"/>
    <w:multiLevelType w:val="hybridMultilevel"/>
    <w:tmpl w:val="F62EDF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93C42E9"/>
    <w:multiLevelType w:val="hybridMultilevel"/>
    <w:tmpl w:val="34109A90"/>
    <w:lvl w:ilvl="0" w:tplc="24343DE2">
      <w:start w:val="1"/>
      <w:numFmt w:val="bullet"/>
      <w:lvlText w:val="•"/>
      <w:lvlJc w:val="left"/>
      <w:pPr>
        <w:tabs>
          <w:tab w:val="num" w:pos="720"/>
        </w:tabs>
        <w:ind w:left="720" w:hanging="360"/>
      </w:pPr>
      <w:rPr>
        <w:rFonts w:ascii="Arial" w:hAnsi="Arial" w:hint="default"/>
      </w:rPr>
    </w:lvl>
    <w:lvl w:ilvl="1" w:tplc="6ADC0482">
      <w:start w:val="221"/>
      <w:numFmt w:val="bullet"/>
      <w:lvlText w:val="–"/>
      <w:lvlJc w:val="left"/>
      <w:pPr>
        <w:tabs>
          <w:tab w:val="num" w:pos="1440"/>
        </w:tabs>
        <w:ind w:left="1440" w:hanging="360"/>
      </w:pPr>
      <w:rPr>
        <w:rFonts w:ascii="Arial" w:hAnsi="Arial" w:hint="default"/>
      </w:rPr>
    </w:lvl>
    <w:lvl w:ilvl="2" w:tplc="4B5A3C24" w:tentative="1">
      <w:start w:val="1"/>
      <w:numFmt w:val="bullet"/>
      <w:lvlText w:val="•"/>
      <w:lvlJc w:val="left"/>
      <w:pPr>
        <w:tabs>
          <w:tab w:val="num" w:pos="2160"/>
        </w:tabs>
        <w:ind w:left="2160" w:hanging="360"/>
      </w:pPr>
      <w:rPr>
        <w:rFonts w:ascii="Arial" w:hAnsi="Arial" w:hint="default"/>
      </w:rPr>
    </w:lvl>
    <w:lvl w:ilvl="3" w:tplc="A25873E0" w:tentative="1">
      <w:start w:val="1"/>
      <w:numFmt w:val="bullet"/>
      <w:lvlText w:val="•"/>
      <w:lvlJc w:val="left"/>
      <w:pPr>
        <w:tabs>
          <w:tab w:val="num" w:pos="2880"/>
        </w:tabs>
        <w:ind w:left="2880" w:hanging="360"/>
      </w:pPr>
      <w:rPr>
        <w:rFonts w:ascii="Arial" w:hAnsi="Arial" w:hint="default"/>
      </w:rPr>
    </w:lvl>
    <w:lvl w:ilvl="4" w:tplc="E39EC3CA" w:tentative="1">
      <w:start w:val="1"/>
      <w:numFmt w:val="bullet"/>
      <w:lvlText w:val="•"/>
      <w:lvlJc w:val="left"/>
      <w:pPr>
        <w:tabs>
          <w:tab w:val="num" w:pos="3600"/>
        </w:tabs>
        <w:ind w:left="3600" w:hanging="360"/>
      </w:pPr>
      <w:rPr>
        <w:rFonts w:ascii="Arial" w:hAnsi="Arial" w:hint="default"/>
      </w:rPr>
    </w:lvl>
    <w:lvl w:ilvl="5" w:tplc="D69C99F8" w:tentative="1">
      <w:start w:val="1"/>
      <w:numFmt w:val="bullet"/>
      <w:lvlText w:val="•"/>
      <w:lvlJc w:val="left"/>
      <w:pPr>
        <w:tabs>
          <w:tab w:val="num" w:pos="4320"/>
        </w:tabs>
        <w:ind w:left="4320" w:hanging="360"/>
      </w:pPr>
      <w:rPr>
        <w:rFonts w:ascii="Arial" w:hAnsi="Arial" w:hint="default"/>
      </w:rPr>
    </w:lvl>
    <w:lvl w:ilvl="6" w:tplc="43B6ECA8" w:tentative="1">
      <w:start w:val="1"/>
      <w:numFmt w:val="bullet"/>
      <w:lvlText w:val="•"/>
      <w:lvlJc w:val="left"/>
      <w:pPr>
        <w:tabs>
          <w:tab w:val="num" w:pos="5040"/>
        </w:tabs>
        <w:ind w:left="5040" w:hanging="360"/>
      </w:pPr>
      <w:rPr>
        <w:rFonts w:ascii="Arial" w:hAnsi="Arial" w:hint="default"/>
      </w:rPr>
    </w:lvl>
    <w:lvl w:ilvl="7" w:tplc="81EA57E2" w:tentative="1">
      <w:start w:val="1"/>
      <w:numFmt w:val="bullet"/>
      <w:lvlText w:val="•"/>
      <w:lvlJc w:val="left"/>
      <w:pPr>
        <w:tabs>
          <w:tab w:val="num" w:pos="5760"/>
        </w:tabs>
        <w:ind w:left="5760" w:hanging="360"/>
      </w:pPr>
      <w:rPr>
        <w:rFonts w:ascii="Arial" w:hAnsi="Arial" w:hint="default"/>
      </w:rPr>
    </w:lvl>
    <w:lvl w:ilvl="8" w:tplc="0C5096A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39"/>
  </w:num>
  <w:num w:numId="3">
    <w:abstractNumId w:val="41"/>
  </w:num>
  <w:num w:numId="4">
    <w:abstractNumId w:val="1"/>
  </w:num>
  <w:num w:numId="5">
    <w:abstractNumId w:val="33"/>
  </w:num>
  <w:num w:numId="6">
    <w:abstractNumId w:val="33"/>
  </w:num>
  <w:num w:numId="7">
    <w:abstractNumId w:val="33"/>
  </w:num>
  <w:num w:numId="8">
    <w:abstractNumId w:val="33"/>
  </w:num>
  <w:num w:numId="9">
    <w:abstractNumId w:val="33"/>
  </w:num>
  <w:num w:numId="10">
    <w:abstractNumId w:val="33"/>
  </w:num>
  <w:num w:numId="11">
    <w:abstractNumId w:val="33"/>
  </w:num>
  <w:num w:numId="12">
    <w:abstractNumId w:val="33"/>
  </w:num>
  <w:num w:numId="13">
    <w:abstractNumId w:val="33"/>
  </w:num>
  <w:num w:numId="14">
    <w:abstractNumId w:val="10"/>
  </w:num>
  <w:num w:numId="15">
    <w:abstractNumId w:val="32"/>
  </w:num>
  <w:num w:numId="16">
    <w:abstractNumId w:val="35"/>
  </w:num>
  <w:num w:numId="17">
    <w:abstractNumId w:val="38"/>
  </w:num>
  <w:num w:numId="18">
    <w:abstractNumId w:val="12"/>
  </w:num>
  <w:num w:numId="19">
    <w:abstractNumId w:val="34"/>
  </w:num>
  <w:num w:numId="20">
    <w:abstractNumId w:val="9"/>
  </w:num>
  <w:num w:numId="21">
    <w:abstractNumId w:val="28"/>
  </w:num>
  <w:num w:numId="22">
    <w:abstractNumId w:val="36"/>
  </w:num>
  <w:num w:numId="23">
    <w:abstractNumId w:val="13"/>
  </w:num>
  <w:num w:numId="24">
    <w:abstractNumId w:val="5"/>
  </w:num>
  <w:num w:numId="25">
    <w:abstractNumId w:val="4"/>
  </w:num>
  <w:num w:numId="26">
    <w:abstractNumId w:val="11"/>
  </w:num>
  <w:num w:numId="27">
    <w:abstractNumId w:val="21"/>
  </w:num>
  <w:num w:numId="28">
    <w:abstractNumId w:val="18"/>
  </w:num>
  <w:num w:numId="29">
    <w:abstractNumId w:val="29"/>
  </w:num>
  <w:num w:numId="30">
    <w:abstractNumId w:val="7"/>
  </w:num>
  <w:num w:numId="31">
    <w:abstractNumId w:val="20"/>
  </w:num>
  <w:num w:numId="32">
    <w:abstractNumId w:val="22"/>
  </w:num>
  <w:num w:numId="33">
    <w:abstractNumId w:val="30"/>
  </w:num>
  <w:num w:numId="34">
    <w:abstractNumId w:val="31"/>
  </w:num>
  <w:num w:numId="35">
    <w:abstractNumId w:val="40"/>
  </w:num>
  <w:num w:numId="36">
    <w:abstractNumId w:val="15"/>
  </w:num>
  <w:num w:numId="37">
    <w:abstractNumId w:val="27"/>
  </w:num>
  <w:num w:numId="38">
    <w:abstractNumId w:val="26"/>
  </w:num>
  <w:num w:numId="39">
    <w:abstractNumId w:val="16"/>
  </w:num>
  <w:num w:numId="40">
    <w:abstractNumId w:val="8"/>
  </w:num>
  <w:num w:numId="41">
    <w:abstractNumId w:val="2"/>
  </w:num>
  <w:num w:numId="42">
    <w:abstractNumId w:val="3"/>
  </w:num>
  <w:num w:numId="43">
    <w:abstractNumId w:val="6"/>
  </w:num>
  <w:num w:numId="44">
    <w:abstractNumId w:val="19"/>
  </w:num>
  <w:num w:numId="45">
    <w:abstractNumId w:val="14"/>
  </w:num>
  <w:num w:numId="46">
    <w:abstractNumId w:val="37"/>
  </w:num>
  <w:num w:numId="47">
    <w:abstractNumId w:val="23"/>
  </w:num>
  <w:num w:numId="48">
    <w:abstractNumId w:val="24"/>
  </w:num>
  <w:num w:numId="49">
    <w:abstractNumId w:val="25"/>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3C1"/>
    <w:rsid w:val="000044F4"/>
    <w:rsid w:val="00006711"/>
    <w:rsid w:val="00016A32"/>
    <w:rsid w:val="00017417"/>
    <w:rsid w:val="00032100"/>
    <w:rsid w:val="00040681"/>
    <w:rsid w:val="00050616"/>
    <w:rsid w:val="00060A5A"/>
    <w:rsid w:val="000629A5"/>
    <w:rsid w:val="00064B44"/>
    <w:rsid w:val="00067219"/>
    <w:rsid w:val="00067FE2"/>
    <w:rsid w:val="000730E5"/>
    <w:rsid w:val="00073E79"/>
    <w:rsid w:val="0007682E"/>
    <w:rsid w:val="00083364"/>
    <w:rsid w:val="000849FF"/>
    <w:rsid w:val="000B4575"/>
    <w:rsid w:val="000B4AA6"/>
    <w:rsid w:val="000B586B"/>
    <w:rsid w:val="000B691A"/>
    <w:rsid w:val="000C232B"/>
    <w:rsid w:val="000D09D1"/>
    <w:rsid w:val="000D0BDF"/>
    <w:rsid w:val="000D1AEB"/>
    <w:rsid w:val="000D3E64"/>
    <w:rsid w:val="000F13C5"/>
    <w:rsid w:val="000F3BC2"/>
    <w:rsid w:val="000F464E"/>
    <w:rsid w:val="000F5AB7"/>
    <w:rsid w:val="0010122B"/>
    <w:rsid w:val="00105A36"/>
    <w:rsid w:val="00107D6A"/>
    <w:rsid w:val="001168E0"/>
    <w:rsid w:val="001313B4"/>
    <w:rsid w:val="0014546D"/>
    <w:rsid w:val="0014561B"/>
    <w:rsid w:val="001500D9"/>
    <w:rsid w:val="00155C47"/>
    <w:rsid w:val="00156DB7"/>
    <w:rsid w:val="00157228"/>
    <w:rsid w:val="00160C3C"/>
    <w:rsid w:val="00161490"/>
    <w:rsid w:val="001724BE"/>
    <w:rsid w:val="00174C84"/>
    <w:rsid w:val="0017783C"/>
    <w:rsid w:val="0019006F"/>
    <w:rsid w:val="0019314C"/>
    <w:rsid w:val="001A7A9B"/>
    <w:rsid w:val="001B2BA4"/>
    <w:rsid w:val="001B47E3"/>
    <w:rsid w:val="001B67E6"/>
    <w:rsid w:val="001C1790"/>
    <w:rsid w:val="001C23AA"/>
    <w:rsid w:val="001C2B1C"/>
    <w:rsid w:val="001C4FAB"/>
    <w:rsid w:val="001C575C"/>
    <w:rsid w:val="001C6C4E"/>
    <w:rsid w:val="001E15A0"/>
    <w:rsid w:val="001E44C8"/>
    <w:rsid w:val="001E5EB4"/>
    <w:rsid w:val="001E6C1F"/>
    <w:rsid w:val="001F2A7E"/>
    <w:rsid w:val="001F3182"/>
    <w:rsid w:val="001F38F0"/>
    <w:rsid w:val="00205BED"/>
    <w:rsid w:val="00210802"/>
    <w:rsid w:val="00237426"/>
    <w:rsid w:val="00237430"/>
    <w:rsid w:val="00243D17"/>
    <w:rsid w:val="0024428E"/>
    <w:rsid w:val="0025413A"/>
    <w:rsid w:val="00266882"/>
    <w:rsid w:val="002716F2"/>
    <w:rsid w:val="00273AE9"/>
    <w:rsid w:val="00276437"/>
    <w:rsid w:val="00276A99"/>
    <w:rsid w:val="00286AD9"/>
    <w:rsid w:val="00290376"/>
    <w:rsid w:val="00292AC2"/>
    <w:rsid w:val="00293403"/>
    <w:rsid w:val="002966F3"/>
    <w:rsid w:val="002A3531"/>
    <w:rsid w:val="002A47D5"/>
    <w:rsid w:val="002A4DD6"/>
    <w:rsid w:val="002B5DD7"/>
    <w:rsid w:val="002B62BF"/>
    <w:rsid w:val="002B69F3"/>
    <w:rsid w:val="002B763A"/>
    <w:rsid w:val="002C5C4D"/>
    <w:rsid w:val="002D382A"/>
    <w:rsid w:val="002D4395"/>
    <w:rsid w:val="002F0A2E"/>
    <w:rsid w:val="002F1EDD"/>
    <w:rsid w:val="003013F2"/>
    <w:rsid w:val="0030232A"/>
    <w:rsid w:val="00302C16"/>
    <w:rsid w:val="0030694A"/>
    <w:rsid w:val="003069F4"/>
    <w:rsid w:val="00312789"/>
    <w:rsid w:val="00313E81"/>
    <w:rsid w:val="0031655A"/>
    <w:rsid w:val="003177E0"/>
    <w:rsid w:val="00326C64"/>
    <w:rsid w:val="00331E71"/>
    <w:rsid w:val="0033270B"/>
    <w:rsid w:val="0034557E"/>
    <w:rsid w:val="0035063F"/>
    <w:rsid w:val="00353267"/>
    <w:rsid w:val="00360920"/>
    <w:rsid w:val="0036392C"/>
    <w:rsid w:val="00363D6D"/>
    <w:rsid w:val="0036537E"/>
    <w:rsid w:val="003728E3"/>
    <w:rsid w:val="0037360A"/>
    <w:rsid w:val="003742F5"/>
    <w:rsid w:val="00383B4E"/>
    <w:rsid w:val="00384709"/>
    <w:rsid w:val="00386C35"/>
    <w:rsid w:val="003953E4"/>
    <w:rsid w:val="003A3BD3"/>
    <w:rsid w:val="003A3D77"/>
    <w:rsid w:val="003A496A"/>
    <w:rsid w:val="003B4E19"/>
    <w:rsid w:val="003B5AED"/>
    <w:rsid w:val="003C6B7B"/>
    <w:rsid w:val="003E54CA"/>
    <w:rsid w:val="003E66EF"/>
    <w:rsid w:val="00404698"/>
    <w:rsid w:val="004135BD"/>
    <w:rsid w:val="00421992"/>
    <w:rsid w:val="00422077"/>
    <w:rsid w:val="00422571"/>
    <w:rsid w:val="0042743C"/>
    <w:rsid w:val="00427C6E"/>
    <w:rsid w:val="004302A4"/>
    <w:rsid w:val="00431F26"/>
    <w:rsid w:val="004463BA"/>
    <w:rsid w:val="0045690E"/>
    <w:rsid w:val="00457D66"/>
    <w:rsid w:val="0046640B"/>
    <w:rsid w:val="00467BAA"/>
    <w:rsid w:val="0047515C"/>
    <w:rsid w:val="004822D4"/>
    <w:rsid w:val="0049290B"/>
    <w:rsid w:val="004A4451"/>
    <w:rsid w:val="004A490A"/>
    <w:rsid w:val="004A7348"/>
    <w:rsid w:val="004D061B"/>
    <w:rsid w:val="004D3958"/>
    <w:rsid w:val="004D3BE6"/>
    <w:rsid w:val="004E581C"/>
    <w:rsid w:val="004F1207"/>
    <w:rsid w:val="005008DF"/>
    <w:rsid w:val="005045D0"/>
    <w:rsid w:val="0050618E"/>
    <w:rsid w:val="0051245F"/>
    <w:rsid w:val="00514E96"/>
    <w:rsid w:val="0052049A"/>
    <w:rsid w:val="00520C4C"/>
    <w:rsid w:val="00521342"/>
    <w:rsid w:val="005224EF"/>
    <w:rsid w:val="00534C6C"/>
    <w:rsid w:val="005442F3"/>
    <w:rsid w:val="0056001D"/>
    <w:rsid w:val="0056715B"/>
    <w:rsid w:val="00573610"/>
    <w:rsid w:val="0057433C"/>
    <w:rsid w:val="005750F8"/>
    <w:rsid w:val="00581DCD"/>
    <w:rsid w:val="005841C0"/>
    <w:rsid w:val="005858B5"/>
    <w:rsid w:val="00586936"/>
    <w:rsid w:val="0059260F"/>
    <w:rsid w:val="00593B5D"/>
    <w:rsid w:val="00596109"/>
    <w:rsid w:val="00596D50"/>
    <w:rsid w:val="00596D9F"/>
    <w:rsid w:val="005A2268"/>
    <w:rsid w:val="005A5D6E"/>
    <w:rsid w:val="005B1F3A"/>
    <w:rsid w:val="005B6B3D"/>
    <w:rsid w:val="005D4AA7"/>
    <w:rsid w:val="005E11FA"/>
    <w:rsid w:val="005E3D63"/>
    <w:rsid w:val="005E5074"/>
    <w:rsid w:val="005E77AF"/>
    <w:rsid w:val="005F7D05"/>
    <w:rsid w:val="00612E4F"/>
    <w:rsid w:val="00615A46"/>
    <w:rsid w:val="00615D5E"/>
    <w:rsid w:val="00622E99"/>
    <w:rsid w:val="006236AB"/>
    <w:rsid w:val="00624F7F"/>
    <w:rsid w:val="00625E5D"/>
    <w:rsid w:val="00627A4E"/>
    <w:rsid w:val="00627F3F"/>
    <w:rsid w:val="006347D8"/>
    <w:rsid w:val="00637F4C"/>
    <w:rsid w:val="00644923"/>
    <w:rsid w:val="00650843"/>
    <w:rsid w:val="00655812"/>
    <w:rsid w:val="0066370F"/>
    <w:rsid w:val="00670F65"/>
    <w:rsid w:val="006819E0"/>
    <w:rsid w:val="00685CC4"/>
    <w:rsid w:val="006A0784"/>
    <w:rsid w:val="006A697B"/>
    <w:rsid w:val="006A7BA3"/>
    <w:rsid w:val="006B035E"/>
    <w:rsid w:val="006B4DDE"/>
    <w:rsid w:val="006C03AE"/>
    <w:rsid w:val="006C3F68"/>
    <w:rsid w:val="006C4EE0"/>
    <w:rsid w:val="006C55AF"/>
    <w:rsid w:val="006E37BE"/>
    <w:rsid w:val="006E450B"/>
    <w:rsid w:val="006F105E"/>
    <w:rsid w:val="006F7DA4"/>
    <w:rsid w:val="00700035"/>
    <w:rsid w:val="0071683C"/>
    <w:rsid w:val="00724158"/>
    <w:rsid w:val="007334AB"/>
    <w:rsid w:val="007367E2"/>
    <w:rsid w:val="00743968"/>
    <w:rsid w:val="00746DDB"/>
    <w:rsid w:val="007503C0"/>
    <w:rsid w:val="00782371"/>
    <w:rsid w:val="00785415"/>
    <w:rsid w:val="007854F5"/>
    <w:rsid w:val="00791CB9"/>
    <w:rsid w:val="007930E1"/>
    <w:rsid w:val="00793130"/>
    <w:rsid w:val="00794B59"/>
    <w:rsid w:val="007A453E"/>
    <w:rsid w:val="007B3233"/>
    <w:rsid w:val="007B3F82"/>
    <w:rsid w:val="007B53B3"/>
    <w:rsid w:val="007B5A42"/>
    <w:rsid w:val="007C199B"/>
    <w:rsid w:val="007C2764"/>
    <w:rsid w:val="007D3073"/>
    <w:rsid w:val="007D4909"/>
    <w:rsid w:val="007D64B9"/>
    <w:rsid w:val="007D72D4"/>
    <w:rsid w:val="007E0452"/>
    <w:rsid w:val="007E60BB"/>
    <w:rsid w:val="007F147C"/>
    <w:rsid w:val="007F3611"/>
    <w:rsid w:val="008070C0"/>
    <w:rsid w:val="00811C12"/>
    <w:rsid w:val="0082104D"/>
    <w:rsid w:val="00823417"/>
    <w:rsid w:val="00842BDB"/>
    <w:rsid w:val="00845778"/>
    <w:rsid w:val="008513F0"/>
    <w:rsid w:val="00872DE2"/>
    <w:rsid w:val="0088226F"/>
    <w:rsid w:val="00884B6C"/>
    <w:rsid w:val="00885C9D"/>
    <w:rsid w:val="0088730E"/>
    <w:rsid w:val="00887E28"/>
    <w:rsid w:val="0089171F"/>
    <w:rsid w:val="00895023"/>
    <w:rsid w:val="008A11D0"/>
    <w:rsid w:val="008A167A"/>
    <w:rsid w:val="008A62C0"/>
    <w:rsid w:val="008B2FAA"/>
    <w:rsid w:val="008C0A99"/>
    <w:rsid w:val="008D5C3A"/>
    <w:rsid w:val="008D701E"/>
    <w:rsid w:val="008D7B10"/>
    <w:rsid w:val="008E0BBD"/>
    <w:rsid w:val="008E5AE0"/>
    <w:rsid w:val="008E6CCE"/>
    <w:rsid w:val="008E6DA2"/>
    <w:rsid w:val="008E71F1"/>
    <w:rsid w:val="008F727F"/>
    <w:rsid w:val="00907B1E"/>
    <w:rsid w:val="00914574"/>
    <w:rsid w:val="00917057"/>
    <w:rsid w:val="0092393A"/>
    <w:rsid w:val="00943AFD"/>
    <w:rsid w:val="00957573"/>
    <w:rsid w:val="0096391A"/>
    <w:rsid w:val="00963A51"/>
    <w:rsid w:val="009700A1"/>
    <w:rsid w:val="00974D41"/>
    <w:rsid w:val="00977085"/>
    <w:rsid w:val="009777EB"/>
    <w:rsid w:val="00983B6E"/>
    <w:rsid w:val="009936F8"/>
    <w:rsid w:val="00994434"/>
    <w:rsid w:val="00996BB5"/>
    <w:rsid w:val="009A3772"/>
    <w:rsid w:val="009B590D"/>
    <w:rsid w:val="009C0863"/>
    <w:rsid w:val="009C190C"/>
    <w:rsid w:val="009C5A71"/>
    <w:rsid w:val="009C6796"/>
    <w:rsid w:val="009D0B1D"/>
    <w:rsid w:val="009D17F0"/>
    <w:rsid w:val="009E0E5E"/>
    <w:rsid w:val="00A20E77"/>
    <w:rsid w:val="00A212BC"/>
    <w:rsid w:val="00A22659"/>
    <w:rsid w:val="00A42796"/>
    <w:rsid w:val="00A5311D"/>
    <w:rsid w:val="00A64E52"/>
    <w:rsid w:val="00A842FD"/>
    <w:rsid w:val="00A84487"/>
    <w:rsid w:val="00A95272"/>
    <w:rsid w:val="00AA521F"/>
    <w:rsid w:val="00AA5DC4"/>
    <w:rsid w:val="00AA739F"/>
    <w:rsid w:val="00AB6C7A"/>
    <w:rsid w:val="00AC0BA0"/>
    <w:rsid w:val="00AC3435"/>
    <w:rsid w:val="00AD11DC"/>
    <w:rsid w:val="00AD2323"/>
    <w:rsid w:val="00AD3B58"/>
    <w:rsid w:val="00AE23FC"/>
    <w:rsid w:val="00AF039B"/>
    <w:rsid w:val="00AF1DCF"/>
    <w:rsid w:val="00AF56C6"/>
    <w:rsid w:val="00B021C2"/>
    <w:rsid w:val="00B032E8"/>
    <w:rsid w:val="00B15817"/>
    <w:rsid w:val="00B17B62"/>
    <w:rsid w:val="00B220DF"/>
    <w:rsid w:val="00B23D8E"/>
    <w:rsid w:val="00B26B72"/>
    <w:rsid w:val="00B3562F"/>
    <w:rsid w:val="00B51470"/>
    <w:rsid w:val="00B5476B"/>
    <w:rsid w:val="00B554E9"/>
    <w:rsid w:val="00B57F96"/>
    <w:rsid w:val="00B6308C"/>
    <w:rsid w:val="00B66B91"/>
    <w:rsid w:val="00B67892"/>
    <w:rsid w:val="00B73E40"/>
    <w:rsid w:val="00B758D7"/>
    <w:rsid w:val="00B76B6B"/>
    <w:rsid w:val="00B77C6B"/>
    <w:rsid w:val="00B815FD"/>
    <w:rsid w:val="00B82B56"/>
    <w:rsid w:val="00B85148"/>
    <w:rsid w:val="00B90C7C"/>
    <w:rsid w:val="00BA4D33"/>
    <w:rsid w:val="00BC2D06"/>
    <w:rsid w:val="00BC3662"/>
    <w:rsid w:val="00BC7ACB"/>
    <w:rsid w:val="00BD43BA"/>
    <w:rsid w:val="00BE67D9"/>
    <w:rsid w:val="00BF0DB2"/>
    <w:rsid w:val="00C007C2"/>
    <w:rsid w:val="00C04FA4"/>
    <w:rsid w:val="00C26A2E"/>
    <w:rsid w:val="00C33F35"/>
    <w:rsid w:val="00C5561A"/>
    <w:rsid w:val="00C61D99"/>
    <w:rsid w:val="00C6523C"/>
    <w:rsid w:val="00C65A82"/>
    <w:rsid w:val="00C744EB"/>
    <w:rsid w:val="00C90702"/>
    <w:rsid w:val="00C912F6"/>
    <w:rsid w:val="00C917FF"/>
    <w:rsid w:val="00C93A7D"/>
    <w:rsid w:val="00C9766A"/>
    <w:rsid w:val="00CB03D4"/>
    <w:rsid w:val="00CB6256"/>
    <w:rsid w:val="00CB7596"/>
    <w:rsid w:val="00CC2B31"/>
    <w:rsid w:val="00CC4F39"/>
    <w:rsid w:val="00CC6AD1"/>
    <w:rsid w:val="00CC7629"/>
    <w:rsid w:val="00CD544C"/>
    <w:rsid w:val="00CD7A74"/>
    <w:rsid w:val="00CF1450"/>
    <w:rsid w:val="00CF4256"/>
    <w:rsid w:val="00CF5D30"/>
    <w:rsid w:val="00D020EF"/>
    <w:rsid w:val="00D04FE8"/>
    <w:rsid w:val="00D05BB9"/>
    <w:rsid w:val="00D1439B"/>
    <w:rsid w:val="00D176CF"/>
    <w:rsid w:val="00D21073"/>
    <w:rsid w:val="00D271E3"/>
    <w:rsid w:val="00D2766E"/>
    <w:rsid w:val="00D34EC7"/>
    <w:rsid w:val="00D3575D"/>
    <w:rsid w:val="00D36E62"/>
    <w:rsid w:val="00D4139A"/>
    <w:rsid w:val="00D42690"/>
    <w:rsid w:val="00D47A80"/>
    <w:rsid w:val="00D50E0A"/>
    <w:rsid w:val="00D51807"/>
    <w:rsid w:val="00D63BF5"/>
    <w:rsid w:val="00D67D14"/>
    <w:rsid w:val="00D702D1"/>
    <w:rsid w:val="00D713D0"/>
    <w:rsid w:val="00D7258C"/>
    <w:rsid w:val="00D74F0B"/>
    <w:rsid w:val="00D753F0"/>
    <w:rsid w:val="00D77808"/>
    <w:rsid w:val="00D83BEF"/>
    <w:rsid w:val="00D85807"/>
    <w:rsid w:val="00D86D4B"/>
    <w:rsid w:val="00D87349"/>
    <w:rsid w:val="00D90D1A"/>
    <w:rsid w:val="00D91EE9"/>
    <w:rsid w:val="00D94355"/>
    <w:rsid w:val="00D97220"/>
    <w:rsid w:val="00DC1D21"/>
    <w:rsid w:val="00DC5A7E"/>
    <w:rsid w:val="00DC5C90"/>
    <w:rsid w:val="00DE316A"/>
    <w:rsid w:val="00E039F0"/>
    <w:rsid w:val="00E06390"/>
    <w:rsid w:val="00E067E8"/>
    <w:rsid w:val="00E110A3"/>
    <w:rsid w:val="00E140C4"/>
    <w:rsid w:val="00E14D47"/>
    <w:rsid w:val="00E1641C"/>
    <w:rsid w:val="00E26708"/>
    <w:rsid w:val="00E30CEB"/>
    <w:rsid w:val="00E34958"/>
    <w:rsid w:val="00E349E9"/>
    <w:rsid w:val="00E37AB0"/>
    <w:rsid w:val="00E37F0B"/>
    <w:rsid w:val="00E440BA"/>
    <w:rsid w:val="00E53846"/>
    <w:rsid w:val="00E63496"/>
    <w:rsid w:val="00E66906"/>
    <w:rsid w:val="00E71C39"/>
    <w:rsid w:val="00E773E5"/>
    <w:rsid w:val="00E86681"/>
    <w:rsid w:val="00E9379E"/>
    <w:rsid w:val="00EA049A"/>
    <w:rsid w:val="00EA0BF3"/>
    <w:rsid w:val="00EA56E6"/>
    <w:rsid w:val="00EA7703"/>
    <w:rsid w:val="00EC335F"/>
    <w:rsid w:val="00EC36A1"/>
    <w:rsid w:val="00EC48FB"/>
    <w:rsid w:val="00ED530E"/>
    <w:rsid w:val="00EE2A5D"/>
    <w:rsid w:val="00EE74B0"/>
    <w:rsid w:val="00EF232A"/>
    <w:rsid w:val="00EF6934"/>
    <w:rsid w:val="00F003F7"/>
    <w:rsid w:val="00F04072"/>
    <w:rsid w:val="00F05A69"/>
    <w:rsid w:val="00F235C3"/>
    <w:rsid w:val="00F26858"/>
    <w:rsid w:val="00F27BFE"/>
    <w:rsid w:val="00F3293E"/>
    <w:rsid w:val="00F43FFD"/>
    <w:rsid w:val="00F44236"/>
    <w:rsid w:val="00F52517"/>
    <w:rsid w:val="00F61490"/>
    <w:rsid w:val="00F625DA"/>
    <w:rsid w:val="00F6458D"/>
    <w:rsid w:val="00F71B57"/>
    <w:rsid w:val="00F7350B"/>
    <w:rsid w:val="00F95822"/>
    <w:rsid w:val="00F976D0"/>
    <w:rsid w:val="00FA18DE"/>
    <w:rsid w:val="00FA2852"/>
    <w:rsid w:val="00FA3D64"/>
    <w:rsid w:val="00FA57B2"/>
    <w:rsid w:val="00FA6297"/>
    <w:rsid w:val="00FB22BE"/>
    <w:rsid w:val="00FB4022"/>
    <w:rsid w:val="00FB509B"/>
    <w:rsid w:val="00FC1CB1"/>
    <w:rsid w:val="00FC1F37"/>
    <w:rsid w:val="00FC3D4B"/>
    <w:rsid w:val="00FC560C"/>
    <w:rsid w:val="00FC6312"/>
    <w:rsid w:val="00FE2337"/>
    <w:rsid w:val="00FE36E3"/>
    <w:rsid w:val="00FE425D"/>
    <w:rsid w:val="00FE6B01"/>
    <w:rsid w:val="00FF31B3"/>
    <w:rsid w:val="00FF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EB8177"/>
  <w15:chartTrackingRefBased/>
  <w15:docId w15:val="{1C4BA77D-3B61-4AA4-AB7C-1EB41AB9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spacing w:after="240"/>
      <w:outlineLvl w:val="0"/>
    </w:pPr>
    <w:rPr>
      <w:b/>
      <w:caps/>
      <w:szCs w:val="20"/>
    </w:rPr>
  </w:style>
  <w:style w:type="paragraph" w:styleId="Heading2">
    <w:name w:val="heading 2"/>
    <w:basedOn w:val="Normal"/>
    <w:next w:val="BodyText"/>
    <w:qFormat/>
    <w:pPr>
      <w:keepNext/>
      <w:spacing w:before="240" w:after="240"/>
      <w:outlineLvl w:val="1"/>
    </w:pPr>
    <w:rPr>
      <w:b/>
      <w:szCs w:val="20"/>
    </w:rPr>
  </w:style>
  <w:style w:type="paragraph" w:styleId="Heading3">
    <w:name w:val="heading 3"/>
    <w:basedOn w:val="Normal"/>
    <w:next w:val="BodyText"/>
    <w:qFormat/>
    <w:pPr>
      <w:keepNext/>
      <w:tabs>
        <w:tab w:val="left" w:pos="1008"/>
      </w:tabs>
      <w:spacing w:before="240" w:after="240"/>
      <w:outlineLvl w:val="2"/>
    </w:pPr>
    <w:rPr>
      <w:b/>
      <w:bCs/>
      <w:i/>
      <w:szCs w:val="20"/>
    </w:rPr>
  </w:style>
  <w:style w:type="paragraph" w:styleId="Heading4">
    <w:name w:val="heading 4"/>
    <w:basedOn w:val="Normal"/>
    <w:next w:val="BodyText"/>
    <w:qFormat/>
    <w:pPr>
      <w:keepNext/>
      <w:widowControl w:val="0"/>
      <w:tabs>
        <w:tab w:val="left" w:pos="1296"/>
      </w:tabs>
      <w:spacing w:before="240" w:after="240"/>
      <w:outlineLvl w:val="3"/>
    </w:pPr>
    <w:rPr>
      <w:b/>
      <w:bCs/>
      <w:snapToGrid w:val="0"/>
      <w:szCs w:val="20"/>
    </w:rPr>
  </w:style>
  <w:style w:type="paragraph" w:styleId="Heading5">
    <w:name w:val="heading 5"/>
    <w:basedOn w:val="Normal"/>
    <w:next w:val="BodyText"/>
    <w:qFormat/>
    <w:pPr>
      <w:keepNext/>
      <w:tabs>
        <w:tab w:val="left" w:pos="1440"/>
      </w:tabs>
      <w:spacing w:before="240" w:after="240"/>
      <w:outlineLvl w:val="4"/>
    </w:pPr>
    <w:rPr>
      <w:b/>
      <w:bCs/>
      <w:i/>
      <w:iCs/>
      <w:szCs w:val="26"/>
    </w:rPr>
  </w:style>
  <w:style w:type="paragraph" w:styleId="Heading6">
    <w:name w:val="heading 6"/>
    <w:basedOn w:val="Normal"/>
    <w:next w:val="BodyText"/>
    <w:qFormat/>
    <w:pPr>
      <w:keepNext/>
      <w:tabs>
        <w:tab w:val="left" w:pos="1584"/>
      </w:tabs>
      <w:spacing w:before="240" w:after="240"/>
      <w:outlineLvl w:val="5"/>
    </w:pPr>
    <w:rPr>
      <w:b/>
      <w:bCs/>
      <w:szCs w:val="22"/>
    </w:rPr>
  </w:style>
  <w:style w:type="paragraph" w:styleId="Heading7">
    <w:name w:val="heading 7"/>
    <w:basedOn w:val="Normal"/>
    <w:next w:val="BodyText"/>
    <w:qFormat/>
    <w:pPr>
      <w:keepNext/>
      <w:tabs>
        <w:tab w:val="left" w:pos="1728"/>
      </w:tabs>
      <w:spacing w:before="240" w:after="240"/>
      <w:outlineLvl w:val="6"/>
    </w:pPr>
  </w:style>
  <w:style w:type="paragraph" w:styleId="Heading8">
    <w:name w:val="heading 8"/>
    <w:basedOn w:val="Normal"/>
    <w:next w:val="BodyText"/>
    <w:qFormat/>
    <w:pPr>
      <w:keepNext/>
      <w:tabs>
        <w:tab w:val="left" w:pos="1872"/>
      </w:tabs>
      <w:spacing w:before="240" w:after="240"/>
      <w:outlineLvl w:val="7"/>
    </w:pPr>
    <w:rPr>
      <w:i/>
      <w:iCs/>
    </w:rPr>
  </w:style>
  <w:style w:type="paragraph" w:styleId="Heading9">
    <w:name w:val="heading 9"/>
    <w:basedOn w:val="Normal"/>
    <w:next w:val="BodyText"/>
    <w:qFormat/>
    <w:pPr>
      <w:keepNext/>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tabs>
        <w:tab w:val="left" w:pos="900"/>
      </w:tabs>
      <w:ind w:left="900" w:hanging="900"/>
    </w:pPr>
  </w:style>
  <w:style w:type="paragraph" w:customStyle="1" w:styleId="H3">
    <w:name w:val="H3"/>
    <w:basedOn w:val="Heading3"/>
    <w:next w:val="BodyText"/>
    <w:pPr>
      <w:tabs>
        <w:tab w:val="clear" w:pos="1008"/>
        <w:tab w:val="left" w:pos="1080"/>
      </w:tabs>
      <w:ind w:left="1080" w:hanging="1080"/>
    </w:pPr>
  </w:style>
  <w:style w:type="paragraph" w:customStyle="1" w:styleId="H4">
    <w:name w:val="H4"/>
    <w:basedOn w:val="Heading4"/>
    <w:next w:val="BodyText"/>
    <w:pPr>
      <w:tabs>
        <w:tab w:val="clear" w:pos="1296"/>
        <w:tab w:val="left" w:pos="1260"/>
      </w:tabs>
      <w:ind w:left="1260" w:hanging="1260"/>
    </w:pPr>
  </w:style>
  <w:style w:type="paragraph" w:customStyle="1" w:styleId="H5">
    <w:name w:val="H5"/>
    <w:basedOn w:val="Heading5"/>
    <w:next w:val="BodyText"/>
    <w:pPr>
      <w:tabs>
        <w:tab w:val="clear" w:pos="1440"/>
        <w:tab w:val="left" w:pos="1620"/>
      </w:tabs>
      <w:ind w:left="1620" w:hanging="1620"/>
    </w:pPr>
  </w:style>
  <w:style w:type="paragraph" w:customStyle="1" w:styleId="H6">
    <w:name w:val="H6"/>
    <w:basedOn w:val="Heading6"/>
    <w:next w:val="BodyText"/>
    <w:pPr>
      <w:tabs>
        <w:tab w:val="clear" w:pos="1584"/>
        <w:tab w:val="left" w:pos="1800"/>
      </w:tabs>
      <w:ind w:left="1800" w:hanging="1800"/>
    </w:pPr>
  </w:style>
  <w:style w:type="paragraph" w:customStyle="1" w:styleId="H7">
    <w:name w:val="H7"/>
    <w:basedOn w:val="Heading7"/>
    <w:next w:val="BodyText"/>
    <w:pPr>
      <w:tabs>
        <w:tab w:val="clear" w:pos="1728"/>
        <w:tab w:val="left" w:pos="1980"/>
      </w:tabs>
      <w:ind w:left="1980" w:hanging="1980"/>
    </w:pPr>
    <w:rPr>
      <w:b/>
      <w:i/>
    </w:rPr>
  </w:style>
  <w:style w:type="paragraph" w:customStyle="1" w:styleId="H8">
    <w:name w:val="H8"/>
    <w:basedOn w:val="Heading8"/>
    <w:next w:val="BodyText"/>
    <w:pPr>
      <w:tabs>
        <w:tab w:val="clear" w:pos="1872"/>
        <w:tab w:val="left" w:pos="2160"/>
      </w:tabs>
      <w:ind w:left="2160" w:hanging="2160"/>
    </w:pPr>
    <w:rPr>
      <w:b/>
      <w:i w:val="0"/>
    </w:rPr>
  </w:style>
  <w:style w:type="paragraph" w:customStyle="1" w:styleId="H9">
    <w:name w:val="H9"/>
    <w:basedOn w:val="Heading9"/>
    <w:next w:val="BodyText"/>
    <w:p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 w:type="paragraph" w:styleId="Caption">
    <w:name w:val="caption"/>
    <w:basedOn w:val="Normal"/>
    <w:next w:val="Normal"/>
    <w:unhideWhenUsed/>
    <w:qFormat/>
    <w:rsid w:val="00D42690"/>
    <w:pPr>
      <w:spacing w:after="200"/>
    </w:pPr>
    <w:rPr>
      <w:i/>
      <w:iCs/>
      <w:color w:val="44546A" w:themeColor="text2"/>
      <w:sz w:val="18"/>
      <w:szCs w:val="18"/>
    </w:rPr>
  </w:style>
  <w:style w:type="character" w:customStyle="1" w:styleId="FootnoteTextChar">
    <w:name w:val="Footnote Text Char"/>
    <w:basedOn w:val="DefaultParagraphFont"/>
    <w:link w:val="FootnoteText"/>
    <w:uiPriority w:val="99"/>
    <w:semiHidden/>
    <w:rsid w:val="00457D66"/>
    <w:rPr>
      <w:sz w:val="18"/>
    </w:rPr>
  </w:style>
  <w:style w:type="character" w:styleId="FootnoteReference">
    <w:name w:val="footnote reference"/>
    <w:basedOn w:val="DefaultParagraphFont"/>
    <w:uiPriority w:val="99"/>
    <w:unhideWhenUsed/>
    <w:rsid w:val="00457D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13311">
      <w:bodyDiv w:val="1"/>
      <w:marLeft w:val="0"/>
      <w:marRight w:val="0"/>
      <w:marTop w:val="0"/>
      <w:marBottom w:val="0"/>
      <w:divBdr>
        <w:top w:val="none" w:sz="0" w:space="0" w:color="auto"/>
        <w:left w:val="none" w:sz="0" w:space="0" w:color="auto"/>
        <w:bottom w:val="none" w:sz="0" w:space="0" w:color="auto"/>
        <w:right w:val="none" w:sz="0" w:space="0" w:color="auto"/>
      </w:divBdr>
      <w:divsChild>
        <w:div w:id="710300438">
          <w:marLeft w:val="547"/>
          <w:marRight w:val="0"/>
          <w:marTop w:val="12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98478705">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06787395">
      <w:bodyDiv w:val="1"/>
      <w:marLeft w:val="0"/>
      <w:marRight w:val="0"/>
      <w:marTop w:val="0"/>
      <w:marBottom w:val="0"/>
      <w:divBdr>
        <w:top w:val="none" w:sz="0" w:space="0" w:color="auto"/>
        <w:left w:val="none" w:sz="0" w:space="0" w:color="auto"/>
        <w:bottom w:val="none" w:sz="0" w:space="0" w:color="auto"/>
        <w:right w:val="none" w:sz="0" w:space="0" w:color="auto"/>
      </w:divBdr>
      <w:divsChild>
        <w:div w:id="169683372">
          <w:marLeft w:val="1166"/>
          <w:marRight w:val="0"/>
          <w:marTop w:val="86"/>
          <w:marBottom w:val="0"/>
          <w:divBdr>
            <w:top w:val="none" w:sz="0" w:space="0" w:color="auto"/>
            <w:left w:val="none" w:sz="0" w:space="0" w:color="auto"/>
            <w:bottom w:val="none" w:sz="0" w:space="0" w:color="auto"/>
            <w:right w:val="none" w:sz="0" w:space="0" w:color="auto"/>
          </w:divBdr>
        </w:div>
        <w:div w:id="391779462">
          <w:marLeft w:val="1166"/>
          <w:marRight w:val="0"/>
          <w:marTop w:val="86"/>
          <w:marBottom w:val="0"/>
          <w:divBdr>
            <w:top w:val="none" w:sz="0" w:space="0" w:color="auto"/>
            <w:left w:val="none" w:sz="0" w:space="0" w:color="auto"/>
            <w:bottom w:val="none" w:sz="0" w:space="0" w:color="auto"/>
            <w:right w:val="none" w:sz="0" w:space="0" w:color="auto"/>
          </w:divBdr>
        </w:div>
        <w:div w:id="1853297681">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calendar/2020/2/25/191190-BEST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Public</Information_x0020_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83940-8102-47C4-B7D7-679A21061FE8}">
  <ds:schemaRefs>
    <ds:schemaRef ds:uri="http://schemas.microsoft.com/sharepoint/v3/contenttype/forms"/>
  </ds:schemaRefs>
</ds:datastoreItem>
</file>

<file path=customXml/itemProps2.xml><?xml version="1.0" encoding="utf-8"?>
<ds:datastoreItem xmlns:ds="http://schemas.openxmlformats.org/officeDocument/2006/customXml" ds:itemID="{1F21AAB1-A056-4A8E-8F70-580AAE2F4806}">
  <ds:schemaRefs>
    <ds:schemaRef ds:uri="http://schemas.microsoft.com/office/2006/metadata/properties"/>
    <ds:schemaRef ds:uri="http://schemas.microsoft.com/office/infopath/2007/PartnerControls"/>
    <ds:schemaRef ds:uri="c34af464-7aa1-4edd-9be4-83dffc1cb926"/>
  </ds:schemaRefs>
</ds:datastoreItem>
</file>

<file path=customXml/itemProps3.xml><?xml version="1.0" encoding="utf-8"?>
<ds:datastoreItem xmlns:ds="http://schemas.openxmlformats.org/officeDocument/2006/customXml" ds:itemID="{39A2BAFD-2E86-49F6-885B-E8016F00D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AED8FC-19D6-434B-961B-F38732CC6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2119</Words>
  <Characters>12082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Ayson, Janice</cp:lastModifiedBy>
  <cp:revision>3</cp:revision>
  <cp:lastPrinted>2013-11-15T22:11:00Z</cp:lastPrinted>
  <dcterms:created xsi:type="dcterms:W3CDTF">2020-04-06T22:12:00Z</dcterms:created>
  <dcterms:modified xsi:type="dcterms:W3CDTF">2020-04-07T12:39:00Z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