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E95DDDE" w14:textId="77777777" w:rsidTr="00367C42">
        <w:tc>
          <w:tcPr>
            <w:tcW w:w="1710" w:type="dxa"/>
            <w:tcBorders>
              <w:bottom w:val="single" w:sz="4" w:space="0" w:color="auto"/>
            </w:tcBorders>
            <w:shd w:val="clear" w:color="auto" w:fill="FFFFFF"/>
            <w:vAlign w:val="center"/>
          </w:tcPr>
          <w:p w14:paraId="466EAF6F"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1F4D05B9"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E16039"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3558A1" w14:textId="77777777" w:rsidR="00067FE2" w:rsidRPr="00073E79" w:rsidRDefault="00807E0E" w:rsidP="00573610">
            <w:pPr>
              <w:pStyle w:val="Header"/>
            </w:pPr>
            <w:r>
              <w:t>DC-</w:t>
            </w:r>
            <w:r w:rsidR="00601DD8" w:rsidRPr="00601DD8">
              <w:t>Coupled Resource</w:t>
            </w:r>
            <w:r>
              <w:t>s</w:t>
            </w:r>
          </w:p>
        </w:tc>
      </w:tr>
      <w:tr w:rsidR="00067FE2" w:rsidRPr="00E01925" w14:paraId="1B49EFC2" w14:textId="77777777" w:rsidTr="00367C42">
        <w:trPr>
          <w:trHeight w:val="518"/>
        </w:trPr>
        <w:tc>
          <w:tcPr>
            <w:tcW w:w="2340" w:type="dxa"/>
            <w:gridSpan w:val="2"/>
            <w:shd w:val="clear" w:color="auto" w:fill="FFFFFF"/>
            <w:vAlign w:val="center"/>
          </w:tcPr>
          <w:p w14:paraId="566D957E"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50CE8C0" w14:textId="6C236DCA" w:rsidR="00067FE2" w:rsidRPr="00073E79" w:rsidRDefault="00367C42" w:rsidP="000730E5">
            <w:pPr>
              <w:pStyle w:val="NormalArial"/>
            </w:pPr>
            <w:r>
              <w:t>April 3, 2020</w:t>
            </w:r>
          </w:p>
        </w:tc>
      </w:tr>
      <w:tr w:rsidR="00067FE2" w14:paraId="787FDFCC" w14:textId="77777777" w:rsidTr="00367C42">
        <w:trPr>
          <w:trHeight w:val="323"/>
        </w:trPr>
        <w:tc>
          <w:tcPr>
            <w:tcW w:w="2340" w:type="dxa"/>
            <w:gridSpan w:val="2"/>
            <w:tcBorders>
              <w:top w:val="single" w:sz="4" w:space="0" w:color="auto"/>
              <w:left w:val="nil"/>
              <w:bottom w:val="nil"/>
              <w:right w:val="nil"/>
            </w:tcBorders>
            <w:shd w:val="clear" w:color="auto" w:fill="FFFFFF"/>
            <w:vAlign w:val="center"/>
          </w:tcPr>
          <w:p w14:paraId="7E7FAF6D" w14:textId="77777777" w:rsidR="00067FE2" w:rsidRDefault="00067FE2" w:rsidP="00F44236">
            <w:pPr>
              <w:pStyle w:val="NormalArial"/>
            </w:pPr>
          </w:p>
        </w:tc>
        <w:tc>
          <w:tcPr>
            <w:tcW w:w="8100" w:type="dxa"/>
            <w:gridSpan w:val="2"/>
            <w:tcBorders>
              <w:top w:val="nil"/>
              <w:left w:val="nil"/>
              <w:bottom w:val="nil"/>
              <w:right w:val="nil"/>
            </w:tcBorders>
            <w:vAlign w:val="center"/>
          </w:tcPr>
          <w:p w14:paraId="0379F385" w14:textId="77777777" w:rsidR="00067FE2" w:rsidRDefault="00067FE2" w:rsidP="00F44236">
            <w:pPr>
              <w:pStyle w:val="NormalArial"/>
            </w:pPr>
          </w:p>
        </w:tc>
      </w:tr>
      <w:tr w:rsidR="009D17F0" w14:paraId="761C86F9"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5CB994F0"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56939088" w14:textId="77777777"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48A264AA"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3F72E8EE"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365ED0A6" w14:textId="77777777"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6E773024" w14:textId="77777777"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6D7ECBFD" w14:textId="77777777"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34648CF1" w14:textId="7F96062A" w:rsidR="00E00CA6" w:rsidRPr="00961879" w:rsidRDefault="00E00CA6" w:rsidP="00961879">
            <w:pPr>
              <w:pStyle w:val="NormalArial"/>
              <w:numPr>
                <w:ilvl w:val="0"/>
                <w:numId w:val="6"/>
              </w:numPr>
              <w:spacing w:before="120" w:after="120"/>
              <w:rPr>
                <w:color w:val="000000"/>
              </w:rPr>
            </w:pPr>
            <w:r>
              <w:rPr>
                <w:rFonts w:cs="Arial"/>
                <w:iCs/>
              </w:rPr>
              <w:t xml:space="preserve">Forecasting </w:t>
            </w:r>
            <w:proofErr w:type="spellStart"/>
            <w:r>
              <w:rPr>
                <w:rFonts w:cs="Arial"/>
                <w:iCs/>
              </w:rPr>
              <w:t>PhotoVoltaic</w:t>
            </w:r>
            <w:proofErr w:type="spellEnd"/>
            <w:r>
              <w:rPr>
                <w:rFonts w:cs="Arial"/>
                <w:iCs/>
              </w:rPr>
              <w:t>/Wind production from a DC Coupled Resource and Current Operating Plan (COP)</w:t>
            </w:r>
          </w:p>
          <w:p w14:paraId="107FBFE9" w14:textId="77777777"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0FF216A1"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555ACED1" w14:textId="77777777"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17BD07D6" w14:textId="77777777"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49E26366"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D0C24E9"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25F0C4DB"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20BCC09B" w14:textId="77777777"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0435B2E2"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1B1C40E6"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25F28542" w14:textId="77777777"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63EEF650" w14:textId="77777777" w:rsidR="00E00CA6" w:rsidRDefault="00E00CA6" w:rsidP="009777EB">
            <w:pPr>
              <w:pStyle w:val="NormalArial"/>
              <w:spacing w:before="120" w:after="120"/>
              <w:rPr>
                <w:color w:val="000000"/>
              </w:rPr>
            </w:pPr>
          </w:p>
          <w:p w14:paraId="616C43E3" w14:textId="77777777" w:rsidR="00E00CA6" w:rsidRDefault="00E00CA6" w:rsidP="009777EB">
            <w:pPr>
              <w:pStyle w:val="NormalArial"/>
              <w:spacing w:before="120" w:after="120"/>
              <w:rPr>
                <w:color w:val="000000"/>
              </w:rPr>
            </w:pPr>
          </w:p>
          <w:p w14:paraId="117539BA" w14:textId="77777777" w:rsidR="00E00CA6" w:rsidRDefault="00E00CA6" w:rsidP="009777EB">
            <w:pPr>
              <w:pStyle w:val="NormalArial"/>
              <w:spacing w:before="120" w:after="120"/>
              <w:rPr>
                <w:color w:val="000000"/>
              </w:rPr>
            </w:pPr>
          </w:p>
          <w:p w14:paraId="59345B60" w14:textId="77777777" w:rsidR="00E00CA6" w:rsidRPr="00520C4C" w:rsidRDefault="00E00CA6" w:rsidP="009777EB">
            <w:pPr>
              <w:pStyle w:val="NormalArial"/>
              <w:spacing w:before="120" w:after="120"/>
              <w:rPr>
                <w:color w:val="000000"/>
              </w:rPr>
            </w:pPr>
          </w:p>
        </w:tc>
      </w:tr>
      <w:tr w:rsidR="00032100" w14:paraId="52E2E5FA"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18FCB217" w14:textId="77777777"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148D826" w14:textId="27A56A8C" w:rsidR="00BF0DB2" w:rsidRDefault="00BF0DB2" w:rsidP="00BF0DB2">
            <w:pPr>
              <w:pStyle w:val="NormalArial"/>
              <w:spacing w:before="120" w:after="120"/>
            </w:pPr>
            <w:r>
              <w:t xml:space="preserve">On </w:t>
            </w:r>
            <w:r w:rsidR="009342DC">
              <w:t xml:space="preserve">1/17/20 and </w:t>
            </w:r>
            <w:r>
              <w:t>02/25/2020</w:t>
            </w:r>
            <w:r w:rsidR="00032100" w:rsidRPr="00BC3662">
              <w:t xml:space="preserve">, ERCOT staff presented </w:t>
            </w:r>
            <w:r w:rsidR="00961879">
              <w:t>presentations on the concepts listed above.</w:t>
            </w:r>
          </w:p>
          <w:p w14:paraId="529901B2" w14:textId="07C8034E" w:rsidR="009C0863" w:rsidRPr="00BC3662" w:rsidRDefault="00644C89" w:rsidP="00A22659">
            <w:pPr>
              <w:pStyle w:val="NormalArial"/>
              <w:spacing w:before="120" w:after="120"/>
            </w:pPr>
            <w:r>
              <w:t>On 03/13/20, the BESTF reached consensus on KTC 11.</w:t>
            </w:r>
            <w:r w:rsidR="00637F4C" w:rsidRPr="00BC3662">
              <w:t xml:space="preserve">  </w:t>
            </w:r>
            <w:r w:rsidR="00AD11DC" w:rsidRPr="00BC3662">
              <w:t xml:space="preserve">  </w:t>
            </w:r>
          </w:p>
        </w:tc>
      </w:tr>
      <w:tr w:rsidR="00032100" w14:paraId="3281CBD0" w14:textId="77777777" w:rsidTr="00367C42">
        <w:trPr>
          <w:trHeight w:val="518"/>
        </w:trPr>
        <w:tc>
          <w:tcPr>
            <w:tcW w:w="2340" w:type="dxa"/>
            <w:gridSpan w:val="2"/>
            <w:tcBorders>
              <w:bottom w:val="single" w:sz="4" w:space="0" w:color="auto"/>
            </w:tcBorders>
            <w:shd w:val="clear" w:color="auto" w:fill="FFFFFF"/>
            <w:vAlign w:val="center"/>
          </w:tcPr>
          <w:p w14:paraId="659D7944"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542108D" w14:textId="2637C99B" w:rsidR="00514E96" w:rsidRPr="00BC3662" w:rsidRDefault="00514E96" w:rsidP="00AA739F">
            <w:pPr>
              <w:pStyle w:val="NormalArial"/>
              <w:spacing w:before="120" w:after="120"/>
            </w:pPr>
          </w:p>
        </w:tc>
      </w:tr>
      <w:tr w:rsidR="00032100" w14:paraId="7885D4F0" w14:textId="77777777" w:rsidTr="00367C42">
        <w:trPr>
          <w:trHeight w:val="518"/>
        </w:trPr>
        <w:tc>
          <w:tcPr>
            <w:tcW w:w="2340" w:type="dxa"/>
            <w:gridSpan w:val="2"/>
            <w:tcBorders>
              <w:bottom w:val="single" w:sz="4" w:space="0" w:color="auto"/>
            </w:tcBorders>
            <w:shd w:val="clear" w:color="auto" w:fill="FFFFFF"/>
            <w:vAlign w:val="center"/>
          </w:tcPr>
          <w:p w14:paraId="3874B531"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7057EF57" w14:textId="1D9D8D6B" w:rsidR="00FC1CB1" w:rsidRPr="00BC3662" w:rsidRDefault="00367C42" w:rsidP="00367C42">
            <w:pPr>
              <w:pStyle w:val="NormalArial"/>
              <w:spacing w:before="120" w:after="120"/>
            </w:pPr>
            <w:r>
              <w:t xml:space="preserve">On </w:t>
            </w:r>
            <w:r>
              <w:t>4/1/20</w:t>
            </w:r>
            <w:r>
              <w:t>, TAC approved KTC 1</w:t>
            </w:r>
            <w:r>
              <w:t>1</w:t>
            </w:r>
            <w:r>
              <w:t>.</w:t>
            </w:r>
          </w:p>
        </w:tc>
      </w:tr>
    </w:tbl>
    <w:p w14:paraId="4146F09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2C1200" w14:textId="77777777">
        <w:trPr>
          <w:trHeight w:val="350"/>
        </w:trPr>
        <w:tc>
          <w:tcPr>
            <w:tcW w:w="10440" w:type="dxa"/>
            <w:tcBorders>
              <w:bottom w:val="single" w:sz="4" w:space="0" w:color="auto"/>
            </w:tcBorders>
            <w:shd w:val="clear" w:color="auto" w:fill="FFFFFF"/>
            <w:vAlign w:val="center"/>
          </w:tcPr>
          <w:p w14:paraId="59890FB2"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07BB9140" w14:textId="77777777" w:rsidR="00BC2D06" w:rsidRPr="00957573" w:rsidRDefault="00BC2D06" w:rsidP="00BC2D06">
      <w:pPr>
        <w:ind w:left="360"/>
        <w:rPr>
          <w:rFonts w:ascii="Arial" w:hAnsi="Arial" w:cs="Arial"/>
        </w:rPr>
      </w:pPr>
    </w:p>
    <w:p w14:paraId="41BFF27B"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70A72F74" w14:textId="77777777" w:rsidR="00367C42" w:rsidRDefault="00367C42" w:rsidP="00367C42">
      <w:pPr>
        <w:pStyle w:val="ListParagraph"/>
        <w:spacing w:before="120" w:after="120"/>
        <w:ind w:left="0"/>
        <w:contextualSpacing w:val="0"/>
        <w:rPr>
          <w:rFonts w:cs="Arial"/>
          <w:iCs/>
          <w:color w:val="auto"/>
        </w:rPr>
      </w:pPr>
      <w:r>
        <w:rPr>
          <w:rFonts w:cs="Arial"/>
          <w:iCs/>
          <w:color w:val="auto"/>
        </w:rPr>
        <w:t>None.</w:t>
      </w:r>
    </w:p>
    <w:p w14:paraId="7DF76B90" w14:textId="77777777" w:rsidR="00D05BB9" w:rsidRPr="00073E79" w:rsidRDefault="00D05BB9" w:rsidP="00073E79">
      <w:pPr>
        <w:pStyle w:val="ListParagraph"/>
        <w:spacing w:before="120" w:after="120"/>
        <w:ind w:left="0"/>
        <w:contextualSpacing w:val="0"/>
        <w:rPr>
          <w:rFonts w:cs="Arial"/>
          <w:iCs/>
          <w:color w:val="auto"/>
        </w:rPr>
      </w:pPr>
      <w:bookmarkStart w:id="0" w:name="_GoBack"/>
      <w:bookmarkEnd w:id="0"/>
    </w:p>
    <w:p w14:paraId="17E6741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EAB43ED" w14:textId="77777777" w:rsidR="00367C42" w:rsidRPr="005D22B7" w:rsidRDefault="00367C42" w:rsidP="00367C42">
      <w:pPr>
        <w:spacing w:before="120" w:after="120"/>
        <w:rPr>
          <w:rFonts w:ascii="Arial" w:hAnsi="Arial" w:cs="Arial"/>
          <w:iCs/>
          <w:u w:val="single"/>
        </w:rPr>
      </w:pPr>
      <w:r w:rsidRPr="008B3091">
        <w:rPr>
          <w:rFonts w:ascii="Arial" w:hAnsi="Arial" w:cs="Arial"/>
          <w:iCs/>
          <w:u w:val="single"/>
        </w:rPr>
        <w:t>04/01</w:t>
      </w:r>
      <w:r w:rsidRPr="00D877FF">
        <w:rPr>
          <w:rFonts w:ascii="Arial" w:hAnsi="Arial" w:cs="Arial"/>
          <w:iCs/>
          <w:u w:val="single"/>
        </w:rPr>
        <w:t>/2</w:t>
      </w:r>
      <w:r w:rsidRPr="008B3091">
        <w:rPr>
          <w:rFonts w:ascii="Arial" w:hAnsi="Arial" w:cs="Arial"/>
          <w:iCs/>
          <w:u w:val="single"/>
        </w:rPr>
        <w:t>0 TAC Meeting (Consensus from 03/13/20</w:t>
      </w:r>
      <w:r w:rsidRPr="00D877FF">
        <w:rPr>
          <w:rFonts w:ascii="Arial" w:hAnsi="Arial" w:cs="Arial"/>
          <w:iCs/>
          <w:u w:val="single"/>
        </w:rPr>
        <w:t xml:space="preserve"> BESTF meeting):</w:t>
      </w:r>
    </w:p>
    <w:p w14:paraId="4B59B696"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DC-Coupled Resource Definition and Registration</w:t>
      </w:r>
    </w:p>
    <w:p w14:paraId="4BBE6A04" w14:textId="77777777" w:rsidR="00367C42" w:rsidRPr="004C511A" w:rsidRDefault="00367C42" w:rsidP="00367C42">
      <w:pPr>
        <w:pStyle w:val="ListParagraph"/>
        <w:numPr>
          <w:ilvl w:val="1"/>
          <w:numId w:val="4"/>
        </w:numPr>
        <w:spacing w:before="120" w:after="120"/>
        <w:rPr>
          <w:rFonts w:cs="Arial"/>
          <w:iCs/>
          <w:color w:val="auto"/>
        </w:rPr>
      </w:pPr>
      <w:r>
        <w:rPr>
          <w:rFonts w:cs="Arial"/>
          <w:iCs/>
          <w:color w:val="auto"/>
        </w:rPr>
        <w:t xml:space="preserve">Definition of DC-Coupled Resource:  </w:t>
      </w:r>
      <w:r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62F5E6E7"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Note: To be classified as a DC-Coupled Resource, the ESS component of the Resource may need to meet a minimum percentage threshold requirement (nameplate MW and/or MWh rating) in relation to the nameplate MW rating of the solar/wind facility.  </w:t>
      </w:r>
      <w:r>
        <w:rPr>
          <w:rFonts w:cs="Arial"/>
          <w:iCs/>
          <w:color w:val="auto"/>
        </w:rPr>
        <w:t xml:space="preserve">ERCOT will review the need for a </w:t>
      </w:r>
      <w:r w:rsidRPr="004C511A">
        <w:rPr>
          <w:rFonts w:cs="Arial"/>
          <w:iCs/>
          <w:color w:val="auto"/>
        </w:rPr>
        <w:t>minimum percentage</w:t>
      </w:r>
      <w:r>
        <w:rPr>
          <w:rFonts w:cs="Arial"/>
          <w:iCs/>
          <w:color w:val="auto"/>
        </w:rPr>
        <w:t xml:space="preserve"> threshold requirement annually.  </w:t>
      </w:r>
      <w:r w:rsidRPr="004C511A">
        <w:rPr>
          <w:rFonts w:cs="Arial"/>
          <w:iCs/>
          <w:color w:val="auto"/>
        </w:rPr>
        <w:t>In cases where the minimum threshold is not satisfied, the facility would be classified as a Wind or Solar Generation Resource.</w:t>
      </w:r>
    </w:p>
    <w:p w14:paraId="0EA828C0" w14:textId="77777777" w:rsidR="00367C42" w:rsidRDefault="00367C42" w:rsidP="00367C42">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Pr>
          <w:rFonts w:cs="Arial"/>
          <w:iCs/>
          <w:color w:val="auto"/>
        </w:rPr>
        <w:t>an ESS</w:t>
      </w:r>
      <w:r w:rsidRPr="004C511A">
        <w:rPr>
          <w:rFonts w:cs="Arial"/>
          <w:iCs/>
          <w:color w:val="auto"/>
        </w:rPr>
        <w:t xml:space="preserve"> in DC-Coupled combination with any technologies other than wind and solar </w:t>
      </w:r>
      <w:r>
        <w:rPr>
          <w:rFonts w:cs="Arial"/>
          <w:iCs/>
          <w:color w:val="auto"/>
        </w:rPr>
        <w:t>is</w:t>
      </w:r>
      <w:r w:rsidRPr="004C511A">
        <w:rPr>
          <w:rFonts w:cs="Arial"/>
          <w:iCs/>
          <w:color w:val="auto"/>
        </w:rPr>
        <w:t xml:space="preserve"> out of scope.</w:t>
      </w:r>
    </w:p>
    <w:p w14:paraId="643018C0" w14:textId="77777777" w:rsidR="00367C42" w:rsidRPr="004C511A" w:rsidRDefault="00367C42" w:rsidP="00367C42">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24327723" w14:textId="77777777" w:rsidR="00367C42" w:rsidRDefault="00367C42" w:rsidP="00367C42">
      <w:pPr>
        <w:pStyle w:val="ListParagraph"/>
        <w:numPr>
          <w:ilvl w:val="1"/>
          <w:numId w:val="4"/>
        </w:numPr>
        <w:spacing w:before="120" w:after="120"/>
        <w:contextualSpacing w:val="0"/>
        <w:rPr>
          <w:rFonts w:cs="Arial"/>
          <w:iCs/>
          <w:color w:val="auto"/>
        </w:rPr>
      </w:pPr>
      <w:r w:rsidRPr="004C511A">
        <w:rPr>
          <w:rFonts w:cs="Arial"/>
          <w:iCs/>
          <w:color w:val="auto"/>
        </w:rPr>
        <w:t xml:space="preserve">DC-Coupled Resources shall register as an ESR with a DC-Coupled attribute so that ERCOT systems can differentiate it from a stand-alone ESR. In addition, at Registration (RARF/RIOO), Resource Entities will be required to submit the same level of detail for both the generation facility </w:t>
      </w:r>
      <w:r w:rsidRPr="004C511A">
        <w:rPr>
          <w:rFonts w:cs="Arial"/>
          <w:iCs/>
          <w:color w:val="auto"/>
        </w:rPr>
        <w:lastRenderedPageBreak/>
        <w:t xml:space="preserve">(solar or wind) and the ESS as is required for stand-alone Generation Resources and ESRs.   </w:t>
      </w:r>
      <w:r>
        <w:rPr>
          <w:rFonts w:cs="Arial"/>
          <w:iCs/>
          <w:color w:val="auto"/>
        </w:rPr>
        <w:t xml:space="preserve"> </w:t>
      </w:r>
    </w:p>
    <w:p w14:paraId="3F113715" w14:textId="77777777" w:rsidR="00367C42" w:rsidRDefault="00367C42" w:rsidP="00367C42">
      <w:pPr>
        <w:pStyle w:val="ListParagraph"/>
        <w:numPr>
          <w:ilvl w:val="0"/>
          <w:numId w:val="4"/>
        </w:numPr>
        <w:spacing w:before="120" w:after="120"/>
        <w:contextualSpacing w:val="0"/>
        <w:rPr>
          <w:rFonts w:cs="Arial"/>
          <w:iCs/>
          <w:color w:val="auto"/>
        </w:rPr>
      </w:pPr>
      <w:r w:rsidRPr="00BF0DB2">
        <w:rPr>
          <w:rFonts w:cs="Arial"/>
          <w:iCs/>
          <w:color w:val="auto"/>
        </w:rPr>
        <w:t xml:space="preserve"> </w:t>
      </w:r>
      <w:r>
        <w:rPr>
          <w:rFonts w:cs="Arial"/>
          <w:iCs/>
          <w:color w:val="auto"/>
        </w:rPr>
        <w:t>DC-Coupled Resource participation m</w:t>
      </w:r>
      <w:r w:rsidRPr="005C21BC">
        <w:rPr>
          <w:rFonts w:cs="Arial"/>
          <w:iCs/>
          <w:color w:val="auto"/>
        </w:rPr>
        <w:t>odel (EMS and MMS)</w:t>
      </w:r>
    </w:p>
    <w:p w14:paraId="127AF168" w14:textId="77777777" w:rsidR="00367C42" w:rsidRDefault="00367C42" w:rsidP="00367C42">
      <w:pPr>
        <w:pStyle w:val="ListParagraph"/>
        <w:numPr>
          <w:ilvl w:val="1"/>
          <w:numId w:val="4"/>
        </w:numPr>
        <w:spacing w:before="120" w:after="120"/>
        <w:rPr>
          <w:rFonts w:cs="Arial"/>
          <w:iCs/>
          <w:color w:val="auto"/>
        </w:rPr>
      </w:pPr>
      <w:r w:rsidRPr="004C511A">
        <w:rPr>
          <w:rFonts w:cs="Arial"/>
          <w:iCs/>
          <w:color w:val="auto"/>
        </w:rPr>
        <w:t>For the “Combo Model ESR” era :</w:t>
      </w:r>
    </w:p>
    <w:p w14:paraId="118BCEEB"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3B8DC053"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4817F769"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5A7B4704"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4660566B"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78E02B46"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4AE9058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6886EC6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1B291B9E" w14:textId="77777777" w:rsidR="00367C42" w:rsidRPr="00284E7E" w:rsidRDefault="00367C42" w:rsidP="00367C42">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13154635" w14:textId="77777777" w:rsidR="00367C42" w:rsidRDefault="00367C42" w:rsidP="00367C42">
      <w:pPr>
        <w:pStyle w:val="ListParagraph"/>
        <w:spacing w:before="120" w:after="120"/>
        <w:ind w:left="2160"/>
        <w:rPr>
          <w:rFonts w:cs="Arial"/>
          <w:iCs/>
          <w:color w:val="auto"/>
        </w:rPr>
      </w:pPr>
    </w:p>
    <w:p w14:paraId="32330F82" w14:textId="77777777" w:rsidR="00367C42" w:rsidRDefault="00367C42" w:rsidP="00367C42">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6BE6C72A" w14:textId="77777777" w:rsidR="00367C42" w:rsidRPr="004C511A" w:rsidRDefault="00367C42" w:rsidP="00367C42">
      <w:pPr>
        <w:pStyle w:val="ListParagraph"/>
        <w:spacing w:before="120" w:after="120"/>
        <w:ind w:left="1440"/>
        <w:rPr>
          <w:rFonts w:cs="Arial"/>
          <w:iCs/>
          <w:color w:val="auto"/>
        </w:rPr>
      </w:pPr>
    </w:p>
    <w:p w14:paraId="0F738767"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5E1E38AF" w14:textId="77777777" w:rsidR="00367C42" w:rsidRDefault="00367C42" w:rsidP="00367C42">
      <w:pPr>
        <w:pStyle w:val="ListParagraph"/>
        <w:numPr>
          <w:ilvl w:val="2"/>
          <w:numId w:val="4"/>
        </w:numPr>
        <w:spacing w:before="120" w:after="120"/>
        <w:jc w:val="both"/>
        <w:rPr>
          <w:rFonts w:cs="Arial"/>
          <w:iCs/>
          <w:color w:val="auto"/>
        </w:rPr>
      </w:pPr>
      <w:r w:rsidRPr="004C511A">
        <w:rPr>
          <w:rFonts w:cs="Arial"/>
          <w:iCs/>
          <w:color w:val="auto"/>
        </w:rPr>
        <w:t>The HRL for the ESR will be set to the lesser of the AC MVA rating of the inverter or the sum of the AC equivalent MW ratings of the solar-wind facility and the ESS.</w:t>
      </w:r>
    </w:p>
    <w:p w14:paraId="4871693D"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 xml:space="preserve">QSEs will submit a single incremental Energy Bid/Offer Curve from charging (Bid-To-Buy) to discharging (Offer-To-Sell) that is </w:t>
      </w:r>
      <w:r w:rsidRPr="004C511A">
        <w:rPr>
          <w:rFonts w:cs="Arial"/>
          <w:iCs/>
          <w:color w:val="auto"/>
        </w:rPr>
        <w:lastRenderedPageBreak/>
        <w:t xml:space="preserve">monotonically non-decreasing from the ESR’s negative MW (charging) to positive MW (discharging) range </w:t>
      </w:r>
    </w:p>
    <w:p w14:paraId="41DF36EE"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Start-Up and Minimum Energy costs are zero.  In DAM, RUC and RTC there is no commitment cost — i.e. the optimization engine sees a Single Model ESR as an On-line Resource available for Dispatch.</w:t>
      </w:r>
    </w:p>
    <w:p w14:paraId="2B4B2646" w14:textId="77777777" w:rsidR="00367C42" w:rsidRPr="00807E0E" w:rsidRDefault="00367C42" w:rsidP="00367C42">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7D080EC9" w14:textId="77777777" w:rsidR="00367C42" w:rsidRPr="004C511A" w:rsidRDefault="00367C42" w:rsidP="00367C42">
      <w:pPr>
        <w:pStyle w:val="ListParagraph"/>
        <w:spacing w:before="120" w:after="120"/>
        <w:ind w:left="1440"/>
        <w:rPr>
          <w:rFonts w:cs="Arial"/>
          <w:iCs/>
          <w:color w:val="auto"/>
        </w:rPr>
      </w:pPr>
    </w:p>
    <w:p w14:paraId="392C4089"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Forecasting </w:t>
      </w:r>
      <w:proofErr w:type="spellStart"/>
      <w:r>
        <w:rPr>
          <w:rFonts w:cs="Arial"/>
          <w:iCs/>
          <w:color w:val="auto"/>
        </w:rPr>
        <w:t>PhotoVoltaic</w:t>
      </w:r>
      <w:proofErr w:type="spellEnd"/>
      <w:r>
        <w:rPr>
          <w:rFonts w:cs="Arial"/>
          <w:iCs/>
          <w:color w:val="auto"/>
        </w:rPr>
        <w:t>/Wind production from a DC-Coupled Resource and Current Operating Plan (COP)</w:t>
      </w:r>
    </w:p>
    <w:p w14:paraId="71B4A9FF"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Combo Model:</w:t>
      </w:r>
    </w:p>
    <w:p w14:paraId="3AEAA0DC" w14:textId="77777777" w:rsidR="00367C42" w:rsidRDefault="00367C42" w:rsidP="00367C42">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5629F043"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Single Model:</w:t>
      </w:r>
    </w:p>
    <w:p w14:paraId="21F31A1A" w14:textId="77777777" w:rsidR="00367C42" w:rsidRDefault="00367C42" w:rsidP="00367C42">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063D102B" w14:textId="77777777" w:rsidR="00367C42" w:rsidRPr="006F4B16" w:rsidRDefault="00367C42" w:rsidP="00367C42">
      <w:pPr>
        <w:pStyle w:val="ListParagraph"/>
        <w:spacing w:before="120" w:after="120"/>
        <w:ind w:left="2160"/>
        <w:rPr>
          <w:rFonts w:cs="Arial"/>
          <w:iCs/>
          <w:color w:val="auto"/>
        </w:rPr>
      </w:pPr>
    </w:p>
    <w:p w14:paraId="6FA2085A"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DC-Coupled Resource Performance Measurement (Base-Point Deviation and ESREDP)</w:t>
      </w:r>
    </w:p>
    <w:p w14:paraId="36275085" w14:textId="77777777" w:rsidR="00367C42" w:rsidRDefault="00367C42" w:rsidP="00367C42">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1D48C07B" w14:textId="77777777" w:rsidR="00367C42"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Pr>
          <w:rFonts w:cs="Arial"/>
          <w:iCs/>
          <w:color w:val="auto"/>
        </w:rPr>
        <w:t xml:space="preserve">ESS </w:t>
      </w:r>
      <w:r w:rsidRPr="00B86EC4">
        <w:rPr>
          <w:rFonts w:cs="Arial"/>
          <w:iCs/>
          <w:color w:val="auto"/>
        </w:rPr>
        <w:t xml:space="preserve">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ESREDP</w:t>
      </w:r>
      <w:r w:rsidRPr="00B86EC4">
        <w:rPr>
          <w:rFonts w:cs="Arial"/>
          <w:iCs/>
          <w:color w:val="auto"/>
        </w:rPr>
        <w:t xml:space="preserve"> performance metrics.</w:t>
      </w:r>
    </w:p>
    <w:p w14:paraId="0B0CF113" w14:textId="77777777" w:rsidR="00367C42" w:rsidRPr="00B86EC4"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w:t>
      </w:r>
      <w:r w:rsidRPr="00B86EC4">
        <w:rPr>
          <w:rFonts w:cs="Arial"/>
          <w:iCs/>
          <w:color w:val="auto"/>
        </w:rPr>
        <w:t xml:space="preserve"> 3% and 3</w:t>
      </w:r>
      <w:r>
        <w:rPr>
          <w:rFonts w:cs="Arial"/>
          <w:iCs/>
          <w:color w:val="auto"/>
        </w:rPr>
        <w:t xml:space="preserve"> </w:t>
      </w:r>
      <w:r w:rsidRPr="00B86EC4">
        <w:rPr>
          <w:rFonts w:cs="Arial"/>
          <w:iCs/>
          <w:color w:val="auto"/>
        </w:rPr>
        <w:t>MW</w:t>
      </w:r>
      <w:r>
        <w:rPr>
          <w:rFonts w:cs="Arial"/>
          <w:iCs/>
          <w:color w:val="auto"/>
        </w:rPr>
        <w:t xml:space="preserve"> for DC-Coupled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0A8916D6" w14:textId="77777777" w:rsidR="00367C42" w:rsidRDefault="00367C42" w:rsidP="00367C42">
      <w:pPr>
        <w:pStyle w:val="ListParagraph"/>
        <w:spacing w:before="120" w:after="120"/>
        <w:ind w:left="1440"/>
        <w:contextualSpacing w:val="0"/>
        <w:rPr>
          <w:rFonts w:cs="Arial"/>
          <w:iCs/>
          <w:color w:val="auto"/>
        </w:rPr>
      </w:pPr>
    </w:p>
    <w:p w14:paraId="483DB44F" w14:textId="77777777" w:rsidR="00367C42" w:rsidRDefault="00367C42" w:rsidP="00367C42">
      <w:pPr>
        <w:pStyle w:val="ListParagraph"/>
        <w:numPr>
          <w:ilvl w:val="1"/>
          <w:numId w:val="4"/>
        </w:numPr>
        <w:spacing w:before="120" w:after="120"/>
        <w:contextualSpacing w:val="0"/>
        <w:rPr>
          <w:rFonts w:cs="Arial"/>
          <w:iCs/>
          <w:color w:val="auto"/>
        </w:rPr>
      </w:pPr>
      <w:r w:rsidRPr="00B86EC4">
        <w:rPr>
          <w:rFonts w:cs="Arial"/>
          <w:iCs/>
          <w:color w:val="auto"/>
        </w:rPr>
        <w:t xml:space="preserve">Single Model: </w:t>
      </w:r>
    </w:p>
    <w:p w14:paraId="023B06C1" w14:textId="77777777" w:rsidR="00367C42"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ESRs</w:t>
      </w:r>
      <w:r w:rsidRPr="00B86EC4">
        <w:rPr>
          <w:rFonts w:cs="Arial"/>
          <w:iCs/>
          <w:color w:val="auto"/>
        </w:rPr>
        <w:t xml:space="preserve"> when the DC-Coupled Resource has received an Ancillary Service award or</w:t>
      </w:r>
      <w:r>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2D7EDB9A" w14:textId="77777777" w:rsidR="00367C42" w:rsidRPr="00B86EC4"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76BB7358" w14:textId="77777777" w:rsidR="00367C42" w:rsidRPr="00B86EC4" w:rsidRDefault="00367C42" w:rsidP="00367C42">
      <w:pPr>
        <w:pStyle w:val="ListParagraph"/>
        <w:spacing w:before="120" w:after="120"/>
        <w:ind w:left="2160"/>
        <w:contextualSpacing w:val="0"/>
        <w:rPr>
          <w:rFonts w:cs="Arial"/>
          <w:iCs/>
          <w:color w:val="auto"/>
        </w:rPr>
      </w:pPr>
    </w:p>
    <w:p w14:paraId="1044E3FE"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w:t>
      </w:r>
      <w:r w:rsidRPr="005C21BC">
        <w:rPr>
          <w:rFonts w:cs="Arial"/>
          <w:iCs/>
          <w:color w:val="auto"/>
        </w:rPr>
        <w:t>Mitigation treatment in SCED</w:t>
      </w:r>
      <w:r>
        <w:rPr>
          <w:rFonts w:cs="Arial"/>
          <w:iCs/>
          <w:color w:val="auto"/>
        </w:rPr>
        <w:t xml:space="preserve"> </w:t>
      </w:r>
    </w:p>
    <w:p w14:paraId="3DEB45D7" w14:textId="77777777" w:rsidR="00367C42" w:rsidRPr="00602E52" w:rsidRDefault="00367C42" w:rsidP="00367C42">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Pr>
          <w:rFonts w:cs="Arial"/>
          <w:iCs/>
          <w:color w:val="auto"/>
        </w:rPr>
        <w:t>-</w:t>
      </w:r>
      <w:r w:rsidRPr="00602E52">
        <w:rPr>
          <w:rFonts w:cs="Arial"/>
          <w:iCs/>
          <w:color w:val="auto"/>
        </w:rPr>
        <w:t>alone basis, could be subject to mitigation at 14.5 * FIP</w:t>
      </w:r>
      <w:r>
        <w:rPr>
          <w:rFonts w:cs="Arial"/>
          <w:iCs/>
          <w:color w:val="auto"/>
        </w:rPr>
        <w:t>.</w:t>
      </w:r>
    </w:p>
    <w:p w14:paraId="05E31649" w14:textId="77777777" w:rsidR="00367C42" w:rsidRDefault="00367C42" w:rsidP="00367C42">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Pr>
          <w:rFonts w:cs="Arial"/>
          <w:iCs/>
          <w:color w:val="auto"/>
        </w:rPr>
        <w:t>.</w:t>
      </w:r>
    </w:p>
    <w:p w14:paraId="73DAA570"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 Coupled Resource ---- </w:t>
      </w:r>
      <w:r w:rsidRPr="005C21BC">
        <w:rPr>
          <w:rFonts w:cs="Arial"/>
          <w:iCs/>
          <w:color w:val="auto"/>
        </w:rPr>
        <w:t>WSL Treatment &amp; R</w:t>
      </w:r>
      <w:r>
        <w:rPr>
          <w:rFonts w:cs="Arial"/>
          <w:iCs/>
          <w:color w:val="auto"/>
        </w:rPr>
        <w:t xml:space="preserve">enewable </w:t>
      </w:r>
      <w:r w:rsidRPr="005C21BC">
        <w:rPr>
          <w:rFonts w:cs="Arial"/>
          <w:iCs/>
          <w:color w:val="auto"/>
        </w:rPr>
        <w:t>E</w:t>
      </w:r>
      <w:r>
        <w:rPr>
          <w:rFonts w:cs="Arial"/>
          <w:iCs/>
          <w:color w:val="auto"/>
        </w:rPr>
        <w:t xml:space="preserve">nergy </w:t>
      </w:r>
      <w:r w:rsidRPr="005C21BC">
        <w:rPr>
          <w:rFonts w:cs="Arial"/>
          <w:iCs/>
          <w:color w:val="auto"/>
        </w:rPr>
        <w:t>C</w:t>
      </w:r>
      <w:r>
        <w:rPr>
          <w:rFonts w:cs="Arial"/>
          <w:iCs/>
          <w:color w:val="auto"/>
        </w:rPr>
        <w:t>redits</w:t>
      </w:r>
    </w:p>
    <w:p w14:paraId="2609BF5D"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5EFF080F"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78E506E8"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0546DBDC"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0A6D37DB"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1B047120"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1474A4AE" w14:textId="77777777" w:rsidR="00367C42" w:rsidRPr="00602E52" w:rsidRDefault="00367C42" w:rsidP="00367C42">
      <w:pPr>
        <w:pStyle w:val="ListParagraph"/>
        <w:numPr>
          <w:ilvl w:val="1"/>
          <w:numId w:val="4"/>
        </w:numPr>
        <w:spacing w:before="120" w:after="120"/>
        <w:contextualSpacing w:val="0"/>
        <w:rPr>
          <w:rFonts w:cs="Arial"/>
          <w:iCs/>
          <w:color w:val="auto"/>
        </w:rPr>
      </w:pPr>
      <w:r w:rsidRPr="0005511D">
        <w:rPr>
          <w:rFonts w:cs="Arial"/>
          <w:iCs/>
          <w:color w:val="auto"/>
        </w:rPr>
        <w:t>Commission filings by an Entity must include details on all generation at a facility and a representation of how the output of the renewable resource is metered.</w:t>
      </w:r>
    </w:p>
    <w:p w14:paraId="59DE68B2" w14:textId="77777777" w:rsidR="00367C42" w:rsidRPr="00905691" w:rsidRDefault="00367C42" w:rsidP="00367C42">
      <w:pPr>
        <w:pStyle w:val="ListParagraph"/>
        <w:numPr>
          <w:ilvl w:val="1"/>
          <w:numId w:val="4"/>
        </w:numPr>
        <w:spacing w:before="120" w:after="120"/>
        <w:rPr>
          <w:rFonts w:cs="Arial"/>
          <w:iCs/>
          <w:color w:val="auto"/>
        </w:rPr>
      </w:pPr>
      <w:r w:rsidRPr="00905691">
        <w:rPr>
          <w:rFonts w:cs="Arial"/>
          <w:iCs/>
          <w:color w:val="auto"/>
        </w:rPr>
        <w:t xml:space="preserve">Metering must be installed in a location to only record energy from generation certified by the PUCT to receive </w:t>
      </w:r>
      <w:proofErr w:type="spellStart"/>
      <w:r w:rsidRPr="00905691">
        <w:rPr>
          <w:rFonts w:cs="Arial"/>
          <w:iCs/>
          <w:color w:val="auto"/>
        </w:rPr>
        <w:t>RECs.</w:t>
      </w:r>
      <w:proofErr w:type="spellEnd"/>
    </w:p>
    <w:p w14:paraId="44636B6D" w14:textId="77777777" w:rsidR="00367C42" w:rsidRPr="00905691" w:rsidRDefault="00367C42" w:rsidP="00367C42">
      <w:pPr>
        <w:pStyle w:val="ListParagraph"/>
        <w:spacing w:before="120" w:after="120"/>
        <w:ind w:left="1440"/>
        <w:rPr>
          <w:rFonts w:cs="Arial"/>
          <w:iCs/>
          <w:color w:val="auto"/>
        </w:rPr>
      </w:pPr>
    </w:p>
    <w:p w14:paraId="351D0A9E" w14:textId="77777777" w:rsidR="00367C42" w:rsidRPr="00905691" w:rsidRDefault="00367C42" w:rsidP="00367C42">
      <w:pPr>
        <w:pStyle w:val="ListParagraph"/>
        <w:numPr>
          <w:ilvl w:val="1"/>
          <w:numId w:val="4"/>
        </w:numPr>
        <w:spacing w:before="120" w:after="120"/>
        <w:contextualSpacing w:val="0"/>
        <w:rPr>
          <w:rFonts w:cs="Arial"/>
          <w:iCs/>
          <w:color w:val="auto"/>
        </w:rPr>
      </w:pPr>
      <w:r w:rsidRPr="0005511D">
        <w:rPr>
          <w:rFonts w:cs="Arial"/>
          <w:iCs/>
          <w:color w:val="auto"/>
        </w:rPr>
        <w:t>Only</w:t>
      </w:r>
      <w:r>
        <w:rPr>
          <w:rFonts w:cs="Arial"/>
          <w:iCs/>
          <w:color w:val="auto"/>
        </w:rPr>
        <w:t xml:space="preserve"> MWh produced by</w:t>
      </w:r>
      <w:r w:rsidRPr="0005511D">
        <w:rPr>
          <w:rFonts w:cs="Arial"/>
          <w:iCs/>
          <w:color w:val="auto"/>
        </w:rPr>
        <w:t xml:space="preserve"> generators certified by the commission as a renewable generator are eligible to earn </w:t>
      </w:r>
      <w:proofErr w:type="spellStart"/>
      <w:r w:rsidRPr="0005511D">
        <w:rPr>
          <w:rFonts w:cs="Arial"/>
          <w:iCs/>
          <w:color w:val="auto"/>
        </w:rPr>
        <w:t>RECs</w:t>
      </w:r>
      <w:r>
        <w:rPr>
          <w:rFonts w:cs="Arial"/>
          <w:iCs/>
          <w:color w:val="auto"/>
        </w:rPr>
        <w:t>.</w:t>
      </w:r>
      <w:proofErr w:type="spellEnd"/>
      <w:r>
        <w:rPr>
          <w:rFonts w:cs="Arial"/>
          <w:iCs/>
          <w:color w:val="auto"/>
        </w:rPr>
        <w:t xml:space="preserve"> This may include generation from a certified renewable generator used to charge the ESS portion of a DC-Coupled Resource with sufficient metering in place per requirement (e) above</w:t>
      </w:r>
      <w:r w:rsidRPr="0005511D">
        <w:rPr>
          <w:rFonts w:cs="Arial"/>
          <w:iCs/>
          <w:color w:val="auto"/>
        </w:rPr>
        <w:t>.</w:t>
      </w:r>
    </w:p>
    <w:p w14:paraId="362D16F5" w14:textId="77777777" w:rsidR="00367C42" w:rsidRDefault="00367C42" w:rsidP="00367C42">
      <w:pPr>
        <w:pStyle w:val="ListParagraph"/>
        <w:spacing w:before="120" w:after="120"/>
        <w:contextualSpacing w:val="0"/>
        <w:rPr>
          <w:rFonts w:cs="Arial"/>
          <w:iCs/>
          <w:color w:val="auto"/>
        </w:rPr>
      </w:pPr>
    </w:p>
    <w:p w14:paraId="7AD67A62" w14:textId="77777777" w:rsidR="00367C42" w:rsidRDefault="00367C42" w:rsidP="00367C42">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11220973" w14:textId="77777777" w:rsidR="00367C42" w:rsidRDefault="00367C42" w:rsidP="00367C42">
      <w:pPr>
        <w:pStyle w:val="ListParagraph"/>
        <w:numPr>
          <w:ilvl w:val="1"/>
          <w:numId w:val="4"/>
        </w:numPr>
        <w:spacing w:before="120" w:after="120"/>
        <w:contextualSpacing w:val="0"/>
        <w:rPr>
          <w:rFonts w:cs="Arial"/>
          <w:iCs/>
          <w:color w:val="auto"/>
        </w:rPr>
      </w:pPr>
      <w:r>
        <w:rPr>
          <w:rFonts w:cs="Arial"/>
          <w:iCs/>
          <w:color w:val="auto"/>
        </w:rPr>
        <w:t>Combo-Model Era</w:t>
      </w:r>
    </w:p>
    <w:p w14:paraId="61D14064"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Resources and Controllable Load Resources so that ERCOT has adequate visibility into DC-Coupled Resources. </w:t>
      </w:r>
    </w:p>
    <w:p w14:paraId="33A01E56"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additional telemetry for </w:t>
      </w:r>
      <w:proofErr w:type="spellStart"/>
      <w:r>
        <w:rPr>
          <w:rFonts w:cs="Arial"/>
          <w:iCs/>
          <w:color w:val="auto"/>
        </w:rPr>
        <w:t>PhotoVoltaic</w:t>
      </w:r>
      <w:proofErr w:type="spellEnd"/>
      <w:r>
        <w:rPr>
          <w:rFonts w:cs="Arial"/>
          <w:iCs/>
          <w:color w:val="auto"/>
        </w:rPr>
        <w:t xml:space="preserve">/Wind and ESS portion of the DC-Coupled Resource to support forecasting, and additional visibility of each technology type. </w:t>
      </w:r>
    </w:p>
    <w:p w14:paraId="20B89333" w14:textId="77777777" w:rsidR="00367C42" w:rsidRPr="004C511A" w:rsidRDefault="00367C42" w:rsidP="00367C42">
      <w:pPr>
        <w:pStyle w:val="ListParagraph"/>
        <w:numPr>
          <w:ilvl w:val="1"/>
          <w:numId w:val="4"/>
        </w:numPr>
        <w:spacing w:before="120" w:after="120"/>
        <w:contextualSpacing w:val="0"/>
        <w:rPr>
          <w:rFonts w:cs="Arial"/>
          <w:iCs/>
          <w:color w:val="auto"/>
        </w:rPr>
      </w:pPr>
      <w:r>
        <w:rPr>
          <w:rFonts w:cs="Arial"/>
          <w:iCs/>
          <w:color w:val="auto"/>
        </w:rPr>
        <w:t>Single Model ESR</w:t>
      </w:r>
    </w:p>
    <w:p w14:paraId="63F3C9B7"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1A8E688B"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additional telemetry for </w:t>
      </w:r>
      <w:proofErr w:type="spellStart"/>
      <w:r>
        <w:rPr>
          <w:rFonts w:cs="Arial"/>
          <w:iCs/>
          <w:color w:val="auto"/>
        </w:rPr>
        <w:t>PhotoVoltaic</w:t>
      </w:r>
      <w:proofErr w:type="spellEnd"/>
      <w:r>
        <w:rPr>
          <w:rFonts w:cs="Arial"/>
          <w:iCs/>
          <w:color w:val="auto"/>
        </w:rPr>
        <w:t xml:space="preserve">/Wind and ESS portion of the DC Coupled Resource to support forecasting, and additional visibility of each technology type. </w:t>
      </w:r>
    </w:p>
    <w:p w14:paraId="644D6806"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treatment in </w:t>
      </w:r>
      <w:r w:rsidRPr="005C21BC">
        <w:rPr>
          <w:rFonts w:cs="Arial"/>
          <w:iCs/>
          <w:color w:val="auto"/>
        </w:rPr>
        <w:t>Operations and Planning Studies</w:t>
      </w:r>
      <w:r>
        <w:rPr>
          <w:rFonts w:cs="Arial"/>
          <w:iCs/>
          <w:color w:val="auto"/>
        </w:rPr>
        <w:t xml:space="preserve"> </w:t>
      </w:r>
    </w:p>
    <w:p w14:paraId="089C8B9E"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78A4F347"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Pr>
          <w:rFonts w:cs="Arial"/>
          <w:iCs/>
          <w:color w:val="auto"/>
        </w:rPr>
        <w:t xml:space="preserve"> singular time point study case and build upon ESS assumptions as applicable. </w:t>
      </w:r>
    </w:p>
    <w:p w14:paraId="6B15E48D"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41EDD581" w14:textId="77777777" w:rsidR="00367C42" w:rsidRDefault="00367C42" w:rsidP="00367C42">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5C249F70"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treatment in </w:t>
      </w:r>
      <w:r w:rsidRPr="005C21BC">
        <w:rPr>
          <w:rFonts w:cs="Arial"/>
          <w:iCs/>
          <w:color w:val="auto"/>
        </w:rPr>
        <w:t>Resource Adequacy Reporting</w:t>
      </w:r>
    </w:p>
    <w:p w14:paraId="040562E8" w14:textId="77777777" w:rsidR="00367C42" w:rsidRPr="002C0AE6" w:rsidRDefault="00367C42" w:rsidP="00367C42">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installed technology (wind/PV and ESS) behind the inverter and consider physical capability (inverter rating, self-limiting etc.) of a DC-Coupled Resource to inject into the ERCOT grid</w:t>
      </w:r>
      <w:r w:rsidRPr="002C0AE6">
        <w:rPr>
          <w:rFonts w:cs="Arial"/>
          <w:iCs/>
          <w:color w:val="auto"/>
        </w:rPr>
        <w:t xml:space="preserve">. </w:t>
      </w:r>
    </w:p>
    <w:p w14:paraId="5DB0223D" w14:textId="77777777" w:rsidR="00367C42" w:rsidRPr="002C0AE6" w:rsidRDefault="00367C42" w:rsidP="00367C42">
      <w:pPr>
        <w:pStyle w:val="ListParagraph"/>
        <w:numPr>
          <w:ilvl w:val="1"/>
          <w:numId w:val="4"/>
        </w:numPr>
        <w:spacing w:before="120" w:after="120"/>
        <w:rPr>
          <w:rFonts w:cs="Arial"/>
          <w:iCs/>
          <w:color w:val="auto"/>
        </w:rPr>
      </w:pPr>
      <w:r w:rsidRPr="002C0AE6">
        <w:rPr>
          <w:rFonts w:cs="Arial"/>
          <w:iCs/>
          <w:color w:val="auto"/>
        </w:rPr>
        <w:t xml:space="preserve">QSE shall provide </w:t>
      </w:r>
      <w:r>
        <w:rPr>
          <w:rFonts w:cs="Arial"/>
          <w:iCs/>
          <w:color w:val="auto"/>
        </w:rPr>
        <w:t xml:space="preserve">DC-Coupled Resource’s limitation (Inverter rating, installed capacity, and self-limiting </w:t>
      </w:r>
      <w:proofErr w:type="spellStart"/>
      <w:r>
        <w:rPr>
          <w:rFonts w:cs="Arial"/>
          <w:iCs/>
          <w:color w:val="auto"/>
        </w:rPr>
        <w:t>Pmax</w:t>
      </w:r>
      <w:proofErr w:type="spellEnd"/>
      <w:r>
        <w:rPr>
          <w:rFonts w:cs="Arial"/>
          <w:iCs/>
          <w:color w:val="auto"/>
        </w:rPr>
        <w:t>).</w:t>
      </w:r>
      <w:r w:rsidRPr="002C0AE6">
        <w:rPr>
          <w:rFonts w:cs="Arial"/>
          <w:iCs/>
          <w:color w:val="auto"/>
        </w:rPr>
        <w:t xml:space="preserve"> </w:t>
      </w:r>
    </w:p>
    <w:p w14:paraId="491E74B2" w14:textId="77777777" w:rsidR="00367C42" w:rsidRDefault="00367C42" w:rsidP="00367C42">
      <w:pPr>
        <w:pStyle w:val="ListParagraph"/>
        <w:spacing w:before="120" w:after="120"/>
        <w:contextualSpacing w:val="0"/>
        <w:rPr>
          <w:rFonts w:cs="Arial"/>
          <w:iCs/>
          <w:color w:val="auto"/>
        </w:rPr>
      </w:pPr>
    </w:p>
    <w:p w14:paraId="306FB824" w14:textId="77777777" w:rsidR="00367C42" w:rsidRDefault="00367C42" w:rsidP="00367C42">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48F810FF" w14:textId="77777777" w:rsidR="00367C42" w:rsidRDefault="00367C42" w:rsidP="00367C42">
      <w:pPr>
        <w:pStyle w:val="ListParagraph"/>
        <w:numPr>
          <w:ilvl w:val="1"/>
          <w:numId w:val="4"/>
        </w:numPr>
        <w:spacing w:before="120" w:after="120"/>
        <w:contextualSpacing w:val="0"/>
        <w:rPr>
          <w:rFonts w:cs="Arial"/>
          <w:iCs/>
          <w:color w:val="auto"/>
        </w:rPr>
      </w:pPr>
      <w:r>
        <w:rPr>
          <w:rFonts w:cs="Arial"/>
          <w:iCs/>
          <w:color w:val="auto"/>
        </w:rPr>
        <w:t>Combo-Model Era</w:t>
      </w:r>
    </w:p>
    <w:p w14:paraId="6FB0F142"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lastRenderedPageBreak/>
        <w:t xml:space="preserve">Proxy Energy Offer Curve creation for the solar/wind facility and ESS discharge portion of an ESR when </w:t>
      </w:r>
      <w:r>
        <w:rPr>
          <w:rFonts w:cs="Arial"/>
          <w:iCs/>
          <w:color w:val="auto"/>
        </w:rPr>
        <w:t xml:space="preserve">an </w:t>
      </w:r>
      <w:r w:rsidRPr="004C511A">
        <w:rPr>
          <w:rFonts w:cs="Arial"/>
          <w:iCs/>
          <w:color w:val="auto"/>
        </w:rPr>
        <w:t xml:space="preserve">Energy Offer Curve </w:t>
      </w:r>
      <w:r>
        <w:rPr>
          <w:rFonts w:cs="Arial"/>
          <w:iCs/>
          <w:color w:val="auto"/>
        </w:rPr>
        <w:t xml:space="preserve">has </w:t>
      </w:r>
      <w:r w:rsidRPr="004C511A">
        <w:rPr>
          <w:rFonts w:cs="Arial"/>
          <w:iCs/>
          <w:color w:val="auto"/>
        </w:rPr>
        <w:t xml:space="preserve">not </w:t>
      </w:r>
      <w:r>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Pr>
          <w:rFonts w:cs="Arial"/>
          <w:iCs/>
          <w:color w:val="auto"/>
        </w:rPr>
        <w:t>has</w:t>
      </w:r>
      <w:r w:rsidRPr="004C511A">
        <w:rPr>
          <w:rFonts w:cs="Arial"/>
          <w:iCs/>
          <w:color w:val="auto"/>
        </w:rPr>
        <w:t xml:space="preserve"> not </w:t>
      </w:r>
      <w:r>
        <w:rPr>
          <w:rFonts w:cs="Arial"/>
          <w:iCs/>
          <w:color w:val="auto"/>
        </w:rPr>
        <w:t xml:space="preserve">been </w:t>
      </w:r>
      <w:r w:rsidRPr="004C511A">
        <w:rPr>
          <w:rFonts w:cs="Arial"/>
          <w:iCs/>
          <w:color w:val="auto"/>
        </w:rPr>
        <w:t>submitted, will follow the same rules as those in place for other ESRs.</w:t>
      </w:r>
    </w:p>
    <w:p w14:paraId="72245D05" w14:textId="77777777" w:rsidR="00367C42" w:rsidRDefault="00367C42" w:rsidP="00367C42">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78118651" w14:textId="77777777" w:rsidR="00367C42" w:rsidRPr="004C511A" w:rsidRDefault="00367C42" w:rsidP="00367C42">
      <w:pPr>
        <w:pStyle w:val="ListParagraph"/>
        <w:numPr>
          <w:ilvl w:val="1"/>
          <w:numId w:val="4"/>
        </w:numPr>
        <w:spacing w:before="120" w:after="120"/>
        <w:contextualSpacing w:val="0"/>
        <w:rPr>
          <w:rFonts w:cs="Arial"/>
          <w:iCs/>
          <w:color w:val="auto"/>
        </w:rPr>
      </w:pPr>
      <w:r>
        <w:rPr>
          <w:rFonts w:cs="Arial"/>
          <w:iCs/>
          <w:color w:val="auto"/>
        </w:rPr>
        <w:t>Single Model ESR</w:t>
      </w:r>
    </w:p>
    <w:p w14:paraId="535ADB38"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5F98CEA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043DD32A" w14:textId="77777777" w:rsidR="00367C42" w:rsidRDefault="00367C42" w:rsidP="00367C42">
      <w:pPr>
        <w:pStyle w:val="ListParagraph"/>
        <w:spacing w:before="120" w:after="120"/>
        <w:ind w:left="1440"/>
        <w:contextualSpacing w:val="0"/>
        <w:rPr>
          <w:rFonts w:cs="Arial"/>
          <w:iCs/>
          <w:color w:val="auto"/>
        </w:rPr>
      </w:pPr>
    </w:p>
    <w:p w14:paraId="52DA9F97" w14:textId="77777777" w:rsidR="00367C42" w:rsidRPr="002A7ACE" w:rsidRDefault="00367C42" w:rsidP="00367C42">
      <w:pPr>
        <w:pStyle w:val="ListParagraph"/>
        <w:numPr>
          <w:ilvl w:val="0"/>
          <w:numId w:val="4"/>
        </w:numPr>
        <w:spacing w:before="120" w:after="120"/>
        <w:contextualSpacing w:val="0"/>
        <w:rPr>
          <w:rFonts w:cs="Arial"/>
          <w:iCs/>
          <w:color w:val="auto"/>
          <w:u w:val="single"/>
        </w:rPr>
      </w:pPr>
      <w:r>
        <w:rPr>
          <w:rFonts w:cs="Arial"/>
          <w:iCs/>
          <w:color w:val="auto"/>
        </w:rPr>
        <w:t xml:space="preserve">DC-Coupled Resource RUC Capacity Short </w:t>
      </w:r>
      <w:r w:rsidRPr="005C21BC">
        <w:rPr>
          <w:rFonts w:cs="Arial"/>
          <w:iCs/>
          <w:color w:val="auto"/>
        </w:rPr>
        <w:t>Calculations</w:t>
      </w:r>
      <w:r>
        <w:rPr>
          <w:rFonts w:cs="Arial"/>
          <w:iCs/>
          <w:color w:val="auto"/>
        </w:rPr>
        <w:t xml:space="preserve"> </w:t>
      </w:r>
    </w:p>
    <w:p w14:paraId="28293993" w14:textId="77777777" w:rsidR="00367C42" w:rsidRPr="006C2B15" w:rsidRDefault="00367C42" w:rsidP="00367C42">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w:t>
      </w:r>
      <w:proofErr w:type="spellStart"/>
      <w:r w:rsidRPr="00860B42">
        <w:rPr>
          <w:rFonts w:cs="Arial"/>
          <w:color w:val="auto"/>
        </w:rPr>
        <w:t>PhotoVoltaic</w:t>
      </w:r>
      <w:proofErr w:type="spellEnd"/>
      <w:r w:rsidRPr="00860B42">
        <w:rPr>
          <w:rFonts w:cs="Arial"/>
          <w:color w:val="auto"/>
        </w:rPr>
        <w:t xml:space="preserve"> Power Forecast (STPPF) or the Short-Term Wind Power Forecast (STWPF) [50% probability of exceedance forecast].</w:t>
      </w:r>
    </w:p>
    <w:p w14:paraId="50928E73" w14:textId="77777777" w:rsidR="00367C42" w:rsidRPr="006C2B15" w:rsidRDefault="00367C42" w:rsidP="00367C42">
      <w:pPr>
        <w:pStyle w:val="ListParagraph"/>
        <w:numPr>
          <w:ilvl w:val="1"/>
          <w:numId w:val="5"/>
        </w:numPr>
        <w:spacing w:before="120" w:after="120"/>
        <w:contextualSpacing w:val="0"/>
        <w:rPr>
          <w:rFonts w:cs="Arial"/>
          <w:iCs/>
        </w:rPr>
      </w:pPr>
      <w:r w:rsidRPr="00860B42">
        <w:rPr>
          <w:rFonts w:cs="Arial"/>
          <w:color w:val="auto"/>
        </w:rPr>
        <w:t>For the purposes of determining the capacity credit of the DC-Couple</w:t>
      </w:r>
      <w:r>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“a” above to </w:t>
      </w:r>
      <w:r w:rsidRPr="00860B42">
        <w:rPr>
          <w:rFonts w:cs="Arial"/>
          <w:color w:val="auto"/>
        </w:rPr>
        <w:t xml:space="preserve">the Wind-powered Generation Resource Production Potential (WGRPP) [80% probability of exceedance], or the </w:t>
      </w:r>
      <w:proofErr w:type="spellStart"/>
      <w:r w:rsidRPr="00860B42">
        <w:rPr>
          <w:rFonts w:cs="Arial"/>
          <w:color w:val="auto"/>
        </w:rPr>
        <w:t>Photo</w:t>
      </w:r>
      <w:r>
        <w:rPr>
          <w:rFonts w:cs="Arial"/>
          <w:color w:val="auto"/>
        </w:rPr>
        <w:t>V</w:t>
      </w:r>
      <w:r w:rsidRPr="00860B42">
        <w:rPr>
          <w:rFonts w:cs="Arial"/>
          <w:color w:val="auto"/>
        </w:rPr>
        <w:t>oltaic</w:t>
      </w:r>
      <w:proofErr w:type="spellEnd"/>
      <w:r w:rsidRPr="00860B42">
        <w:rPr>
          <w:rFonts w:cs="Arial"/>
          <w:color w:val="auto"/>
        </w:rPr>
        <w:t xml:space="preserve"> Generation Resource Production Potential (PVGRPP) [80% probability of exceedance forecast].</w:t>
      </w:r>
    </w:p>
    <w:p w14:paraId="216FA7A6" w14:textId="77777777" w:rsidR="00367C42" w:rsidRPr="00765A16" w:rsidRDefault="00367C42" w:rsidP="00367C42">
      <w:pPr>
        <w:pStyle w:val="ListParagraph"/>
        <w:numPr>
          <w:ilvl w:val="1"/>
          <w:numId w:val="5"/>
        </w:numPr>
        <w:spacing w:before="120" w:after="120"/>
        <w:contextualSpacing w:val="0"/>
        <w:rPr>
          <w:rFonts w:cs="Arial"/>
          <w:iCs/>
        </w:rPr>
      </w:pPr>
      <w:r>
        <w:rPr>
          <w:rFonts w:cs="Arial"/>
          <w:color w:val="auto"/>
        </w:rPr>
        <w:t>Unlike the treatment of Intermittent Renewable Resources (IRRs), whose Resource capacity is only determined at the RUC snapshot, the capacity credit for DC-Coupled Resources will be determined at both the snapshot and the end of adjustment period.</w:t>
      </w:r>
    </w:p>
    <w:p w14:paraId="537F44EC" w14:textId="77777777" w:rsidR="00367C42" w:rsidRPr="00AC71E0" w:rsidRDefault="00367C42" w:rsidP="00367C42">
      <w:pPr>
        <w:pStyle w:val="ListParagraph"/>
        <w:spacing w:before="120" w:after="120"/>
        <w:ind w:left="1440"/>
        <w:contextualSpacing w:val="0"/>
        <w:rPr>
          <w:rFonts w:cs="Arial"/>
          <w:iCs/>
          <w:color w:val="auto"/>
        </w:rPr>
      </w:pPr>
      <w:r w:rsidRPr="00AC71E0">
        <w:rPr>
          <w:rFonts w:cs="Arial"/>
          <w:iCs/>
          <w:color w:val="auto"/>
        </w:rPr>
        <w:t>Energy Storage Resources must adhere to the following guidelines when submitting their COP HSL values.</w:t>
      </w:r>
    </w:p>
    <w:p w14:paraId="548405B9"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67DC6AF0"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0DFF6623"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lastRenderedPageBreak/>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19FE043D"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40F5627D" w14:textId="77777777" w:rsidR="00367C42" w:rsidRDefault="00367C42" w:rsidP="00367C42">
      <w:pPr>
        <w:pStyle w:val="ListParagraph"/>
        <w:numPr>
          <w:ilvl w:val="0"/>
          <w:numId w:val="4"/>
        </w:numPr>
        <w:spacing w:before="120" w:after="120"/>
        <w:contextualSpacing w:val="0"/>
        <w:rPr>
          <w:rFonts w:cs="Arial"/>
          <w:iCs/>
          <w:color w:val="auto"/>
        </w:rPr>
      </w:pPr>
      <w:r w:rsidRPr="006F4B16">
        <w:rPr>
          <w:rFonts w:cs="Arial"/>
          <w:iCs/>
          <w:color w:val="auto"/>
        </w:rPr>
        <w:t>DC</w:t>
      </w:r>
      <w:r>
        <w:rPr>
          <w:rFonts w:cs="Arial"/>
          <w:iCs/>
          <w:color w:val="auto"/>
        </w:rPr>
        <w:t>-</w:t>
      </w:r>
      <w:r w:rsidRPr="006F4B16">
        <w:rPr>
          <w:rFonts w:cs="Arial"/>
          <w:iCs/>
          <w:color w:val="auto"/>
        </w:rPr>
        <w:t xml:space="preserve">Coupled Resource Physical Responsive </w:t>
      </w:r>
      <w:r>
        <w:rPr>
          <w:rFonts w:cs="Arial"/>
          <w:iCs/>
          <w:color w:val="auto"/>
        </w:rPr>
        <w:t>Capability</w:t>
      </w:r>
      <w:r w:rsidRPr="006F4B16">
        <w:rPr>
          <w:rFonts w:cs="Arial"/>
          <w:iCs/>
          <w:color w:val="auto"/>
        </w:rPr>
        <w:t xml:space="preserve"> (PRC) and Real-Time On-Line Capacity (RTOLCAP) Calculation</w:t>
      </w:r>
      <w:r>
        <w:rPr>
          <w:rFonts w:cs="Arial"/>
          <w:iCs/>
          <w:color w:val="auto"/>
        </w:rPr>
        <w:t xml:space="preserve"> </w:t>
      </w:r>
    </w:p>
    <w:p w14:paraId="20D03672" w14:textId="77777777" w:rsidR="00367C42" w:rsidRDefault="00367C42" w:rsidP="00367C42">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6EC56F81" w14:textId="77777777" w:rsidR="00367C42" w:rsidRPr="006F4B16" w:rsidRDefault="00367C42" w:rsidP="00367C42">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27539BA1" w14:textId="77777777" w:rsidR="00367C42" w:rsidRDefault="00367C42" w:rsidP="00367C42">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DC-Coupled Resource </w:t>
      </w:r>
      <w:r w:rsidRPr="006F4B16">
        <w:rPr>
          <w:rFonts w:cs="Arial"/>
          <w:iCs/>
          <w:color w:val="auto"/>
        </w:rPr>
        <w:t>under ERCOT Emergency Conditions</w:t>
      </w:r>
    </w:p>
    <w:p w14:paraId="4D863B64"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 xml:space="preserve">During all levels of an Energy Emergency Alert, the ESS charge portion of a DC-Coupled Resource shall suspend charging (directly from the IRR behind the common inverter or from the ERCOT grid) unless instructed otherwise by ERCOT.  Such instructions may be in the form of, but not limited to, SCED Base Points, Load Frequency Control deployment, manual Dispatch including Verbal Dispatch Instruction, and Primary Frequency Response.  </w:t>
      </w:r>
    </w:p>
    <w:p w14:paraId="31A1453E"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p>
    <w:p w14:paraId="12EA342B"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DE00487" w14:textId="77777777" w:rsidR="00367C42" w:rsidRDefault="00367C42" w:rsidP="00367C42">
      <w:pPr>
        <w:pStyle w:val="ListParagraph"/>
        <w:spacing w:before="120" w:after="120"/>
        <w:ind w:left="1440"/>
        <w:rPr>
          <w:rFonts w:cs="Arial"/>
          <w:iCs/>
          <w:color w:val="auto"/>
        </w:rPr>
      </w:pPr>
    </w:p>
    <w:p w14:paraId="561A7DA4" w14:textId="77777777" w:rsidR="00367C42" w:rsidRDefault="00367C42" w:rsidP="00367C42">
      <w:pPr>
        <w:pStyle w:val="ListParagraph"/>
        <w:numPr>
          <w:ilvl w:val="0"/>
          <w:numId w:val="4"/>
        </w:numPr>
        <w:spacing w:before="120" w:after="120"/>
        <w:rPr>
          <w:rFonts w:cs="Arial"/>
          <w:iCs/>
          <w:color w:val="auto"/>
        </w:rPr>
      </w:pPr>
      <w:r w:rsidRPr="00975F6C">
        <w:rPr>
          <w:rFonts w:cs="Arial"/>
          <w:iCs/>
          <w:color w:val="auto"/>
        </w:rPr>
        <w:t>DC-Coupled Resource Statuses</w:t>
      </w:r>
    </w:p>
    <w:p w14:paraId="5152EB2C" w14:textId="77777777" w:rsidR="00367C42" w:rsidRPr="00975F6C" w:rsidRDefault="00367C42" w:rsidP="00367C42">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7514D4B7" w14:textId="77777777" w:rsidR="00367C42" w:rsidRPr="00975F6C" w:rsidRDefault="00367C42" w:rsidP="00367C42">
      <w:pPr>
        <w:pStyle w:val="ListParagraph"/>
        <w:numPr>
          <w:ilvl w:val="1"/>
          <w:numId w:val="4"/>
        </w:numPr>
        <w:spacing w:before="120" w:after="120"/>
        <w:rPr>
          <w:rFonts w:cs="Arial"/>
          <w:iCs/>
          <w:color w:val="auto"/>
        </w:rPr>
      </w:pPr>
      <w:r w:rsidRPr="00975F6C">
        <w:rPr>
          <w:rFonts w:cs="Arial"/>
          <w:b/>
          <w:iCs/>
          <w:color w:val="auto"/>
        </w:rPr>
        <w:lastRenderedPageBreak/>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3B31799A"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w:t>
      </w:r>
    </w:p>
    <w:p w14:paraId="7412CC01"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ONOS</w:t>
      </w:r>
    </w:p>
    <w:p w14:paraId="10293202"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ONTEST</w:t>
      </w:r>
    </w:p>
    <w:p w14:paraId="17704315"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ONEMR</w:t>
      </w:r>
    </w:p>
    <w:p w14:paraId="48CA33A0"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OUT</w:t>
      </w:r>
    </w:p>
    <w:p w14:paraId="102B6768"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EMR</w:t>
      </w:r>
    </w:p>
    <w:p w14:paraId="6C2AB1EF"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EMRSWGR</w:t>
      </w:r>
    </w:p>
    <w:p w14:paraId="3CF8FDA8"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 xml:space="preserve">ONHOLD </w:t>
      </w:r>
      <w:r>
        <w:rPr>
          <w:rFonts w:cs="Arial"/>
          <w:iCs/>
          <w:color w:val="auto"/>
        </w:rPr>
        <w:t xml:space="preserve">(To be used only when expected output from non-ESS IRR is zero). </w:t>
      </w:r>
    </w:p>
    <w:p w14:paraId="3727FC29" w14:textId="77777777" w:rsidR="00367C42" w:rsidRPr="006F4B16" w:rsidRDefault="00367C42" w:rsidP="00367C42">
      <w:pPr>
        <w:pStyle w:val="ListParagraph"/>
        <w:spacing w:before="120" w:after="120"/>
        <w:rPr>
          <w:rFonts w:cs="Arial"/>
          <w:iCs/>
          <w:color w:val="auto"/>
        </w:rPr>
      </w:pPr>
    </w:p>
    <w:p w14:paraId="72BFE282" w14:textId="77777777" w:rsidR="0031655A" w:rsidRPr="00073E79" w:rsidRDefault="0031655A" w:rsidP="0031655A">
      <w:pPr>
        <w:ind w:left="360" w:hanging="360"/>
        <w:rPr>
          <w:rFonts w:ascii="Arial" w:hAnsi="Arial" w:cs="Arial"/>
          <w:sz w:val="22"/>
          <w:szCs w:val="22"/>
        </w:rPr>
      </w:pPr>
    </w:p>
    <w:p w14:paraId="466188D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E1E617F" w14:textId="77777777" w:rsidR="00644C89" w:rsidRDefault="00644C89" w:rsidP="00644C89">
      <w:pPr>
        <w:pStyle w:val="ListParagraph"/>
        <w:spacing w:before="120" w:after="120"/>
        <w:ind w:left="0"/>
        <w:contextualSpacing w:val="0"/>
        <w:rPr>
          <w:rFonts w:cs="Arial"/>
          <w:iCs/>
          <w:color w:val="auto"/>
        </w:rPr>
      </w:pPr>
      <w:r>
        <w:rPr>
          <w:rFonts w:cs="Arial"/>
          <w:iCs/>
          <w:color w:val="auto"/>
        </w:rPr>
        <w:t>None.</w:t>
      </w:r>
    </w:p>
    <w:p w14:paraId="1E171221" w14:textId="77777777" w:rsidR="00BE67D9" w:rsidRPr="00073E79" w:rsidRDefault="00BE67D9" w:rsidP="00957573">
      <w:pPr>
        <w:ind w:left="360" w:hanging="360"/>
        <w:rPr>
          <w:rFonts w:ascii="Arial" w:hAnsi="Arial" w:cs="Arial"/>
          <w:u w:val="single"/>
        </w:rPr>
      </w:pPr>
    </w:p>
    <w:p w14:paraId="761F47E3"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2915CFBE" w14:textId="77777777" w:rsidR="00BE67D9" w:rsidRPr="00644C89" w:rsidRDefault="00514E96" w:rsidP="00644C89">
      <w:pPr>
        <w:pStyle w:val="ListParagraph"/>
        <w:spacing w:before="120" w:after="120"/>
        <w:ind w:left="0"/>
        <w:contextualSpacing w:val="0"/>
        <w:rPr>
          <w:rFonts w:cs="Arial"/>
          <w:iCs/>
          <w:color w:val="auto"/>
        </w:rPr>
      </w:pPr>
      <w:r w:rsidRPr="00644C89">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4B317DAC" w14:textId="77777777" w:rsidTr="0050618E">
        <w:trPr>
          <w:cantSplit/>
          <w:trHeight w:val="432"/>
        </w:trPr>
        <w:tc>
          <w:tcPr>
            <w:tcW w:w="2880" w:type="dxa"/>
            <w:shd w:val="clear" w:color="auto" w:fill="FFFFFF"/>
            <w:vAlign w:val="center"/>
          </w:tcPr>
          <w:p w14:paraId="44CF84A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68214306" w14:textId="77777777" w:rsidR="004A490A" w:rsidRDefault="004A490A" w:rsidP="0050618E">
            <w:pPr>
              <w:pStyle w:val="NormalArial"/>
            </w:pPr>
          </w:p>
          <w:p w14:paraId="5F153224" w14:textId="77777777" w:rsidR="004A490A" w:rsidRDefault="004A490A" w:rsidP="00383B4E">
            <w:pPr>
              <w:pStyle w:val="NormalArial"/>
            </w:pPr>
          </w:p>
        </w:tc>
      </w:tr>
      <w:tr w:rsidR="004A490A" w14:paraId="775FA85A" w14:textId="77777777" w:rsidTr="00273AE9">
        <w:trPr>
          <w:cantSplit/>
          <w:trHeight w:val="782"/>
        </w:trPr>
        <w:tc>
          <w:tcPr>
            <w:tcW w:w="2880" w:type="dxa"/>
            <w:shd w:val="clear" w:color="auto" w:fill="FFFFFF"/>
            <w:vAlign w:val="center"/>
          </w:tcPr>
          <w:p w14:paraId="44AF0D38"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A9B001A" w14:textId="77777777" w:rsidR="004A490A" w:rsidRPr="00D1439B" w:rsidRDefault="004A490A" w:rsidP="00BC7ACB">
            <w:pPr>
              <w:pStyle w:val="NormalArial"/>
              <w:rPr>
                <w:color w:val="FF0000"/>
              </w:rPr>
            </w:pPr>
          </w:p>
        </w:tc>
      </w:tr>
    </w:tbl>
    <w:p w14:paraId="2BCA8CC4" w14:textId="77777777" w:rsidR="004A490A" w:rsidRDefault="004A490A" w:rsidP="00BC2D06"/>
    <w:p w14:paraId="14870FA6" w14:textId="77777777" w:rsidR="00B15817" w:rsidRDefault="00B15817" w:rsidP="00BC2D06"/>
    <w:p w14:paraId="1C7021FB" w14:textId="77777777" w:rsidR="00B15817" w:rsidRDefault="00B15817" w:rsidP="00BC2D06"/>
    <w:p w14:paraId="14D46963" w14:textId="77777777"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F4A" w16cid:durableId="220CD5E6"/>
  <w16cid:commentId w16cid:paraId="78AD9937" w16cid:durableId="220CD66F"/>
  <w16cid:commentId w16cid:paraId="54F6FDDC" w16cid:durableId="220CD6CD"/>
  <w16cid:commentId w16cid:paraId="3C2AC35C" w16cid:durableId="220CDF0B"/>
  <w16cid:commentId w16cid:paraId="7139DD61" w16cid:durableId="220CD729"/>
  <w16cid:commentId w16cid:paraId="0D407174" w16cid:durableId="2210B3E3"/>
  <w16cid:commentId w16cid:paraId="5BC0E8AE" w16cid:durableId="220CD9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600A" w14:textId="77777777" w:rsidR="006D2175" w:rsidRDefault="006D2175">
      <w:r>
        <w:separator/>
      </w:r>
    </w:p>
  </w:endnote>
  <w:endnote w:type="continuationSeparator" w:id="0">
    <w:p w14:paraId="4E1A8116" w14:textId="77777777" w:rsidR="006D2175" w:rsidRDefault="006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DA85"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6E3E" w14:textId="793A91D3"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w:t>
    </w:r>
    <w:r w:rsidR="00367C42">
      <w:rPr>
        <w:rFonts w:ascii="Arial" w:hAnsi="Arial" w:cs="Arial"/>
        <w:sz w:val="18"/>
      </w:rPr>
      <w:t>TAC Approved 04-01-20</w:t>
    </w:r>
    <w:r w:rsidR="00905691">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C610F">
      <w:rPr>
        <w:rFonts w:ascii="Arial" w:hAnsi="Arial" w:cs="Arial"/>
        <w:noProof/>
        <w:sz w:val="18"/>
      </w:rPr>
      <w:t>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C610F">
      <w:rPr>
        <w:rFonts w:ascii="Arial" w:hAnsi="Arial" w:cs="Arial"/>
        <w:noProof/>
        <w:sz w:val="18"/>
      </w:rPr>
      <w:t>9</w:t>
    </w:r>
    <w:r w:rsidRPr="00412DCA">
      <w:rPr>
        <w:rFonts w:ascii="Arial" w:hAnsi="Arial" w:cs="Arial"/>
        <w:sz w:val="18"/>
      </w:rPr>
      <w:fldChar w:fldCharType="end"/>
    </w:r>
  </w:p>
  <w:p w14:paraId="386C4692"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D442"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1D06" w14:textId="77777777" w:rsidR="006D2175" w:rsidRDefault="006D2175">
      <w:r>
        <w:separator/>
      </w:r>
    </w:p>
  </w:footnote>
  <w:footnote w:type="continuationSeparator" w:id="0">
    <w:p w14:paraId="3B603587" w14:textId="77777777" w:rsidR="006D2175" w:rsidRDefault="006D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8B"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203"/>
    <w:rsid w:val="000629A5"/>
    <w:rsid w:val="00064B44"/>
    <w:rsid w:val="00067219"/>
    <w:rsid w:val="00067FE2"/>
    <w:rsid w:val="000730E5"/>
    <w:rsid w:val="00073E79"/>
    <w:rsid w:val="0007682E"/>
    <w:rsid w:val="0008084B"/>
    <w:rsid w:val="00083364"/>
    <w:rsid w:val="000849FF"/>
    <w:rsid w:val="000B4575"/>
    <w:rsid w:val="000B586B"/>
    <w:rsid w:val="000B691A"/>
    <w:rsid w:val="000C232B"/>
    <w:rsid w:val="000C3B03"/>
    <w:rsid w:val="000D09D1"/>
    <w:rsid w:val="000D0BDF"/>
    <w:rsid w:val="000D1AEB"/>
    <w:rsid w:val="000D3E64"/>
    <w:rsid w:val="000F13C5"/>
    <w:rsid w:val="000F3BC2"/>
    <w:rsid w:val="000F464E"/>
    <w:rsid w:val="000F5AB7"/>
    <w:rsid w:val="0010122B"/>
    <w:rsid w:val="00105A36"/>
    <w:rsid w:val="00107D6A"/>
    <w:rsid w:val="001168E0"/>
    <w:rsid w:val="00120352"/>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D7E72"/>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27E4"/>
    <w:rsid w:val="002B4268"/>
    <w:rsid w:val="002B5DD7"/>
    <w:rsid w:val="002B62BF"/>
    <w:rsid w:val="002B69F3"/>
    <w:rsid w:val="002B763A"/>
    <w:rsid w:val="002C0AE6"/>
    <w:rsid w:val="002D382A"/>
    <w:rsid w:val="002D4395"/>
    <w:rsid w:val="002E106A"/>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67C42"/>
    <w:rsid w:val="0037360A"/>
    <w:rsid w:val="003742F5"/>
    <w:rsid w:val="00383B4E"/>
    <w:rsid w:val="00384709"/>
    <w:rsid w:val="00386C35"/>
    <w:rsid w:val="00386E28"/>
    <w:rsid w:val="0038717E"/>
    <w:rsid w:val="003A3BD3"/>
    <w:rsid w:val="003A3D77"/>
    <w:rsid w:val="003A496A"/>
    <w:rsid w:val="003B4751"/>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3689D"/>
    <w:rsid w:val="004368F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325"/>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22B7"/>
    <w:rsid w:val="005D4AA7"/>
    <w:rsid w:val="005E11FA"/>
    <w:rsid w:val="005E5074"/>
    <w:rsid w:val="005E77AF"/>
    <w:rsid w:val="005F7D05"/>
    <w:rsid w:val="00601DD8"/>
    <w:rsid w:val="00602E52"/>
    <w:rsid w:val="00612E4F"/>
    <w:rsid w:val="00615D5E"/>
    <w:rsid w:val="00622E99"/>
    <w:rsid w:val="006236AB"/>
    <w:rsid w:val="00624BE6"/>
    <w:rsid w:val="00624F7F"/>
    <w:rsid w:val="00625E5D"/>
    <w:rsid w:val="006274DA"/>
    <w:rsid w:val="00627A4E"/>
    <w:rsid w:val="00627F3F"/>
    <w:rsid w:val="006347D8"/>
    <w:rsid w:val="00637F4C"/>
    <w:rsid w:val="00644923"/>
    <w:rsid w:val="00644C89"/>
    <w:rsid w:val="00645F3F"/>
    <w:rsid w:val="00650843"/>
    <w:rsid w:val="0066370F"/>
    <w:rsid w:val="006819E0"/>
    <w:rsid w:val="00683711"/>
    <w:rsid w:val="00685CC4"/>
    <w:rsid w:val="00697778"/>
    <w:rsid w:val="006A0784"/>
    <w:rsid w:val="006A0EC3"/>
    <w:rsid w:val="006A697B"/>
    <w:rsid w:val="006A7BA3"/>
    <w:rsid w:val="006B035E"/>
    <w:rsid w:val="006B4DDE"/>
    <w:rsid w:val="006B7F6C"/>
    <w:rsid w:val="006C03AE"/>
    <w:rsid w:val="006C2B15"/>
    <w:rsid w:val="006C3F68"/>
    <w:rsid w:val="006C4EE0"/>
    <w:rsid w:val="006C55AF"/>
    <w:rsid w:val="006D2175"/>
    <w:rsid w:val="006D282E"/>
    <w:rsid w:val="006D6028"/>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2B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135B6"/>
    <w:rsid w:val="0082104D"/>
    <w:rsid w:val="008226D4"/>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4541A"/>
    <w:rsid w:val="00957573"/>
    <w:rsid w:val="00961879"/>
    <w:rsid w:val="00963A51"/>
    <w:rsid w:val="009700A1"/>
    <w:rsid w:val="00974D41"/>
    <w:rsid w:val="00975F6C"/>
    <w:rsid w:val="009777EB"/>
    <w:rsid w:val="00983B6E"/>
    <w:rsid w:val="009936F8"/>
    <w:rsid w:val="00994434"/>
    <w:rsid w:val="00996BB5"/>
    <w:rsid w:val="009A3772"/>
    <w:rsid w:val="009A379E"/>
    <w:rsid w:val="009B590D"/>
    <w:rsid w:val="009C0863"/>
    <w:rsid w:val="009C190C"/>
    <w:rsid w:val="009D0B1D"/>
    <w:rsid w:val="009D17F0"/>
    <w:rsid w:val="009E0E5E"/>
    <w:rsid w:val="009E3C91"/>
    <w:rsid w:val="00A05934"/>
    <w:rsid w:val="00A20E77"/>
    <w:rsid w:val="00A212BC"/>
    <w:rsid w:val="00A22659"/>
    <w:rsid w:val="00A320B1"/>
    <w:rsid w:val="00A42796"/>
    <w:rsid w:val="00A5311D"/>
    <w:rsid w:val="00A53345"/>
    <w:rsid w:val="00A57280"/>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2E7"/>
    <w:rsid w:val="00BD43BA"/>
    <w:rsid w:val="00BE67D9"/>
    <w:rsid w:val="00BF0DB2"/>
    <w:rsid w:val="00C007C2"/>
    <w:rsid w:val="00C05E0B"/>
    <w:rsid w:val="00C33F35"/>
    <w:rsid w:val="00C34F97"/>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1904"/>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D429E"/>
    <w:rsid w:val="00DE316A"/>
    <w:rsid w:val="00E00CA6"/>
    <w:rsid w:val="00E039F0"/>
    <w:rsid w:val="00E06390"/>
    <w:rsid w:val="00E067E8"/>
    <w:rsid w:val="00E110A3"/>
    <w:rsid w:val="00E113B6"/>
    <w:rsid w:val="00E140C4"/>
    <w:rsid w:val="00E14D47"/>
    <w:rsid w:val="00E1553D"/>
    <w:rsid w:val="00E1641C"/>
    <w:rsid w:val="00E26708"/>
    <w:rsid w:val="00E30CEB"/>
    <w:rsid w:val="00E34958"/>
    <w:rsid w:val="00E349E9"/>
    <w:rsid w:val="00E37AB0"/>
    <w:rsid w:val="00E37F0B"/>
    <w:rsid w:val="00E53846"/>
    <w:rsid w:val="00E63496"/>
    <w:rsid w:val="00E66906"/>
    <w:rsid w:val="00E6717A"/>
    <w:rsid w:val="00E71C39"/>
    <w:rsid w:val="00E86681"/>
    <w:rsid w:val="00E9379E"/>
    <w:rsid w:val="00EA049A"/>
    <w:rsid w:val="00EA0BF3"/>
    <w:rsid w:val="00EA56E6"/>
    <w:rsid w:val="00EA7703"/>
    <w:rsid w:val="00EC335F"/>
    <w:rsid w:val="00EC36A1"/>
    <w:rsid w:val="00EC48FB"/>
    <w:rsid w:val="00EC610F"/>
    <w:rsid w:val="00EE6D11"/>
    <w:rsid w:val="00EE74B0"/>
    <w:rsid w:val="00EF232A"/>
    <w:rsid w:val="00EF6934"/>
    <w:rsid w:val="00F003F7"/>
    <w:rsid w:val="00F04072"/>
    <w:rsid w:val="00F05A69"/>
    <w:rsid w:val="00F235C3"/>
    <w:rsid w:val="00F26858"/>
    <w:rsid w:val="00F27BFE"/>
    <w:rsid w:val="00F3293E"/>
    <w:rsid w:val="00F3791A"/>
    <w:rsid w:val="00F43FFD"/>
    <w:rsid w:val="00F44236"/>
    <w:rsid w:val="00F52517"/>
    <w:rsid w:val="00F52FD3"/>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7495D"/>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B460F3D-13D5-4A64-B2D4-ED871995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3</cp:revision>
  <cp:lastPrinted>2013-11-15T22:11:00Z</cp:lastPrinted>
  <dcterms:created xsi:type="dcterms:W3CDTF">2020-04-06T21:37:00Z</dcterms:created>
  <dcterms:modified xsi:type="dcterms:W3CDTF">2020-04-06T22:02:00Z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