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1F4453CC" w14:textId="77777777" w:rsidTr="005858B5">
        <w:tc>
          <w:tcPr>
            <w:tcW w:w="1710" w:type="dxa"/>
            <w:tcBorders>
              <w:bottom w:val="single" w:sz="4" w:space="0" w:color="auto"/>
            </w:tcBorders>
            <w:shd w:val="clear" w:color="auto" w:fill="FFFFFF"/>
            <w:vAlign w:val="center"/>
          </w:tcPr>
          <w:p w14:paraId="47BD659A"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47EF9B30"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4E215CE6"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70F5C2F0" w14:textId="77777777" w:rsidR="00067FE2" w:rsidRPr="00073E79" w:rsidRDefault="005A5368" w:rsidP="00573610">
            <w:pPr>
              <w:pStyle w:val="Header"/>
            </w:pPr>
            <w:r w:rsidRPr="005A5368">
              <w:t>ESR - Study &amp; Capacity Assumptions</w:t>
            </w:r>
          </w:p>
        </w:tc>
      </w:tr>
      <w:tr w:rsidR="00067FE2" w:rsidRPr="00E01925" w14:paraId="79C5D275" w14:textId="77777777" w:rsidTr="0014561B">
        <w:trPr>
          <w:trHeight w:val="518"/>
        </w:trPr>
        <w:tc>
          <w:tcPr>
            <w:tcW w:w="2340" w:type="dxa"/>
            <w:gridSpan w:val="2"/>
            <w:shd w:val="clear" w:color="auto" w:fill="FFFFFF"/>
            <w:vAlign w:val="center"/>
          </w:tcPr>
          <w:p w14:paraId="1B4F6E16"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513F0594" w14:textId="235CFC3E" w:rsidR="00067FE2" w:rsidRPr="00073E79" w:rsidRDefault="00AA5425" w:rsidP="00D94355">
            <w:pPr>
              <w:pStyle w:val="NormalArial"/>
            </w:pPr>
            <w:r>
              <w:t>January 29, 2020</w:t>
            </w:r>
          </w:p>
        </w:tc>
      </w:tr>
      <w:tr w:rsidR="00067FE2" w14:paraId="0592DE01"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3527CE96" w14:textId="77777777" w:rsidR="00067FE2" w:rsidRDefault="00067FE2" w:rsidP="00F44236">
            <w:pPr>
              <w:pStyle w:val="NormalArial"/>
            </w:pPr>
          </w:p>
        </w:tc>
        <w:tc>
          <w:tcPr>
            <w:tcW w:w="8100" w:type="dxa"/>
            <w:gridSpan w:val="2"/>
            <w:tcBorders>
              <w:top w:val="nil"/>
              <w:left w:val="nil"/>
              <w:bottom w:val="nil"/>
              <w:right w:val="nil"/>
            </w:tcBorders>
            <w:vAlign w:val="center"/>
          </w:tcPr>
          <w:p w14:paraId="532D228A" w14:textId="77777777" w:rsidR="00067FE2" w:rsidRDefault="00067FE2" w:rsidP="00F44236">
            <w:pPr>
              <w:pStyle w:val="NormalArial"/>
            </w:pPr>
          </w:p>
        </w:tc>
      </w:tr>
      <w:tr w:rsidR="009D17F0" w14:paraId="700492B7"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E5B85FB"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6B872118" w14:textId="19DD3C87" w:rsidR="00F30F03" w:rsidRDefault="00F30F03" w:rsidP="00F30F03">
            <w:pPr>
              <w:pStyle w:val="NormalArial"/>
              <w:spacing w:before="120" w:after="120"/>
            </w:pPr>
            <w:r w:rsidRPr="00A4474E">
              <w:t xml:space="preserve">This KTC recommends how </w:t>
            </w:r>
            <w:r w:rsidRPr="00495A65">
              <w:t xml:space="preserve">Energy Storage Resources </w:t>
            </w:r>
            <w:r>
              <w:t>(</w:t>
            </w:r>
            <w:r w:rsidRPr="00A4474E">
              <w:t>ESRs</w:t>
            </w:r>
            <w:r>
              <w:t>)</w:t>
            </w:r>
            <w:r w:rsidRPr="00A4474E">
              <w:t xml:space="preserve"> shall be treated in Reliability Unit Commitment </w:t>
            </w:r>
            <w:r>
              <w:t xml:space="preserve">(RUC) </w:t>
            </w:r>
            <w:r w:rsidRPr="00A4474E">
              <w:t>studies and other capacity assumptions.</w:t>
            </w:r>
          </w:p>
          <w:p w14:paraId="482FE22C" w14:textId="77777777" w:rsidR="0086604C" w:rsidRPr="00A4474E" w:rsidRDefault="002734BE" w:rsidP="00BF3042">
            <w:pPr>
              <w:pStyle w:val="NormalArial"/>
              <w:spacing w:before="120" w:after="120"/>
            </w:pPr>
            <w:r>
              <w:t xml:space="preserve">This KTC recommends a process to appropriately include ESR </w:t>
            </w:r>
            <w:r w:rsidR="00BF3042">
              <w:t xml:space="preserve">capacity in operations and planning studies, including </w:t>
            </w:r>
            <w:r>
              <w:t>the ERCOT Capacity, Demand and Reserves (CDR) Report</w:t>
            </w:r>
            <w:r w:rsidR="00BF3042">
              <w:t xml:space="preserve"> and other resource adequacy reports</w:t>
            </w:r>
            <w:r>
              <w:t>.</w:t>
            </w:r>
          </w:p>
        </w:tc>
      </w:tr>
      <w:tr w:rsidR="00782371" w14:paraId="370544D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A7D636C"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375C2AA2" w14:textId="77777777" w:rsidR="00782371" w:rsidRDefault="00491401" w:rsidP="00290376">
            <w:pPr>
              <w:pStyle w:val="NormalArial"/>
              <w:spacing w:before="120" w:after="120"/>
            </w:pPr>
            <w:r w:rsidRPr="00A4474E">
              <w:t xml:space="preserve">ESRs shall be treated similar to other short lead-time Resources.  The RUC engine shall evaluate ESRs based on the values provided in their Current Operating Plan </w:t>
            </w:r>
            <w:r>
              <w:t xml:space="preserve">(COP) </w:t>
            </w:r>
            <w:r w:rsidRPr="00A4474E">
              <w:t>that reflect their expected available capacity.</w:t>
            </w:r>
          </w:p>
          <w:p w14:paraId="7E497108" w14:textId="77777777" w:rsidR="0086604C" w:rsidRDefault="002734BE" w:rsidP="00692470">
            <w:pPr>
              <w:pStyle w:val="NormalArial"/>
              <w:spacing w:before="120" w:after="120"/>
            </w:pPr>
            <w:r>
              <w:t>ERCOT together with stakeholders participating in the Supply Analysis Working Group (SAWG) will develop a threshold above which ESRs will be included in the CDR report, as well as a methodology for calculating the appropriate percentage of total ESR capacity to include in the CDR as ESRs’ Peak Average Capacity Contribution.</w:t>
            </w:r>
          </w:p>
          <w:p w14:paraId="62822D00" w14:textId="77777777" w:rsidR="00BF3042" w:rsidRPr="00A4474E" w:rsidRDefault="00BF3042" w:rsidP="00692470">
            <w:pPr>
              <w:pStyle w:val="NormalArial"/>
              <w:spacing w:before="120" w:after="120"/>
            </w:pPr>
            <w:r>
              <w:t>This KTC also proposes near- and longer-term methodologies for considering ESR capacity in Outage coordination studies, operations studies other than Reliability Unit Commitment (RUC), and transmission planning studies.</w:t>
            </w:r>
          </w:p>
        </w:tc>
      </w:tr>
      <w:tr w:rsidR="009D17F0" w14:paraId="2382A3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02E14BD"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62DE7871"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BBF6278" w14:textId="77777777" w:rsidR="00B910D2" w:rsidRDefault="00B910D2" w:rsidP="005A5368">
            <w:pPr>
              <w:pStyle w:val="NormalArial"/>
              <w:spacing w:before="120" w:after="120"/>
            </w:pPr>
            <w:r>
              <w:t>On 11/4/19, the BESTF reached consensus on KTC 10 item 3.</w:t>
            </w:r>
          </w:p>
          <w:p w14:paraId="153B074E" w14:textId="77777777" w:rsidR="00B910D2" w:rsidRDefault="002734BE" w:rsidP="00C43463">
            <w:pPr>
              <w:pStyle w:val="NormalArial"/>
              <w:spacing w:before="120" w:after="120"/>
            </w:pPr>
            <w:r>
              <w:t>On 11/15/2019, ERCOT presented a proposal related to ESR Peak Average Capacity Contribution for the CDR report.</w:t>
            </w:r>
          </w:p>
          <w:p w14:paraId="3471CEBF" w14:textId="086E4277" w:rsidR="0032752B" w:rsidRDefault="0032752B" w:rsidP="00C43463">
            <w:pPr>
              <w:pStyle w:val="NormalArial"/>
              <w:spacing w:before="120" w:after="120"/>
            </w:pPr>
            <w:r w:rsidRPr="00F30F03">
              <w:t xml:space="preserve">On 12/6/2019, </w:t>
            </w:r>
            <w:r w:rsidR="00F30F03">
              <w:t>the BESTF discussed and made revisions.  The plan was to post the revised version for further review and comments.</w:t>
            </w:r>
          </w:p>
          <w:p w14:paraId="483139C9" w14:textId="2A18DA15" w:rsidR="00F523EA" w:rsidRPr="00073E79" w:rsidRDefault="00F523EA" w:rsidP="00C43463">
            <w:pPr>
              <w:pStyle w:val="NormalArial"/>
              <w:spacing w:before="120" w:after="120"/>
            </w:pPr>
            <w:r w:rsidRPr="00F30F03">
              <w:t>On 1/17/2020, BESTF reached consensus on KTC 10, items 1, 2, 4 and 5.</w:t>
            </w:r>
          </w:p>
        </w:tc>
      </w:tr>
      <w:tr w:rsidR="00C9766A" w14:paraId="7DD2ABA4" w14:textId="77777777" w:rsidTr="0014561B">
        <w:trPr>
          <w:trHeight w:val="518"/>
        </w:trPr>
        <w:tc>
          <w:tcPr>
            <w:tcW w:w="2340" w:type="dxa"/>
            <w:gridSpan w:val="2"/>
            <w:tcBorders>
              <w:bottom w:val="single" w:sz="4" w:space="0" w:color="auto"/>
            </w:tcBorders>
            <w:shd w:val="clear" w:color="auto" w:fill="FFFFFF"/>
            <w:vAlign w:val="center"/>
          </w:tcPr>
          <w:p w14:paraId="65CAD44F"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6F6481C1" w14:textId="3FC84E8C" w:rsidR="00872467" w:rsidRPr="00FB509B" w:rsidRDefault="00872467" w:rsidP="00491401">
            <w:pPr>
              <w:pStyle w:val="NormalArial"/>
              <w:spacing w:before="120" w:after="120"/>
            </w:pPr>
          </w:p>
        </w:tc>
      </w:tr>
      <w:tr w:rsidR="009D17F0" w14:paraId="0692ABA7" w14:textId="77777777" w:rsidTr="0014561B">
        <w:trPr>
          <w:trHeight w:val="518"/>
        </w:trPr>
        <w:tc>
          <w:tcPr>
            <w:tcW w:w="2340" w:type="dxa"/>
            <w:gridSpan w:val="2"/>
            <w:tcBorders>
              <w:bottom w:val="single" w:sz="4" w:space="0" w:color="auto"/>
            </w:tcBorders>
            <w:shd w:val="clear" w:color="auto" w:fill="FFFFFF"/>
            <w:vAlign w:val="center"/>
          </w:tcPr>
          <w:p w14:paraId="160FAD63"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6D7C4461" w14:textId="77777777" w:rsidR="00D94355" w:rsidRDefault="00F27BFE" w:rsidP="00685CC4">
            <w:pPr>
              <w:pStyle w:val="NormalArial"/>
              <w:spacing w:before="120" w:after="120"/>
            </w:pPr>
            <w:r>
              <w:t xml:space="preserve"> </w:t>
            </w:r>
            <w:r w:rsidR="00491401" w:rsidRPr="00F30F03">
              <w:t>On 11/20/19, TAC approved KTC 10, item 3.</w:t>
            </w:r>
          </w:p>
          <w:p w14:paraId="727B7DB6" w14:textId="53581E6B" w:rsidR="00AA5425" w:rsidRPr="00FB509B" w:rsidRDefault="00AA5425" w:rsidP="00685CC4">
            <w:pPr>
              <w:pStyle w:val="NormalArial"/>
              <w:spacing w:before="120" w:after="120"/>
            </w:pPr>
            <w:r>
              <w:t>On 1/29/20, TAC approved KTC 10, items 1, 2, 4 and 5.</w:t>
            </w:r>
          </w:p>
        </w:tc>
      </w:tr>
    </w:tbl>
    <w:p w14:paraId="43CFD4F3"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38A320D" w14:textId="77777777">
        <w:trPr>
          <w:trHeight w:val="350"/>
        </w:trPr>
        <w:tc>
          <w:tcPr>
            <w:tcW w:w="10440" w:type="dxa"/>
            <w:tcBorders>
              <w:bottom w:val="single" w:sz="4" w:space="0" w:color="auto"/>
            </w:tcBorders>
            <w:shd w:val="clear" w:color="auto" w:fill="FFFFFF"/>
            <w:vAlign w:val="center"/>
          </w:tcPr>
          <w:p w14:paraId="1729395C"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07AED5F9" w14:textId="77777777" w:rsidR="00BC2D06" w:rsidRPr="00957573" w:rsidRDefault="00BC2D06" w:rsidP="00BC2D06">
      <w:pPr>
        <w:ind w:left="360"/>
        <w:rPr>
          <w:rFonts w:ascii="Arial" w:hAnsi="Arial" w:cs="Arial"/>
        </w:rPr>
      </w:pPr>
    </w:p>
    <w:p w14:paraId="59535C3D"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03C8ED6C" w14:textId="19A9F05A" w:rsidR="00491401" w:rsidRPr="0058525B" w:rsidRDefault="00AA5425" w:rsidP="0076028D">
      <w:pPr>
        <w:pStyle w:val="ListParagraph"/>
      </w:pPr>
      <w:r w:rsidRPr="009C02C5">
        <w:rPr>
          <w:rFonts w:cs="Arial"/>
          <w:iCs/>
          <w:color w:val="auto"/>
        </w:rPr>
        <w:t>None.</w:t>
      </w:r>
    </w:p>
    <w:p w14:paraId="4E48F604" w14:textId="77777777" w:rsidR="001A7A9B" w:rsidRPr="00073E79" w:rsidRDefault="001A7A9B" w:rsidP="00073E79">
      <w:pPr>
        <w:pStyle w:val="ListParagraph"/>
        <w:spacing w:before="120" w:after="120"/>
        <w:ind w:left="0"/>
        <w:contextualSpacing w:val="0"/>
        <w:rPr>
          <w:rFonts w:cs="Arial"/>
          <w:iCs/>
          <w:color w:val="auto"/>
        </w:rPr>
      </w:pPr>
    </w:p>
    <w:p w14:paraId="6012D09E"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4CDA1D15" w14:textId="77777777" w:rsidR="00BF3042" w:rsidRPr="0032501D" w:rsidRDefault="00BF3042" w:rsidP="00BF3042">
      <w:pPr>
        <w:pStyle w:val="ListParagraph"/>
        <w:spacing w:before="120" w:after="120"/>
        <w:ind w:left="0"/>
        <w:contextualSpacing w:val="0"/>
        <w:rPr>
          <w:rFonts w:cs="Arial"/>
          <w:iCs/>
          <w:color w:val="auto"/>
          <w:u w:val="single"/>
        </w:rPr>
      </w:pPr>
      <w:r w:rsidRPr="0032501D">
        <w:rPr>
          <w:rFonts w:cs="Arial"/>
          <w:iCs/>
          <w:color w:val="auto"/>
          <w:u w:val="single"/>
        </w:rPr>
        <w:t>11/20/19 TAC Meeting</w:t>
      </w:r>
      <w:r>
        <w:rPr>
          <w:rFonts w:cs="Arial"/>
          <w:iCs/>
          <w:color w:val="auto"/>
          <w:u w:val="single"/>
        </w:rPr>
        <w:t xml:space="preserve"> (Consensus from 11/4/19 BESTF meeting)</w:t>
      </w:r>
      <w:r w:rsidRPr="0032501D">
        <w:rPr>
          <w:rFonts w:cs="Arial"/>
          <w:iCs/>
          <w:color w:val="auto"/>
          <w:u w:val="single"/>
        </w:rPr>
        <w:t>:</w:t>
      </w:r>
    </w:p>
    <w:p w14:paraId="669A86BE" w14:textId="77777777" w:rsidR="00BF3042" w:rsidRPr="005A5368" w:rsidRDefault="00BF3042" w:rsidP="00BF3042">
      <w:pPr>
        <w:pStyle w:val="ListParagraph"/>
        <w:numPr>
          <w:ilvl w:val="0"/>
          <w:numId w:val="39"/>
        </w:numPr>
        <w:spacing w:before="120" w:after="120"/>
        <w:ind w:left="360"/>
        <w:contextualSpacing w:val="0"/>
        <w:rPr>
          <w:rFonts w:cs="Arial"/>
          <w:color w:val="auto"/>
          <w:u w:val="single"/>
        </w:rPr>
      </w:pPr>
      <w:r>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p>
    <w:p w14:paraId="5130183D" w14:textId="77777777" w:rsidR="00BF3042" w:rsidRPr="005A5368" w:rsidRDefault="00BF3042" w:rsidP="00BF3042">
      <w:pPr>
        <w:pStyle w:val="ListParagraph"/>
        <w:numPr>
          <w:ilvl w:val="0"/>
          <w:numId w:val="39"/>
        </w:numPr>
        <w:spacing w:before="120" w:after="120"/>
        <w:ind w:left="360"/>
        <w:contextualSpacing w:val="0"/>
        <w:rPr>
          <w:rFonts w:cs="Arial"/>
          <w:color w:val="auto"/>
          <w:u w:val="single"/>
        </w:rPr>
      </w:pPr>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p>
    <w:p w14:paraId="3D1EC79C" w14:textId="77777777" w:rsidR="00BF3042" w:rsidRPr="005A5368" w:rsidRDefault="00BF3042" w:rsidP="00BF3042">
      <w:pPr>
        <w:pStyle w:val="ListParagraph"/>
        <w:numPr>
          <w:ilvl w:val="1"/>
          <w:numId w:val="39"/>
        </w:numPr>
        <w:spacing w:before="120" w:after="120"/>
        <w:ind w:left="720"/>
        <w:contextualSpacing w:val="0"/>
        <w:rPr>
          <w:rFonts w:cs="Arial"/>
          <w:color w:val="auto"/>
          <w:u w:val="single"/>
        </w:rPr>
      </w:pPr>
      <w:r>
        <w:rPr>
          <w:rFonts w:cs="Arial"/>
          <w:color w:val="auto"/>
        </w:rPr>
        <w:t>For ESRs providing Ancillary Service (AS), COP HSLs must be greater than or equal to the combined amount of AS being provided by the ESR.</w:t>
      </w:r>
    </w:p>
    <w:p w14:paraId="60DC7147" w14:textId="77777777" w:rsidR="00BF3042" w:rsidRPr="00717EDD" w:rsidRDefault="00BF3042" w:rsidP="00BF3042">
      <w:pPr>
        <w:pStyle w:val="ListParagraph"/>
        <w:numPr>
          <w:ilvl w:val="1"/>
          <w:numId w:val="39"/>
        </w:numPr>
        <w:spacing w:before="120" w:after="120"/>
        <w:ind w:left="720"/>
        <w:contextualSpacing w:val="0"/>
        <w:rPr>
          <w:rFonts w:cs="Arial"/>
          <w:color w:val="auto"/>
          <w:u w:val="single"/>
        </w:rPr>
      </w:pPr>
      <w:r>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p>
    <w:p w14:paraId="03F2A72F" w14:textId="77777777" w:rsidR="00BF3042" w:rsidRPr="00073E79" w:rsidRDefault="00BF3042" w:rsidP="00BF3042">
      <w:pPr>
        <w:pStyle w:val="ListParagraph"/>
        <w:numPr>
          <w:ilvl w:val="1"/>
          <w:numId w:val="39"/>
        </w:numPr>
        <w:spacing w:before="120" w:after="120"/>
        <w:ind w:left="720"/>
        <w:contextualSpacing w:val="0"/>
        <w:rPr>
          <w:rFonts w:cs="Arial"/>
          <w:color w:val="auto"/>
          <w:u w:val="single"/>
        </w:rPr>
      </w:pPr>
      <w:r>
        <w:rPr>
          <w:rFonts w:cs="Arial"/>
          <w:color w:val="auto"/>
        </w:rPr>
        <w:t>For ESRs not providing AS, the full HSL values are expected to reflect duration limitations of the ESR.</w:t>
      </w:r>
    </w:p>
    <w:p w14:paraId="0F046941" w14:textId="77777777" w:rsidR="00BF3042" w:rsidRDefault="00BF3042" w:rsidP="00BF3042">
      <w:pPr>
        <w:pStyle w:val="ListParagraph"/>
        <w:numPr>
          <w:ilvl w:val="0"/>
          <w:numId w:val="39"/>
        </w:numPr>
        <w:spacing w:before="120" w:after="120"/>
        <w:ind w:left="360"/>
        <w:contextualSpacing w:val="0"/>
        <w:rPr>
          <w:rFonts w:cs="Arial"/>
          <w:color w:val="auto"/>
        </w:rPr>
      </w:pPr>
      <w:r w:rsidRPr="00717EDD">
        <w:rPr>
          <w:rFonts w:cs="Arial"/>
          <w:color w:val="auto"/>
        </w:rPr>
        <w:t>In the longer term, the RUC engine will be enhanced to recognize ESRs and consider state-of-charge when determining projected dispatch for the RUC study period.</w:t>
      </w:r>
    </w:p>
    <w:p w14:paraId="3BB5F63E" w14:textId="77777777" w:rsidR="00AA5425" w:rsidRPr="0058525B" w:rsidRDefault="00AA5425" w:rsidP="00AA5425">
      <w:pPr>
        <w:spacing w:before="120" w:after="120"/>
        <w:rPr>
          <w:rFonts w:ascii="Arial" w:hAnsi="Arial" w:cs="Arial"/>
          <w:iCs/>
          <w:color w:val="000000" w:themeColor="text1"/>
        </w:rPr>
      </w:pPr>
      <w:r w:rsidRPr="0058525B">
        <w:rPr>
          <w:rFonts w:ascii="Arial" w:hAnsi="Arial" w:cs="Arial"/>
          <w:iCs/>
          <w:color w:val="000000" w:themeColor="text1"/>
          <w:u w:val="single"/>
        </w:rPr>
        <w:t>1/29/20 TAC Meeting (Consensus from 1/17/20 BESTF meeting):</w:t>
      </w:r>
      <w:r w:rsidRPr="0058525B">
        <w:rPr>
          <w:rFonts w:ascii="Arial" w:hAnsi="Arial" w:cs="Arial"/>
          <w:iCs/>
          <w:color w:val="000000" w:themeColor="text1"/>
        </w:rPr>
        <w:t xml:space="preserve"> </w:t>
      </w:r>
    </w:p>
    <w:p w14:paraId="4EB46FB4" w14:textId="77777777" w:rsidR="00AA5425" w:rsidRPr="0058525B" w:rsidRDefault="00AA5425" w:rsidP="00AA5425">
      <w:pPr>
        <w:pStyle w:val="ListParagraph"/>
        <w:numPr>
          <w:ilvl w:val="0"/>
          <w:numId w:val="43"/>
        </w:numPr>
        <w:spacing w:before="120" w:after="120"/>
        <w:ind w:left="360"/>
        <w:contextualSpacing w:val="0"/>
        <w:rPr>
          <w:rFonts w:cs="Arial"/>
          <w:iCs/>
          <w:color w:val="000000" w:themeColor="text1"/>
        </w:rPr>
      </w:pPr>
      <w:r w:rsidRPr="0058525B">
        <w:rPr>
          <w:rFonts w:cs="Arial"/>
          <w:iCs/>
          <w:color w:val="000000" w:themeColor="text1"/>
        </w:rPr>
        <w:t>(Item 1)  Define “Storage Peak Average Capacity Percentage” to be used in CDR for various batteries:</w:t>
      </w:r>
    </w:p>
    <w:p w14:paraId="7B2E3BA8" w14:textId="77777777" w:rsidR="00AA5425" w:rsidRPr="0058525B" w:rsidRDefault="00AA5425" w:rsidP="00AA5425">
      <w:pPr>
        <w:pStyle w:val="ListParagraph"/>
        <w:spacing w:before="120" w:after="120"/>
        <w:ind w:left="360"/>
        <w:contextualSpacing w:val="0"/>
        <w:rPr>
          <w:rFonts w:cs="Arial"/>
          <w:iCs/>
          <w:color w:val="000000" w:themeColor="text1"/>
        </w:rPr>
      </w:pPr>
      <w:r w:rsidRPr="0058525B">
        <w:rPr>
          <w:rFonts w:cs="Arial"/>
          <w:iCs/>
          <w:color w:val="000000" w:themeColor="text1"/>
        </w:rPr>
        <w:t xml:space="preserve">ERCOT together with the Supply Analysis Working Group (SAWG) will develop a methodology for ESR capacity to be accounted for in resource adequacy reports.   </w:t>
      </w:r>
    </w:p>
    <w:p w14:paraId="37B3921E" w14:textId="77777777" w:rsidR="00AA5425" w:rsidRPr="0058525B" w:rsidRDefault="00AA5425" w:rsidP="00AA5425">
      <w:pPr>
        <w:pStyle w:val="ListParagraph"/>
        <w:spacing w:before="120" w:after="120"/>
        <w:ind w:left="360"/>
        <w:contextualSpacing w:val="0"/>
        <w:rPr>
          <w:rFonts w:cs="Arial"/>
          <w:iCs/>
          <w:color w:val="000000" w:themeColor="text1"/>
        </w:rPr>
      </w:pPr>
    </w:p>
    <w:p w14:paraId="7EF96CED" w14:textId="77777777" w:rsidR="00AA5425" w:rsidRPr="0058525B" w:rsidRDefault="00AA5425" w:rsidP="00AA5425">
      <w:pPr>
        <w:pStyle w:val="ListParagraph"/>
        <w:numPr>
          <w:ilvl w:val="0"/>
          <w:numId w:val="43"/>
        </w:numPr>
        <w:spacing w:before="120" w:after="120"/>
        <w:ind w:left="360"/>
        <w:contextualSpacing w:val="0"/>
        <w:rPr>
          <w:rFonts w:cs="Arial"/>
          <w:iCs/>
          <w:color w:val="000000" w:themeColor="text1"/>
        </w:rPr>
      </w:pPr>
      <w:r w:rsidRPr="0058525B">
        <w:rPr>
          <w:rFonts w:cs="Arial"/>
          <w:iCs/>
          <w:color w:val="000000" w:themeColor="text1"/>
        </w:rPr>
        <w:t>(Item 2) Outage Coordination Studies:</w:t>
      </w:r>
    </w:p>
    <w:p w14:paraId="41D4ACBE" w14:textId="77777777" w:rsidR="00AA5425" w:rsidRPr="0058525B" w:rsidRDefault="00AA5425" w:rsidP="00AA5425">
      <w:pPr>
        <w:spacing w:before="120" w:after="120"/>
        <w:ind w:left="360"/>
        <w:rPr>
          <w:rFonts w:ascii="Arial" w:hAnsi="Arial" w:cs="Arial"/>
          <w:iCs/>
          <w:color w:val="000000" w:themeColor="text1"/>
        </w:rPr>
      </w:pPr>
      <w:r w:rsidRPr="0058525B">
        <w:rPr>
          <w:rFonts w:ascii="Arial" w:hAnsi="Arial" w:cs="Arial"/>
          <w:iCs/>
          <w:color w:val="000000" w:themeColor="text1"/>
        </w:rPr>
        <w:t>Item 2 does not require Protocol language revisions; however, below is a summary of near and longer term assumptions;</w:t>
      </w:r>
    </w:p>
    <w:p w14:paraId="16F3DD8D" w14:textId="77777777" w:rsidR="00AA5425" w:rsidRPr="0058525B" w:rsidRDefault="00AA5425" w:rsidP="00AA5425">
      <w:pPr>
        <w:pStyle w:val="ListParagraph"/>
        <w:numPr>
          <w:ilvl w:val="1"/>
          <w:numId w:val="43"/>
        </w:numPr>
        <w:spacing w:before="120" w:after="120"/>
        <w:contextualSpacing w:val="0"/>
        <w:rPr>
          <w:rFonts w:cs="Arial"/>
          <w:iCs/>
          <w:color w:val="000000" w:themeColor="text1"/>
        </w:rPr>
      </w:pPr>
      <w:r w:rsidRPr="0058525B">
        <w:rPr>
          <w:rFonts w:cs="Arial"/>
          <w:color w:val="000000" w:themeColor="text1"/>
        </w:rPr>
        <w:lastRenderedPageBreak/>
        <w:t>ESRs will continue to be excluded from Outage coordination studies.  Exceptions to the exclusions will be considered based on study criteria and best engineering practices.</w:t>
      </w:r>
    </w:p>
    <w:p w14:paraId="24872C9C" w14:textId="77777777" w:rsidR="00AA5425" w:rsidRPr="0058525B" w:rsidRDefault="00AA5425" w:rsidP="00AA5425">
      <w:pPr>
        <w:pStyle w:val="ListParagraph"/>
        <w:numPr>
          <w:ilvl w:val="1"/>
          <w:numId w:val="43"/>
        </w:numPr>
        <w:spacing w:before="120" w:after="120"/>
        <w:contextualSpacing w:val="0"/>
        <w:rPr>
          <w:rFonts w:cs="Arial"/>
          <w:iCs/>
          <w:color w:val="000000" w:themeColor="text1"/>
        </w:rPr>
      </w:pPr>
      <w:r w:rsidRPr="0058525B">
        <w:rPr>
          <w:rFonts w:cs="Arial"/>
          <w:color w:val="000000" w:themeColor="text1"/>
        </w:rPr>
        <w:t>ERCOT will work with stakeholders to develop appropriate outage coordination study assumptions.</w:t>
      </w:r>
    </w:p>
    <w:p w14:paraId="70C733F6" w14:textId="77777777" w:rsidR="00AA5425" w:rsidRPr="0058525B" w:rsidRDefault="00AA5425" w:rsidP="00AA5425">
      <w:pPr>
        <w:pStyle w:val="ListParagraph"/>
        <w:spacing w:before="120" w:after="120"/>
        <w:ind w:left="360"/>
        <w:contextualSpacing w:val="0"/>
        <w:rPr>
          <w:rFonts w:cs="Arial"/>
          <w:iCs/>
          <w:color w:val="000000" w:themeColor="text1"/>
        </w:rPr>
      </w:pPr>
    </w:p>
    <w:p w14:paraId="252155A9" w14:textId="77777777" w:rsidR="00AA5425" w:rsidRPr="0058525B" w:rsidRDefault="00AA5425" w:rsidP="00AA5425">
      <w:pPr>
        <w:pStyle w:val="ListParagraph"/>
        <w:numPr>
          <w:ilvl w:val="0"/>
          <w:numId w:val="43"/>
        </w:numPr>
        <w:spacing w:before="120" w:after="120"/>
        <w:ind w:left="360"/>
        <w:contextualSpacing w:val="0"/>
        <w:rPr>
          <w:rFonts w:cs="Arial"/>
          <w:iCs/>
          <w:color w:val="000000" w:themeColor="text1"/>
        </w:rPr>
      </w:pPr>
      <w:r w:rsidRPr="0058525B">
        <w:rPr>
          <w:rFonts w:cs="Arial"/>
          <w:iCs/>
          <w:color w:val="000000" w:themeColor="text1"/>
        </w:rPr>
        <w:t>(Item 4) Operations Studies (other than RUC):</w:t>
      </w:r>
    </w:p>
    <w:p w14:paraId="0AE00073" w14:textId="77777777" w:rsidR="00AA5425" w:rsidRPr="0058525B" w:rsidRDefault="00AA5425" w:rsidP="00AA5425">
      <w:pPr>
        <w:pStyle w:val="ListParagraph"/>
        <w:numPr>
          <w:ilvl w:val="0"/>
          <w:numId w:val="45"/>
        </w:numPr>
        <w:spacing w:before="120" w:after="120"/>
        <w:rPr>
          <w:rFonts w:cs="Arial"/>
          <w:iCs/>
          <w:color w:val="000000" w:themeColor="text1"/>
        </w:rPr>
      </w:pPr>
      <w:r w:rsidRPr="0058525B">
        <w:rPr>
          <w:rFonts w:cs="Arial"/>
          <w:iCs/>
          <w:color w:val="000000" w:themeColor="text1"/>
        </w:rPr>
        <w:t>Generic Transmission Limit study for the Day-Ahead Market: this is a two-day ahead study to determine transfer limits on all existing Generic Transmission Constraints (GTCs), including the North to Houston Interconnection Reliability Operating Limit (IROL).</w:t>
      </w:r>
    </w:p>
    <w:p w14:paraId="4E7DFD44" w14:textId="77777777" w:rsidR="00AA5425" w:rsidRPr="0058525B" w:rsidRDefault="00AA5425" w:rsidP="00AA5425">
      <w:pPr>
        <w:pStyle w:val="ListParagraph"/>
        <w:numPr>
          <w:ilvl w:val="0"/>
          <w:numId w:val="45"/>
        </w:numPr>
        <w:spacing w:before="120" w:after="120"/>
        <w:rPr>
          <w:rFonts w:cs="Arial"/>
          <w:iCs/>
          <w:color w:val="000000" w:themeColor="text1"/>
        </w:rPr>
      </w:pPr>
      <w:r w:rsidRPr="0058525B">
        <w:rPr>
          <w:rFonts w:cs="Arial"/>
          <w:iCs/>
          <w:color w:val="000000" w:themeColor="text1"/>
        </w:rPr>
        <w:t>Next Day study: this study evaluates the forecasted peak of the next Operating Day to ensure ERCOT has both sufficient generation to serve the load and mitigation plans on all issues that may come up. The generation input for this study is the result of the DRUC study.</w:t>
      </w:r>
    </w:p>
    <w:p w14:paraId="5269EA1A" w14:textId="77777777" w:rsidR="00AA5425" w:rsidRPr="0058525B" w:rsidRDefault="00AA5425" w:rsidP="00AA5425">
      <w:pPr>
        <w:pStyle w:val="ListParagraph"/>
        <w:numPr>
          <w:ilvl w:val="0"/>
          <w:numId w:val="45"/>
        </w:numPr>
        <w:spacing w:before="120" w:after="120"/>
        <w:rPr>
          <w:rFonts w:cs="Arial"/>
          <w:iCs/>
          <w:color w:val="000000" w:themeColor="text1"/>
        </w:rPr>
      </w:pPr>
      <w:r w:rsidRPr="0058525B">
        <w:rPr>
          <w:rFonts w:cs="Arial"/>
          <w:iCs/>
          <w:color w:val="000000" w:themeColor="text1"/>
        </w:rPr>
        <w:t xml:space="preserve">Gap Study: this study is a supplement of the Next Day study, using up to date information. The generation input for this study is the result of the most recent HRUC study. </w:t>
      </w:r>
    </w:p>
    <w:p w14:paraId="4446BD77" w14:textId="77777777" w:rsidR="00AA5425" w:rsidRPr="0058525B" w:rsidRDefault="00AA5425" w:rsidP="00AA5425">
      <w:pPr>
        <w:spacing w:before="120" w:after="120"/>
        <w:ind w:left="450"/>
        <w:rPr>
          <w:rFonts w:ascii="Arial" w:hAnsi="Arial" w:cs="Arial"/>
          <w:iCs/>
          <w:color w:val="000000" w:themeColor="text1"/>
        </w:rPr>
      </w:pPr>
      <w:r w:rsidRPr="0058525B">
        <w:rPr>
          <w:rFonts w:ascii="Arial" w:hAnsi="Arial" w:cs="Arial"/>
          <w:iCs/>
          <w:color w:val="000000" w:themeColor="text1"/>
        </w:rPr>
        <w:t>Item 4 does not require Protocol language revisions, however below is a summary of near and longer term assumptions:</w:t>
      </w:r>
    </w:p>
    <w:p w14:paraId="68DF45C9" w14:textId="77777777" w:rsidR="00AA5425" w:rsidRPr="0058525B" w:rsidRDefault="00AA5425" w:rsidP="00AA5425">
      <w:pPr>
        <w:pStyle w:val="ListParagraph"/>
        <w:numPr>
          <w:ilvl w:val="1"/>
          <w:numId w:val="43"/>
        </w:numPr>
        <w:spacing w:before="120" w:after="120"/>
        <w:contextualSpacing w:val="0"/>
        <w:rPr>
          <w:rFonts w:cs="Arial"/>
          <w:iCs/>
          <w:color w:val="000000" w:themeColor="text1"/>
        </w:rPr>
      </w:pPr>
      <w:r w:rsidRPr="0058525B">
        <w:rPr>
          <w:rFonts w:cs="Arial"/>
          <w:color w:val="000000" w:themeColor="text1"/>
        </w:rPr>
        <w:t>ESRs will continue to be considered "offline” in operations studies and ERCOT will issue guidance on ESR COP submittal expectations.  Exceptions to the exclusions will be considered based on study criteria and best engineering practices.</w:t>
      </w:r>
    </w:p>
    <w:p w14:paraId="58851BC4" w14:textId="77777777" w:rsidR="00AA5425" w:rsidRPr="0058525B" w:rsidRDefault="00AA5425" w:rsidP="00AA5425">
      <w:pPr>
        <w:pStyle w:val="ListParagraph"/>
        <w:numPr>
          <w:ilvl w:val="1"/>
          <w:numId w:val="43"/>
        </w:numPr>
        <w:spacing w:before="120" w:after="120"/>
        <w:contextualSpacing w:val="0"/>
        <w:rPr>
          <w:rFonts w:cs="Arial"/>
          <w:iCs/>
          <w:color w:val="000000" w:themeColor="text1"/>
        </w:rPr>
      </w:pPr>
      <w:r w:rsidRPr="0058525B">
        <w:rPr>
          <w:rFonts w:cs="Arial"/>
          <w:iCs/>
          <w:color w:val="000000" w:themeColor="text1"/>
        </w:rPr>
        <w:t xml:space="preserve">ERCOT will work with stakeholders to </w:t>
      </w:r>
      <w:r>
        <w:rPr>
          <w:rFonts w:cs="Arial"/>
          <w:iCs/>
          <w:color w:val="000000" w:themeColor="text1"/>
        </w:rPr>
        <w:t>develop appropriate operational studies assumptions</w:t>
      </w:r>
      <w:r w:rsidRPr="0058525B">
        <w:rPr>
          <w:rFonts w:cs="Arial"/>
          <w:iCs/>
          <w:color w:val="000000" w:themeColor="text1"/>
        </w:rPr>
        <w:t xml:space="preserve">. </w:t>
      </w:r>
    </w:p>
    <w:p w14:paraId="05870FB0" w14:textId="77777777" w:rsidR="00AA5425" w:rsidRPr="0058525B" w:rsidRDefault="00AA5425" w:rsidP="00AA5425">
      <w:pPr>
        <w:spacing w:before="120" w:after="120"/>
        <w:rPr>
          <w:rFonts w:cs="Arial"/>
          <w:iCs/>
          <w:color w:val="000000" w:themeColor="text1"/>
        </w:rPr>
      </w:pPr>
    </w:p>
    <w:p w14:paraId="2971927A" w14:textId="77777777" w:rsidR="00AA5425" w:rsidRPr="0058525B" w:rsidRDefault="00AA5425" w:rsidP="00AA5425">
      <w:pPr>
        <w:pStyle w:val="ListParagraph"/>
        <w:numPr>
          <w:ilvl w:val="0"/>
          <w:numId w:val="43"/>
        </w:numPr>
        <w:spacing w:before="120" w:after="120"/>
        <w:ind w:left="360"/>
        <w:contextualSpacing w:val="0"/>
        <w:rPr>
          <w:rFonts w:cs="Arial"/>
          <w:iCs/>
          <w:color w:val="000000" w:themeColor="text1"/>
        </w:rPr>
      </w:pPr>
      <w:r w:rsidRPr="0058525B">
        <w:rPr>
          <w:rFonts w:cs="Arial"/>
          <w:iCs/>
          <w:color w:val="000000" w:themeColor="text1"/>
        </w:rPr>
        <w:t>(Item 5) Transmission Planning Studies:</w:t>
      </w:r>
    </w:p>
    <w:p w14:paraId="050D2D5D" w14:textId="77777777" w:rsidR="00AA5425" w:rsidRPr="0058525B" w:rsidRDefault="00AA5425" w:rsidP="00AA5425">
      <w:pPr>
        <w:pStyle w:val="ListParagraph"/>
        <w:numPr>
          <w:ilvl w:val="0"/>
          <w:numId w:val="46"/>
        </w:numPr>
        <w:spacing w:before="120" w:after="120"/>
        <w:rPr>
          <w:rFonts w:cs="Arial"/>
          <w:iCs/>
          <w:color w:val="000000" w:themeColor="text1"/>
        </w:rPr>
      </w:pPr>
      <w:r w:rsidRPr="0058525B">
        <w:rPr>
          <w:rFonts w:cs="Arial"/>
          <w:iCs/>
          <w:color w:val="000000" w:themeColor="text1"/>
        </w:rPr>
        <w:t>Quarterly Stability Assessment: stability study, conducted every three months to assess newly planned generation, with the purpose of identifying any stability operating limits and to establish Generic Transmission Constraints (GTC) and Generic Transmission Limits (GTL) if needed.</w:t>
      </w:r>
    </w:p>
    <w:p w14:paraId="6591F07F" w14:textId="77777777" w:rsidR="00AA5425" w:rsidRPr="0058525B" w:rsidRDefault="00AA5425" w:rsidP="00AA5425">
      <w:pPr>
        <w:pStyle w:val="ListParagraph"/>
        <w:numPr>
          <w:ilvl w:val="0"/>
          <w:numId w:val="46"/>
        </w:numPr>
        <w:spacing w:before="120" w:after="120"/>
        <w:rPr>
          <w:rFonts w:cs="Arial"/>
          <w:iCs/>
          <w:color w:val="000000" w:themeColor="text1"/>
        </w:rPr>
      </w:pPr>
      <w:r w:rsidRPr="0058525B">
        <w:rPr>
          <w:rFonts w:cs="Arial"/>
          <w:iCs/>
          <w:color w:val="000000" w:themeColor="text1"/>
        </w:rPr>
        <w:t>Regional Transmission Planning study: yearly planning study that focuses on meeting system needs within a six-year planning horizon.</w:t>
      </w:r>
    </w:p>
    <w:p w14:paraId="2AC41C51" w14:textId="77777777" w:rsidR="00AA5425" w:rsidRPr="0058525B" w:rsidRDefault="00AA5425" w:rsidP="00AA5425">
      <w:pPr>
        <w:pStyle w:val="ListParagraph"/>
        <w:numPr>
          <w:ilvl w:val="0"/>
          <w:numId w:val="46"/>
        </w:numPr>
        <w:spacing w:before="120" w:after="120"/>
        <w:rPr>
          <w:rFonts w:cs="Arial"/>
          <w:iCs/>
          <w:color w:val="000000" w:themeColor="text1"/>
        </w:rPr>
      </w:pPr>
      <w:r w:rsidRPr="0058525B">
        <w:rPr>
          <w:rFonts w:cs="Arial"/>
          <w:iCs/>
          <w:color w:val="000000" w:themeColor="text1"/>
        </w:rPr>
        <w:t>Long-Term System Assessment: biennial planning study, providing a scenario-based view of long-term needs (10-15 years into the future). The LTSA identifies upgrades that provide benefits across a range of possible future scenarios and provides a longer-term view that can inform and improve the shorter-term Regional Transmission Plan</w:t>
      </w:r>
    </w:p>
    <w:p w14:paraId="407F23A5" w14:textId="77777777" w:rsidR="00AA5425" w:rsidRPr="0058525B" w:rsidRDefault="00AA5425" w:rsidP="00AA5425">
      <w:pPr>
        <w:pStyle w:val="ListParagraph"/>
        <w:numPr>
          <w:ilvl w:val="0"/>
          <w:numId w:val="46"/>
        </w:numPr>
        <w:spacing w:before="120" w:after="120"/>
        <w:rPr>
          <w:rFonts w:cs="Arial"/>
          <w:iCs/>
          <w:color w:val="000000" w:themeColor="text1"/>
        </w:rPr>
      </w:pPr>
      <w:r w:rsidRPr="0058525B">
        <w:rPr>
          <w:rFonts w:cs="Arial"/>
          <w:iCs/>
          <w:color w:val="000000" w:themeColor="text1"/>
        </w:rPr>
        <w:t xml:space="preserve">Regional Planning Group Studies: studies for proposed transmission improvement projects with estimated costs above $15 million. </w:t>
      </w:r>
    </w:p>
    <w:p w14:paraId="68875112" w14:textId="77777777" w:rsidR="00AA5425" w:rsidRPr="0058525B" w:rsidRDefault="00AA5425" w:rsidP="00AA5425">
      <w:pPr>
        <w:pStyle w:val="ListParagraph"/>
        <w:numPr>
          <w:ilvl w:val="0"/>
          <w:numId w:val="46"/>
        </w:numPr>
        <w:spacing w:before="120" w:after="120"/>
        <w:rPr>
          <w:rFonts w:cs="Arial"/>
          <w:iCs/>
          <w:color w:val="000000" w:themeColor="text1"/>
        </w:rPr>
      </w:pPr>
      <w:r w:rsidRPr="0058525B">
        <w:rPr>
          <w:rFonts w:cs="Arial"/>
          <w:iCs/>
          <w:color w:val="000000" w:themeColor="text1"/>
        </w:rPr>
        <w:lastRenderedPageBreak/>
        <w:t xml:space="preserve">Other select dynamic studies; for example, Dynamic Stability Assessment of High Penetration of Renewable Generation in the ERCOT Grid, carried out in spring 2018. </w:t>
      </w:r>
    </w:p>
    <w:p w14:paraId="2A3E2177" w14:textId="77777777" w:rsidR="00AA5425" w:rsidRPr="0058525B" w:rsidRDefault="00AA5425" w:rsidP="00AA5425">
      <w:pPr>
        <w:pStyle w:val="ListParagraph"/>
        <w:spacing w:before="120" w:after="120"/>
        <w:ind w:left="360"/>
        <w:contextualSpacing w:val="0"/>
        <w:rPr>
          <w:rFonts w:cs="Arial"/>
          <w:iCs/>
          <w:color w:val="000000" w:themeColor="text1"/>
        </w:rPr>
      </w:pPr>
    </w:p>
    <w:p w14:paraId="2C96AAB9" w14:textId="77777777" w:rsidR="00AA5425" w:rsidRPr="0058525B" w:rsidRDefault="00AA5425" w:rsidP="00AA5425">
      <w:pPr>
        <w:pStyle w:val="ListParagraph"/>
        <w:spacing w:before="120" w:after="120"/>
        <w:ind w:left="360"/>
        <w:contextualSpacing w:val="0"/>
        <w:rPr>
          <w:rFonts w:cs="Arial"/>
          <w:iCs/>
          <w:color w:val="000000" w:themeColor="text1"/>
        </w:rPr>
      </w:pPr>
      <w:r w:rsidRPr="0058525B">
        <w:rPr>
          <w:rFonts w:cs="Arial"/>
          <w:iCs/>
          <w:color w:val="000000" w:themeColor="text1"/>
        </w:rPr>
        <w:t>Item 5 does not require Protocol language revisions, however below is a summary of near and longer term assumptions:</w:t>
      </w:r>
    </w:p>
    <w:p w14:paraId="2B20428A" w14:textId="77777777" w:rsidR="00AA5425" w:rsidRPr="0058525B" w:rsidRDefault="00AA5425" w:rsidP="00AA5425">
      <w:pPr>
        <w:pStyle w:val="ListParagraph"/>
        <w:numPr>
          <w:ilvl w:val="1"/>
          <w:numId w:val="43"/>
        </w:numPr>
        <w:spacing w:before="120" w:after="120"/>
        <w:contextualSpacing w:val="0"/>
        <w:rPr>
          <w:rFonts w:cs="Arial"/>
          <w:iCs/>
          <w:color w:val="000000" w:themeColor="text1"/>
        </w:rPr>
      </w:pPr>
      <w:r w:rsidRPr="0058525B">
        <w:rPr>
          <w:rFonts w:cs="Arial"/>
          <w:color w:val="000000" w:themeColor="text1"/>
        </w:rPr>
        <w:t>ESRs will continue to be considered “offline” in transmission planning studies.  Exceptions to the exclusions will be considered based on study criteria and best engineering practices.</w:t>
      </w:r>
    </w:p>
    <w:p w14:paraId="5FF456E2" w14:textId="45759277" w:rsidR="00AA5425" w:rsidRPr="0076028D" w:rsidRDefault="00AA5425" w:rsidP="0076028D">
      <w:pPr>
        <w:pStyle w:val="ListParagraph"/>
        <w:numPr>
          <w:ilvl w:val="1"/>
          <w:numId w:val="43"/>
        </w:numPr>
        <w:spacing w:before="120" w:after="120"/>
        <w:contextualSpacing w:val="0"/>
        <w:rPr>
          <w:rFonts w:cs="Arial"/>
          <w:iCs/>
          <w:color w:val="000000" w:themeColor="text1"/>
        </w:rPr>
      </w:pPr>
      <w:r w:rsidRPr="0058525B">
        <w:rPr>
          <w:rFonts w:cs="Arial"/>
          <w:color w:val="000000" w:themeColor="text1"/>
        </w:rPr>
        <w:t>ERCOT will work with stakeholders to develop appropriate transmission planning study assumptions.</w:t>
      </w:r>
    </w:p>
    <w:p w14:paraId="3746986A" w14:textId="77777777" w:rsidR="0031655A" w:rsidRPr="00073E79" w:rsidRDefault="0031655A" w:rsidP="0031655A">
      <w:pPr>
        <w:ind w:left="360" w:hanging="360"/>
        <w:rPr>
          <w:rFonts w:ascii="Arial" w:hAnsi="Arial" w:cs="Arial"/>
          <w:sz w:val="22"/>
          <w:szCs w:val="22"/>
        </w:rPr>
      </w:pPr>
    </w:p>
    <w:p w14:paraId="2A51DE05" w14:textId="77777777" w:rsidR="0031655A"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21BF328C" w14:textId="77777777" w:rsidR="0058525B" w:rsidRPr="0058525B" w:rsidRDefault="0058525B" w:rsidP="0058525B">
      <w:pPr>
        <w:pStyle w:val="ListParagraph"/>
        <w:tabs>
          <w:tab w:val="left" w:pos="1710"/>
        </w:tabs>
        <w:spacing w:before="120" w:after="120"/>
        <w:ind w:left="0"/>
        <w:contextualSpacing w:val="0"/>
      </w:pPr>
      <w:r w:rsidRPr="009C02C5">
        <w:rPr>
          <w:rFonts w:cs="Arial"/>
          <w:iCs/>
          <w:color w:val="auto"/>
        </w:rPr>
        <w:t>None.</w:t>
      </w:r>
    </w:p>
    <w:p w14:paraId="3F02D856" w14:textId="77777777" w:rsidR="004A490A"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6B322CE9" w14:textId="77777777" w:rsidR="005A5368" w:rsidRPr="00147035" w:rsidRDefault="0058525B" w:rsidP="00147035">
      <w:pPr>
        <w:pStyle w:val="ListParagraph"/>
        <w:tabs>
          <w:tab w:val="left" w:pos="1710"/>
        </w:tabs>
        <w:spacing w:before="120" w:after="120"/>
        <w:ind w:left="0"/>
        <w:contextualSpacing w:val="0"/>
        <w:rPr>
          <w:rFonts w:cs="Arial"/>
          <w:iCs/>
          <w:color w:val="auto"/>
        </w:rPr>
      </w:pPr>
      <w:r w:rsidRPr="009C02C5">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189AAE63" w14:textId="77777777" w:rsidTr="0050618E">
        <w:trPr>
          <w:cantSplit/>
          <w:trHeight w:val="432"/>
        </w:trPr>
        <w:tc>
          <w:tcPr>
            <w:tcW w:w="2880" w:type="dxa"/>
            <w:shd w:val="clear" w:color="auto" w:fill="FFFFFF"/>
            <w:vAlign w:val="center"/>
          </w:tcPr>
          <w:p w14:paraId="7EF1E665"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120A55B" w14:textId="77777777" w:rsidR="004A490A" w:rsidRDefault="004A490A" w:rsidP="0050618E">
            <w:pPr>
              <w:pStyle w:val="NormalArial"/>
            </w:pPr>
          </w:p>
          <w:p w14:paraId="7C7466DA" w14:textId="77777777" w:rsidR="004A490A" w:rsidRDefault="004A490A" w:rsidP="00383B4E">
            <w:pPr>
              <w:pStyle w:val="NormalArial"/>
            </w:pPr>
          </w:p>
        </w:tc>
      </w:tr>
      <w:tr w:rsidR="004A490A" w14:paraId="644A7CC9" w14:textId="77777777" w:rsidTr="00273AE9">
        <w:trPr>
          <w:cantSplit/>
          <w:trHeight w:val="782"/>
        </w:trPr>
        <w:tc>
          <w:tcPr>
            <w:tcW w:w="2880" w:type="dxa"/>
            <w:shd w:val="clear" w:color="auto" w:fill="FFFFFF"/>
            <w:vAlign w:val="center"/>
          </w:tcPr>
          <w:p w14:paraId="0120C2BE"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60DB9E08" w14:textId="77777777" w:rsidR="004A490A" w:rsidRPr="00D1439B" w:rsidRDefault="004A490A" w:rsidP="00BC7ACB">
            <w:pPr>
              <w:pStyle w:val="NormalArial"/>
              <w:rPr>
                <w:color w:val="FF0000"/>
              </w:rPr>
            </w:pPr>
          </w:p>
        </w:tc>
      </w:tr>
    </w:tbl>
    <w:p w14:paraId="18A21532"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B1E3B" w14:textId="77777777" w:rsidR="00EE26B7" w:rsidRDefault="00EE26B7">
      <w:r>
        <w:separator/>
      </w:r>
    </w:p>
  </w:endnote>
  <w:endnote w:type="continuationSeparator" w:id="0">
    <w:p w14:paraId="636ECCEE" w14:textId="77777777" w:rsidR="00EE26B7" w:rsidRDefault="00EE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30C0" w14:textId="77777777" w:rsidR="00491401" w:rsidRPr="00412DCA" w:rsidRDefault="00491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FE366" w14:textId="1AA000F8" w:rsidR="00491401" w:rsidRDefault="00491401">
    <w:pPr>
      <w:pStyle w:val="Footer"/>
      <w:tabs>
        <w:tab w:val="clear" w:pos="4320"/>
        <w:tab w:val="clear" w:pos="8640"/>
        <w:tab w:val="right" w:pos="9360"/>
      </w:tabs>
      <w:rPr>
        <w:rFonts w:ascii="Arial" w:hAnsi="Arial" w:cs="Arial"/>
        <w:sz w:val="18"/>
      </w:rPr>
    </w:pPr>
    <w:r>
      <w:rPr>
        <w:rFonts w:ascii="Arial" w:hAnsi="Arial" w:cs="Arial"/>
        <w:sz w:val="18"/>
      </w:rPr>
      <w:t>Key Topic/Concept (KTC) 10.0 (</w:t>
    </w:r>
    <w:r w:rsidR="00AA5425">
      <w:rPr>
        <w:rFonts w:ascii="Arial" w:hAnsi="Arial" w:cs="Arial"/>
        <w:sz w:val="18"/>
      </w:rPr>
      <w:t>TAC Approved 01-29-2020</w:t>
    </w:r>
    <w:r w:rsidR="0058525B">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84858">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84858">
      <w:rPr>
        <w:rFonts w:ascii="Arial" w:hAnsi="Arial" w:cs="Arial"/>
        <w:noProof/>
        <w:sz w:val="18"/>
      </w:rPr>
      <w:t>4</w:t>
    </w:r>
    <w:r w:rsidRPr="00412DCA">
      <w:rPr>
        <w:rFonts w:ascii="Arial" w:hAnsi="Arial" w:cs="Arial"/>
        <w:sz w:val="18"/>
      </w:rPr>
      <w:fldChar w:fldCharType="end"/>
    </w:r>
  </w:p>
  <w:p w14:paraId="7413B8C3" w14:textId="77777777" w:rsidR="00491401" w:rsidRPr="00412DCA" w:rsidRDefault="0049140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DDC7" w14:textId="77777777" w:rsidR="00491401" w:rsidRPr="00412DCA" w:rsidRDefault="00491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92281" w14:textId="77777777" w:rsidR="00EE26B7" w:rsidRDefault="00EE26B7">
      <w:r>
        <w:separator/>
      </w:r>
    </w:p>
  </w:footnote>
  <w:footnote w:type="continuationSeparator" w:id="0">
    <w:p w14:paraId="6A3F9E0F" w14:textId="77777777" w:rsidR="00EE26B7" w:rsidRDefault="00EE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F5C6" w14:textId="77777777" w:rsidR="00491401" w:rsidRDefault="00491401"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E10EF"/>
    <w:multiLevelType w:val="hybridMultilevel"/>
    <w:tmpl w:val="A1D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F2643F"/>
    <w:multiLevelType w:val="hybridMultilevel"/>
    <w:tmpl w:val="071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475D1"/>
    <w:multiLevelType w:val="hybridMultilevel"/>
    <w:tmpl w:val="59E6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5"/>
  </w:num>
  <w:num w:numId="3">
    <w:abstractNumId w:val="37"/>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0"/>
  </w:num>
  <w:num w:numId="15">
    <w:abstractNumId w:val="28"/>
  </w:num>
  <w:num w:numId="16">
    <w:abstractNumId w:val="32"/>
  </w:num>
  <w:num w:numId="17">
    <w:abstractNumId w:val="34"/>
  </w:num>
  <w:num w:numId="18">
    <w:abstractNumId w:val="12"/>
  </w:num>
  <w:num w:numId="19">
    <w:abstractNumId w:val="30"/>
  </w:num>
  <w:num w:numId="20">
    <w:abstractNumId w:val="9"/>
  </w:num>
  <w:num w:numId="21">
    <w:abstractNumId w:val="24"/>
  </w:num>
  <w:num w:numId="22">
    <w:abstractNumId w:val="33"/>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5"/>
  </w:num>
  <w:num w:numId="30">
    <w:abstractNumId w:val="7"/>
  </w:num>
  <w:num w:numId="31">
    <w:abstractNumId w:val="19"/>
  </w:num>
  <w:num w:numId="32">
    <w:abstractNumId w:val="21"/>
  </w:num>
  <w:num w:numId="33">
    <w:abstractNumId w:val="26"/>
  </w:num>
  <w:num w:numId="34">
    <w:abstractNumId w:val="27"/>
  </w:num>
  <w:num w:numId="35">
    <w:abstractNumId w:val="36"/>
  </w:num>
  <w:num w:numId="36">
    <w:abstractNumId w:val="14"/>
  </w:num>
  <w:num w:numId="37">
    <w:abstractNumId w:val="23"/>
  </w:num>
  <w:num w:numId="38">
    <w:abstractNumId w:val="22"/>
  </w:num>
  <w:num w:numId="39">
    <w:abstractNumId w:val="16"/>
  </w:num>
  <w:num w:numId="40">
    <w:abstractNumId w:val="8"/>
  </w:num>
  <w:num w:numId="41">
    <w:abstractNumId w:val="2"/>
  </w:num>
  <w:num w:numId="42">
    <w:abstractNumId w:val="3"/>
  </w:num>
  <w:num w:numId="43">
    <w:abstractNumId w:val="6"/>
  </w:num>
  <w:num w:numId="44">
    <w:abstractNumId w:val="31"/>
  </w:num>
  <w:num w:numId="45">
    <w:abstractNumId w:val="1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42C31"/>
    <w:rsid w:val="000462DC"/>
    <w:rsid w:val="00060A5A"/>
    <w:rsid w:val="000629A5"/>
    <w:rsid w:val="00064B44"/>
    <w:rsid w:val="00067219"/>
    <w:rsid w:val="00067FE2"/>
    <w:rsid w:val="00073E79"/>
    <w:rsid w:val="0007682E"/>
    <w:rsid w:val="000849FF"/>
    <w:rsid w:val="000B691A"/>
    <w:rsid w:val="000D1AEB"/>
    <w:rsid w:val="000D3E64"/>
    <w:rsid w:val="000F13C5"/>
    <w:rsid w:val="000F3BC2"/>
    <w:rsid w:val="000F5AB7"/>
    <w:rsid w:val="0010122B"/>
    <w:rsid w:val="00103C3E"/>
    <w:rsid w:val="00105A36"/>
    <w:rsid w:val="0010773D"/>
    <w:rsid w:val="00110A1A"/>
    <w:rsid w:val="00111EE5"/>
    <w:rsid w:val="001143AC"/>
    <w:rsid w:val="00120D4E"/>
    <w:rsid w:val="001210B2"/>
    <w:rsid w:val="00125DF7"/>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4BE"/>
    <w:rsid w:val="00273AE9"/>
    <w:rsid w:val="00276A99"/>
    <w:rsid w:val="00286AD9"/>
    <w:rsid w:val="00290376"/>
    <w:rsid w:val="00293403"/>
    <w:rsid w:val="002966F3"/>
    <w:rsid w:val="002B69F3"/>
    <w:rsid w:val="002B763A"/>
    <w:rsid w:val="002D382A"/>
    <w:rsid w:val="002F1EDD"/>
    <w:rsid w:val="002F586D"/>
    <w:rsid w:val="003013F2"/>
    <w:rsid w:val="0030232A"/>
    <w:rsid w:val="00302C16"/>
    <w:rsid w:val="0030694A"/>
    <w:rsid w:val="003069F4"/>
    <w:rsid w:val="00312789"/>
    <w:rsid w:val="0031655A"/>
    <w:rsid w:val="0032501D"/>
    <w:rsid w:val="0032752B"/>
    <w:rsid w:val="003352E0"/>
    <w:rsid w:val="00337FC1"/>
    <w:rsid w:val="003400B2"/>
    <w:rsid w:val="00345B41"/>
    <w:rsid w:val="00360920"/>
    <w:rsid w:val="00363D6D"/>
    <w:rsid w:val="00373827"/>
    <w:rsid w:val="003742F5"/>
    <w:rsid w:val="00383B4E"/>
    <w:rsid w:val="00384709"/>
    <w:rsid w:val="00386C35"/>
    <w:rsid w:val="003A3BD3"/>
    <w:rsid w:val="003A3D77"/>
    <w:rsid w:val="003B25F9"/>
    <w:rsid w:val="003B4E19"/>
    <w:rsid w:val="003B5AED"/>
    <w:rsid w:val="003C6B7B"/>
    <w:rsid w:val="003E3A36"/>
    <w:rsid w:val="003E54CA"/>
    <w:rsid w:val="004135BD"/>
    <w:rsid w:val="004137D6"/>
    <w:rsid w:val="0042743C"/>
    <w:rsid w:val="004302A4"/>
    <w:rsid w:val="004463BA"/>
    <w:rsid w:val="0045690E"/>
    <w:rsid w:val="00467BAA"/>
    <w:rsid w:val="0047515C"/>
    <w:rsid w:val="004822D4"/>
    <w:rsid w:val="00484E0A"/>
    <w:rsid w:val="00491364"/>
    <w:rsid w:val="00491401"/>
    <w:rsid w:val="0049290B"/>
    <w:rsid w:val="00495006"/>
    <w:rsid w:val="00495A65"/>
    <w:rsid w:val="004972DA"/>
    <w:rsid w:val="004A0C61"/>
    <w:rsid w:val="004A4451"/>
    <w:rsid w:val="004A490A"/>
    <w:rsid w:val="004B13D0"/>
    <w:rsid w:val="004D3958"/>
    <w:rsid w:val="004E0E7D"/>
    <w:rsid w:val="004F4723"/>
    <w:rsid w:val="005008DF"/>
    <w:rsid w:val="005045D0"/>
    <w:rsid w:val="0050618E"/>
    <w:rsid w:val="0051245F"/>
    <w:rsid w:val="0052049A"/>
    <w:rsid w:val="00521342"/>
    <w:rsid w:val="005230A0"/>
    <w:rsid w:val="00534C6C"/>
    <w:rsid w:val="005456F4"/>
    <w:rsid w:val="00573610"/>
    <w:rsid w:val="005750F8"/>
    <w:rsid w:val="0057513D"/>
    <w:rsid w:val="005841C0"/>
    <w:rsid w:val="0058525B"/>
    <w:rsid w:val="005858B5"/>
    <w:rsid w:val="00586936"/>
    <w:rsid w:val="00591CD2"/>
    <w:rsid w:val="0059260F"/>
    <w:rsid w:val="00596109"/>
    <w:rsid w:val="00596D50"/>
    <w:rsid w:val="00596D9F"/>
    <w:rsid w:val="005A2268"/>
    <w:rsid w:val="005A5368"/>
    <w:rsid w:val="005A5D6E"/>
    <w:rsid w:val="005B6B3D"/>
    <w:rsid w:val="005D5928"/>
    <w:rsid w:val="005E11FA"/>
    <w:rsid w:val="005E5074"/>
    <w:rsid w:val="005E55BB"/>
    <w:rsid w:val="005E77AF"/>
    <w:rsid w:val="005F684C"/>
    <w:rsid w:val="00612E4F"/>
    <w:rsid w:val="00615D5E"/>
    <w:rsid w:val="00622E99"/>
    <w:rsid w:val="006236AB"/>
    <w:rsid w:val="00625E5D"/>
    <w:rsid w:val="00644923"/>
    <w:rsid w:val="00646675"/>
    <w:rsid w:val="00650843"/>
    <w:rsid w:val="0066370F"/>
    <w:rsid w:val="00685CC4"/>
    <w:rsid w:val="00692470"/>
    <w:rsid w:val="006A0784"/>
    <w:rsid w:val="006A697B"/>
    <w:rsid w:val="006A7BA3"/>
    <w:rsid w:val="006B4DDE"/>
    <w:rsid w:val="006B4E78"/>
    <w:rsid w:val="006C3F68"/>
    <w:rsid w:val="006E37BE"/>
    <w:rsid w:val="00700035"/>
    <w:rsid w:val="00717EDD"/>
    <w:rsid w:val="007367E2"/>
    <w:rsid w:val="00743968"/>
    <w:rsid w:val="0076028D"/>
    <w:rsid w:val="00776BBD"/>
    <w:rsid w:val="00782371"/>
    <w:rsid w:val="00782BDC"/>
    <w:rsid w:val="00785415"/>
    <w:rsid w:val="00791CB9"/>
    <w:rsid w:val="00793130"/>
    <w:rsid w:val="00794B59"/>
    <w:rsid w:val="007A27EA"/>
    <w:rsid w:val="007B3233"/>
    <w:rsid w:val="007B5A42"/>
    <w:rsid w:val="007B5FA2"/>
    <w:rsid w:val="007C199B"/>
    <w:rsid w:val="007C2764"/>
    <w:rsid w:val="007C31AB"/>
    <w:rsid w:val="007D3073"/>
    <w:rsid w:val="007D64B9"/>
    <w:rsid w:val="007D72D4"/>
    <w:rsid w:val="007E0452"/>
    <w:rsid w:val="008070C0"/>
    <w:rsid w:val="00811C12"/>
    <w:rsid w:val="00815440"/>
    <w:rsid w:val="00822A8B"/>
    <w:rsid w:val="00831EF8"/>
    <w:rsid w:val="00842BDB"/>
    <w:rsid w:val="00845778"/>
    <w:rsid w:val="008513F0"/>
    <w:rsid w:val="0086604C"/>
    <w:rsid w:val="00871C7B"/>
    <w:rsid w:val="00871F26"/>
    <w:rsid w:val="00872467"/>
    <w:rsid w:val="00884858"/>
    <w:rsid w:val="00884B6C"/>
    <w:rsid w:val="00885C9D"/>
    <w:rsid w:val="0088730E"/>
    <w:rsid w:val="00887E28"/>
    <w:rsid w:val="008A11D0"/>
    <w:rsid w:val="008A167A"/>
    <w:rsid w:val="008C429F"/>
    <w:rsid w:val="008D5C3A"/>
    <w:rsid w:val="008D7B10"/>
    <w:rsid w:val="008E21EE"/>
    <w:rsid w:val="008E5AE0"/>
    <w:rsid w:val="008E6CCE"/>
    <w:rsid w:val="008E6DA2"/>
    <w:rsid w:val="008F727F"/>
    <w:rsid w:val="00907B1E"/>
    <w:rsid w:val="00914574"/>
    <w:rsid w:val="00917057"/>
    <w:rsid w:val="009223A1"/>
    <w:rsid w:val="009402DD"/>
    <w:rsid w:val="00940E22"/>
    <w:rsid w:val="00943AFD"/>
    <w:rsid w:val="00957573"/>
    <w:rsid w:val="00963A51"/>
    <w:rsid w:val="00966E30"/>
    <w:rsid w:val="00972C2A"/>
    <w:rsid w:val="00974D41"/>
    <w:rsid w:val="0097701B"/>
    <w:rsid w:val="00983B6E"/>
    <w:rsid w:val="00983F29"/>
    <w:rsid w:val="009936F8"/>
    <w:rsid w:val="00996BB5"/>
    <w:rsid w:val="009A3772"/>
    <w:rsid w:val="009B590D"/>
    <w:rsid w:val="009C02C5"/>
    <w:rsid w:val="009C190C"/>
    <w:rsid w:val="009D17F0"/>
    <w:rsid w:val="009D45C6"/>
    <w:rsid w:val="009E5B33"/>
    <w:rsid w:val="00A17AB8"/>
    <w:rsid w:val="00A42796"/>
    <w:rsid w:val="00A4474E"/>
    <w:rsid w:val="00A5311D"/>
    <w:rsid w:val="00A84487"/>
    <w:rsid w:val="00AA4533"/>
    <w:rsid w:val="00AA521F"/>
    <w:rsid w:val="00AA5425"/>
    <w:rsid w:val="00AA5DC4"/>
    <w:rsid w:val="00AA5DF9"/>
    <w:rsid w:val="00AB6C7A"/>
    <w:rsid w:val="00AD3B58"/>
    <w:rsid w:val="00AE664B"/>
    <w:rsid w:val="00AF1457"/>
    <w:rsid w:val="00AF1DCF"/>
    <w:rsid w:val="00AF56C6"/>
    <w:rsid w:val="00AF5B5A"/>
    <w:rsid w:val="00B021C2"/>
    <w:rsid w:val="00B032E8"/>
    <w:rsid w:val="00B17B62"/>
    <w:rsid w:val="00B220DF"/>
    <w:rsid w:val="00B26B72"/>
    <w:rsid w:val="00B425AE"/>
    <w:rsid w:val="00B45AAD"/>
    <w:rsid w:val="00B5476B"/>
    <w:rsid w:val="00B57F96"/>
    <w:rsid w:val="00B67892"/>
    <w:rsid w:val="00B758D7"/>
    <w:rsid w:val="00B815FD"/>
    <w:rsid w:val="00B85148"/>
    <w:rsid w:val="00B910D2"/>
    <w:rsid w:val="00BA4D33"/>
    <w:rsid w:val="00BB3B92"/>
    <w:rsid w:val="00BC2D06"/>
    <w:rsid w:val="00BC498E"/>
    <w:rsid w:val="00BC64E9"/>
    <w:rsid w:val="00BC7ACB"/>
    <w:rsid w:val="00BE67D9"/>
    <w:rsid w:val="00BF3042"/>
    <w:rsid w:val="00C007C2"/>
    <w:rsid w:val="00C01552"/>
    <w:rsid w:val="00C15631"/>
    <w:rsid w:val="00C33F35"/>
    <w:rsid w:val="00C4191E"/>
    <w:rsid w:val="00C43463"/>
    <w:rsid w:val="00C51127"/>
    <w:rsid w:val="00C61D99"/>
    <w:rsid w:val="00C744EB"/>
    <w:rsid w:val="00C82757"/>
    <w:rsid w:val="00C90702"/>
    <w:rsid w:val="00C917FF"/>
    <w:rsid w:val="00C9766A"/>
    <w:rsid w:val="00CA29C4"/>
    <w:rsid w:val="00CB7596"/>
    <w:rsid w:val="00CC2B31"/>
    <w:rsid w:val="00CC4F39"/>
    <w:rsid w:val="00CC6AD1"/>
    <w:rsid w:val="00CD544C"/>
    <w:rsid w:val="00CE1DD7"/>
    <w:rsid w:val="00CE57DB"/>
    <w:rsid w:val="00CF13BA"/>
    <w:rsid w:val="00CF4256"/>
    <w:rsid w:val="00CF696D"/>
    <w:rsid w:val="00D020EF"/>
    <w:rsid w:val="00D04FE8"/>
    <w:rsid w:val="00D1439B"/>
    <w:rsid w:val="00D176CF"/>
    <w:rsid w:val="00D271E3"/>
    <w:rsid w:val="00D2766E"/>
    <w:rsid w:val="00D374EB"/>
    <w:rsid w:val="00D4139A"/>
    <w:rsid w:val="00D46726"/>
    <w:rsid w:val="00D47A80"/>
    <w:rsid w:val="00D50E0A"/>
    <w:rsid w:val="00D51807"/>
    <w:rsid w:val="00D62C3D"/>
    <w:rsid w:val="00D713D0"/>
    <w:rsid w:val="00D83C0C"/>
    <w:rsid w:val="00D85807"/>
    <w:rsid w:val="00D87349"/>
    <w:rsid w:val="00D90D1A"/>
    <w:rsid w:val="00D91EE9"/>
    <w:rsid w:val="00D94355"/>
    <w:rsid w:val="00D97220"/>
    <w:rsid w:val="00DB7F4B"/>
    <w:rsid w:val="00E067E8"/>
    <w:rsid w:val="00E140C4"/>
    <w:rsid w:val="00E14D47"/>
    <w:rsid w:val="00E1641C"/>
    <w:rsid w:val="00E26708"/>
    <w:rsid w:val="00E34958"/>
    <w:rsid w:val="00E37AB0"/>
    <w:rsid w:val="00E37F0B"/>
    <w:rsid w:val="00E63496"/>
    <w:rsid w:val="00E66906"/>
    <w:rsid w:val="00E71C39"/>
    <w:rsid w:val="00EA1220"/>
    <w:rsid w:val="00EA56E6"/>
    <w:rsid w:val="00EA7703"/>
    <w:rsid w:val="00EC335F"/>
    <w:rsid w:val="00EC36A1"/>
    <w:rsid w:val="00EC48FB"/>
    <w:rsid w:val="00EE26B7"/>
    <w:rsid w:val="00EF232A"/>
    <w:rsid w:val="00EF2851"/>
    <w:rsid w:val="00EF6934"/>
    <w:rsid w:val="00F04072"/>
    <w:rsid w:val="00F05A69"/>
    <w:rsid w:val="00F235C3"/>
    <w:rsid w:val="00F26858"/>
    <w:rsid w:val="00F27BFE"/>
    <w:rsid w:val="00F30F03"/>
    <w:rsid w:val="00F43FFD"/>
    <w:rsid w:val="00F44236"/>
    <w:rsid w:val="00F523EA"/>
    <w:rsid w:val="00F52517"/>
    <w:rsid w:val="00F625DA"/>
    <w:rsid w:val="00F6458D"/>
    <w:rsid w:val="00F8468A"/>
    <w:rsid w:val="00F95822"/>
    <w:rsid w:val="00F976D0"/>
    <w:rsid w:val="00FA18DE"/>
    <w:rsid w:val="00FA2852"/>
    <w:rsid w:val="00FA3D64"/>
    <w:rsid w:val="00FA57B2"/>
    <w:rsid w:val="00FB509B"/>
    <w:rsid w:val="00FC1F37"/>
    <w:rsid w:val="00FC3D4B"/>
    <w:rsid w:val="00FC6312"/>
    <w:rsid w:val="00FE36E3"/>
    <w:rsid w:val="00FE425D"/>
    <w:rsid w:val="00FE6B01"/>
    <w:rsid w:val="00FE7EE7"/>
    <w:rsid w:val="00FF26ED"/>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1078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0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46CE61A8-2BF5-4D42-B7FB-4C007DC2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Ayson, Janice</cp:lastModifiedBy>
  <cp:revision>2</cp:revision>
  <cp:lastPrinted>2013-11-15T21:11:00Z</cp:lastPrinted>
  <dcterms:created xsi:type="dcterms:W3CDTF">2020-01-30T20:51:00Z</dcterms:created>
  <dcterms:modified xsi:type="dcterms:W3CDTF">2020-01-30T20:51:00Z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